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3986"/>
        <w:spacing w:before="125" w:line="197" w:lineRule="auto"/>
        <w:rPr/>
      </w:pPr>
      <w:r>
        <w:rPr>
          <w:spacing w:val="-10"/>
        </w:rPr>
        <w:t>兴</w:t>
      </w:r>
      <w:r>
        <w:rPr>
          <w:spacing w:val="52"/>
        </w:rPr>
        <w:t xml:space="preserve"> </w:t>
      </w:r>
      <w:r>
        <w:rPr>
          <w:spacing w:val="-10"/>
        </w:rPr>
        <w:t>县</w:t>
      </w:r>
      <w:r>
        <w:rPr>
          <w:spacing w:val="49"/>
        </w:rPr>
        <w:t xml:space="preserve"> </w:t>
      </w:r>
      <w:r>
        <w:rPr>
          <w:spacing w:val="-10"/>
        </w:rPr>
        <w:t>房</w:t>
      </w:r>
      <w:r>
        <w:rPr>
          <w:spacing w:val="54"/>
        </w:rPr>
        <w:t xml:space="preserve"> </w:t>
      </w:r>
      <w:r>
        <w:rPr>
          <w:spacing w:val="-10"/>
        </w:rPr>
        <w:t>产</w:t>
      </w:r>
      <w:r>
        <w:rPr>
          <w:spacing w:val="49"/>
        </w:rPr>
        <w:t xml:space="preserve"> </w:t>
      </w:r>
      <w:r>
        <w:rPr>
          <w:spacing w:val="-10"/>
        </w:rPr>
        <w:t>服</w:t>
      </w:r>
      <w:r>
        <w:rPr>
          <w:spacing w:val="53"/>
        </w:rPr>
        <w:t xml:space="preserve"> </w:t>
      </w:r>
      <w:r>
        <w:rPr>
          <w:spacing w:val="-10"/>
        </w:rPr>
        <w:t>务</w:t>
      </w:r>
      <w:r>
        <w:rPr>
          <w:spacing w:val="79"/>
        </w:rPr>
        <w:t xml:space="preserve"> </w:t>
      </w:r>
      <w:r>
        <w:rPr>
          <w:spacing w:val="-10"/>
        </w:rPr>
        <w:t>中</w:t>
      </w:r>
      <w:r>
        <w:rPr>
          <w:spacing w:val="65"/>
        </w:rPr>
        <w:t xml:space="preserve"> </w:t>
      </w:r>
      <w:r>
        <w:rPr>
          <w:spacing w:val="-10"/>
        </w:rPr>
        <w:t>心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3276"/>
        <w:spacing w:before="125" w:line="536" w:lineRule="exact"/>
        <w:rPr/>
      </w:pPr>
      <w:r>
        <w:rPr>
          <w:spacing w:val="-10"/>
          <w:position w:val="6"/>
        </w:rPr>
        <w:t>2</w:t>
      </w:r>
      <w:r>
        <w:rPr>
          <w:spacing w:val="57"/>
          <w:position w:val="6"/>
        </w:rPr>
        <w:t xml:space="preserve"> </w:t>
      </w:r>
      <w:r>
        <w:rPr>
          <w:spacing w:val="-10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0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0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0"/>
          <w:position w:val="6"/>
        </w:rPr>
        <w:t>度</w:t>
      </w:r>
      <w:r>
        <w:rPr>
          <w:spacing w:val="54"/>
          <w:position w:val="6"/>
        </w:rPr>
        <w:t xml:space="preserve"> </w:t>
      </w:r>
      <w:r>
        <w:rPr>
          <w:spacing w:val="-10"/>
          <w:position w:val="6"/>
        </w:rPr>
        <w:t>单</w:t>
      </w:r>
      <w:r>
        <w:rPr>
          <w:spacing w:val="47"/>
          <w:position w:val="6"/>
        </w:rPr>
        <w:t xml:space="preserve"> </w:t>
      </w:r>
      <w:r>
        <w:rPr>
          <w:spacing w:val="-10"/>
          <w:position w:val="6"/>
        </w:rPr>
        <w:t>位</w:t>
      </w:r>
      <w:r>
        <w:rPr>
          <w:spacing w:val="44"/>
          <w:position w:val="6"/>
        </w:rPr>
        <w:t xml:space="preserve"> </w:t>
      </w:r>
      <w:r>
        <w:rPr>
          <w:spacing w:val="-10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0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0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0"/>
          <w:position w:val="6"/>
        </w:rPr>
        <w:t>开</w:t>
      </w:r>
    </w:p>
    <w:p>
      <w:pPr>
        <w:spacing w:line="536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/>
      </w:pPr>
    </w:p>
    <w:p>
      <w:pPr>
        <w:spacing w:line="456" w:lineRule="auto"/>
        <w:rPr>
          <w:rFonts w:ascii="Arial"/>
          <w:sz w:val="21"/>
        </w:rPr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24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24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24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24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7"/>
              </w:rPr>
              <w:t>33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258" w:lineRule="auto"/>
        <w:rPr>
          <w:rFonts w:ascii="Arial"/>
          <w:sz w:val="21"/>
        </w:rPr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3"/>
        <w:spacing w:before="274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负责经济适用住房、廉租住房和其他保障性住房的建设等工作。</w:t>
      </w:r>
    </w:p>
    <w:p>
      <w:pPr>
        <w:ind w:left="1304"/>
        <w:spacing w:before="276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07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本单位设有办公室，财务室。</w:t>
      </w:r>
    </w:p>
    <w:p>
      <w:pPr>
        <w:spacing w:line="222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7" w:lineRule="auto"/>
        <w:rPr>
          <w:rFonts w:ascii="Arial"/>
          <w:sz w:val="21"/>
        </w:rPr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11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单位名称：兴县房产服务中心</w:t>
            </w:r>
          </w:p>
        </w:tc>
        <w:tc>
          <w:tcPr>
            <w:tcW w:w="90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411" w:type="dxa"/>
            <w:vAlign w:val="top"/>
            <w:gridSpan w:val="2"/>
          </w:tcPr>
          <w:p>
            <w:pPr>
              <w:ind w:left="152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05" w:type="dxa"/>
            <w:vAlign w:val="top"/>
            <w:gridSpan w:val="4"/>
          </w:tcPr>
          <w:p>
            <w:pPr>
              <w:ind w:left="2618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93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75" w:type="dxa"/>
            <w:vAlign w:val="top"/>
          </w:tcPr>
          <w:p>
            <w:pPr>
              <w:ind w:left="31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26" w:type="dxa"/>
            <w:vAlign w:val="top"/>
          </w:tcPr>
          <w:p>
            <w:pPr>
              <w:ind w:left="98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99" w:type="dxa"/>
            <w:vAlign w:val="top"/>
          </w:tcPr>
          <w:p>
            <w:pPr>
              <w:ind w:left="14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05" w:type="dxa"/>
            <w:vAlign w:val="top"/>
          </w:tcPr>
          <w:p>
            <w:pPr>
              <w:ind w:left="9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  <w:p>
            <w:pPr>
              <w:ind w:left="2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75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2" w:right="156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5.88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5.88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139.69</w:t>
            </w:r>
          </w:p>
        </w:tc>
        <w:tc>
          <w:tcPr>
            <w:tcW w:w="117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139.69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57.37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57.37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 w:right="15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36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>
        <w:trPr>
          <w:trHeight w:val="331" w:hRule="atLeast"/>
        </w:trPr>
        <w:tc>
          <w:tcPr>
            <w:tcW w:w="16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3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单位名称：兴县房产服务中心</w:t>
            </w:r>
          </w:p>
        </w:tc>
        <w:tc>
          <w:tcPr>
            <w:tcW w:w="1608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84" w:type="dxa"/>
            <w:vAlign w:val="top"/>
            <w:gridSpan w:val="6"/>
          </w:tcPr>
          <w:p>
            <w:pPr>
              <w:ind w:left="3580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34" w:type="dxa"/>
            <w:vAlign w:val="top"/>
            <w:vMerge w:val="restart"/>
            <w:tcBorders>
              <w:bottom w:val="nil"/>
            </w:tcBorders>
          </w:tcPr>
          <w:p>
            <w:pPr>
              <w:ind w:left="205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37" w:type="dxa"/>
            <w:vAlign w:val="top"/>
          </w:tcPr>
          <w:p>
            <w:pPr>
              <w:ind w:left="453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311" w:type="dxa"/>
            <w:vAlign w:val="top"/>
          </w:tcPr>
          <w:p>
            <w:pPr>
              <w:ind w:left="128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08" w:type="dxa"/>
            <w:vAlign w:val="top"/>
          </w:tcPr>
          <w:p>
            <w:pPr>
              <w:ind w:left="620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2" w:type="dxa"/>
            <w:vAlign w:val="top"/>
          </w:tcPr>
          <w:p>
            <w:pPr>
              <w:ind w:left="155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104" w:type="dxa"/>
            <w:vAlign w:val="top"/>
          </w:tcPr>
          <w:p>
            <w:pPr>
              <w:ind w:left="98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56" w:type="dxa"/>
            <w:vAlign w:val="top"/>
          </w:tcPr>
          <w:p>
            <w:pPr>
              <w:ind w:left="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87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44" w:type="dxa"/>
            <w:vAlign w:val="top"/>
          </w:tcPr>
          <w:p>
            <w:pPr>
              <w:ind w:left="4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82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80" w:type="dxa"/>
            <w:vAlign w:val="top"/>
          </w:tcPr>
          <w:p>
            <w:pPr>
              <w:ind w:left="181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948" w:type="dxa"/>
            <w:vAlign w:val="top"/>
            <w:gridSpan w:val="2"/>
          </w:tcPr>
          <w:p>
            <w:pPr>
              <w:ind w:left="2291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608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3.67</w:t>
            </w:r>
          </w:p>
        </w:tc>
        <w:tc>
          <w:tcPr>
            <w:tcW w:w="1392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3.67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14.29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8.14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8.14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5.87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5.87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0.02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城乡社区支出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139.69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139.69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城乡社区管理事务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108.79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108.79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2120199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其他城乡社区管理事务支出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108.79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108.79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21203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城乡社区公共设施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2120399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其他城乡社区公共设施支出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57.37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57.37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保障性安居工程支出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2210107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保障性住房租金补贴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16"/>
        <w:gridCol w:w="3057"/>
        <w:gridCol w:w="1439"/>
        <w:gridCol w:w="1391"/>
        <w:gridCol w:w="1313"/>
      </w:tblGrid>
      <w:tr>
        <w:trPr>
          <w:trHeight w:val="355" w:hRule="atLeast"/>
        </w:trPr>
        <w:tc>
          <w:tcPr>
            <w:tcW w:w="181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1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单位名称：兴县房产服务中心</w:t>
            </w:r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73" w:type="dxa"/>
            <w:vAlign w:val="top"/>
            <w:gridSpan w:val="2"/>
          </w:tcPr>
          <w:p>
            <w:pPr>
              <w:ind w:left="2256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43" w:type="dxa"/>
            <w:vAlign w:val="top"/>
            <w:gridSpan w:val="3"/>
          </w:tcPr>
          <w:p>
            <w:pPr>
              <w:ind w:left="152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54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39" w:type="dxa"/>
            <w:vAlign w:val="top"/>
          </w:tcPr>
          <w:p>
            <w:pPr>
              <w:ind w:left="538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334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13" w:type="dxa"/>
            <w:vAlign w:val="top"/>
          </w:tcPr>
          <w:p>
            <w:pPr>
              <w:ind w:left="297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73" w:type="dxa"/>
            <w:vAlign w:val="top"/>
            <w:gridSpan w:val="2"/>
          </w:tcPr>
          <w:p>
            <w:pPr>
              <w:ind w:left="2254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153.45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75.59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3.67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3.67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14.29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14.29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8.14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8.14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5.88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5.88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5.87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5.87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0.02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0.02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139.69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108.79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30.90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城乡社区管理事务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108.79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108.79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其他城乡社区管理事务支出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108.79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108.79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城乡社区公共设施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1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30.90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其他城乡社区公共设施支出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30.90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30.90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57.37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保障性安居工程支出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1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2210107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保障性住房租金补贴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13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单位名称：兴县房产服务中心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5.88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5.88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139.69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139.69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57.37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57.37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68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64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68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1115" w:type="dxa"/>
            <w:vAlign w:val="top"/>
          </w:tcPr>
          <w:p>
            <w:pPr>
              <w:ind w:left="28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6"/>
          <w:footerReference w:type="default" r:id="rId17"/>
          <w:pgSz w:w="11900" w:h="16840"/>
          <w:pgMar w:top="642" w:right="0" w:bottom="340" w:left="0" w:header="326" w:footer="9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3021"/>
        <w:gridCol w:w="1535"/>
        <w:gridCol w:w="1415"/>
        <w:gridCol w:w="1373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43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单位名称：兴县房产服务中心</w:t>
            </w:r>
          </w:p>
        </w:tc>
        <w:tc>
          <w:tcPr>
            <w:tcW w:w="137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6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23" w:type="dxa"/>
            <w:vAlign w:val="top"/>
            <w:gridSpan w:val="3"/>
          </w:tcPr>
          <w:p>
            <w:pPr>
              <w:ind w:left="161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47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86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73" w:type="dxa"/>
            <w:vAlign w:val="top"/>
          </w:tcPr>
          <w:p>
            <w:pPr>
              <w:ind w:left="32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4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229.04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153.45</w:t>
            </w:r>
          </w:p>
        </w:tc>
        <w:tc>
          <w:tcPr>
            <w:tcW w:w="1373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75.59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26.10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3.67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3.67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14.29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14.29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8.14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8.14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5.88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5.88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5.88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5.88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5.87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5.87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0.02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0.02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城乡社区支出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139.69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108.79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30.90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城乡社区管理事务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108.79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108.79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其他城乡社区管理事务支出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108.79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108.79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城乡社区公共设施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30.90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其他城乡社区公共设施支出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30.90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57.37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保障性安居工程支出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2210107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保障性住房租金补贴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03"/>
        <w:gridCol w:w="2182"/>
        <w:gridCol w:w="1379"/>
        <w:gridCol w:w="1319"/>
        <w:gridCol w:w="1085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564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单位名称：兴县房产服务中心</w:t>
            </w:r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  <w:vMerge w:val="restart"/>
            <w:tcBorders>
              <w:bottom w:val="nil"/>
            </w:tcBorders>
          </w:tcPr>
          <w:p>
            <w:pPr>
              <w:ind w:left="419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82" w:type="dxa"/>
            <w:vAlign w:val="top"/>
            <w:vMerge w:val="restart"/>
            <w:tcBorders>
              <w:bottom w:val="nil"/>
            </w:tcBorders>
          </w:tcPr>
          <w:p>
            <w:pPr>
              <w:ind w:left="7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政府预算支出经济科目名称</w:t>
            </w:r>
          </w:p>
        </w:tc>
        <w:tc>
          <w:tcPr>
            <w:tcW w:w="3783" w:type="dxa"/>
            <w:vAlign w:val="top"/>
            <w:gridSpan w:val="3"/>
          </w:tcPr>
          <w:p>
            <w:pPr>
              <w:ind w:left="135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ind w:left="50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left="29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085" w:type="dxa"/>
            <w:vAlign w:val="top"/>
          </w:tcPr>
          <w:p>
            <w:pPr>
              <w:ind w:left="185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85" w:type="dxa"/>
            <w:vAlign w:val="top"/>
            <w:gridSpan w:val="2"/>
          </w:tcPr>
          <w:p>
            <w:pPr>
              <w:ind w:left="240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153.45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145.11</w:t>
            </w:r>
          </w:p>
        </w:tc>
        <w:tc>
          <w:tcPr>
            <w:tcW w:w="1085" w:type="dxa"/>
            <w:vAlign w:val="top"/>
          </w:tcPr>
          <w:p>
            <w:pPr>
              <w:ind w:right="8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8.34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141.43</w:t>
            </w:r>
          </w:p>
        </w:tc>
        <w:tc>
          <w:tcPr>
            <w:tcW w:w="131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141.43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50.84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50.84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10.12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10.12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36.47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36.47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14.29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14.29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8.14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8.14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5.80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5.80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0.35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0.35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12.68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2.74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2.74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8.34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8.34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3.43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3.43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1.79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1.79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3.13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3.13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3.67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3.67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3003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3.67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3.67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9"/>
          <w:footerReference w:type="default" r:id="rId20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单位名称：兴县房产服务中心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21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单位名称：兴县房产服务中心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2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单位名称：兴县房产服务中心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单位名称：兴县房产服务中心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2"/>
          <w:footerReference w:type="default" r:id="rId23"/>
          <w:pgSz w:w="11900" w:h="16840"/>
          <w:pgMar w:top="642" w:right="0" w:bottom="340" w:left="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单位名称：兴县房产服务中心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24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31"/>
        <w:gridCol w:w="1139"/>
        <w:gridCol w:w="1139"/>
        <w:gridCol w:w="624"/>
        <w:gridCol w:w="1055"/>
        <w:gridCol w:w="1031"/>
        <w:gridCol w:w="797"/>
      </w:tblGrid>
      <w:tr>
        <w:trPr>
          <w:trHeight w:val="427" w:hRule="atLeast"/>
        </w:trPr>
        <w:tc>
          <w:tcPr>
            <w:tcW w:w="32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2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2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18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单位名称：兴县房产服务中心</w:t>
            </w:r>
          </w:p>
        </w:tc>
        <w:tc>
          <w:tcPr>
            <w:tcW w:w="182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23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60" w:lineRule="auto"/>
              <w:rPr/>
            </w:pPr>
            <w:r/>
          </w:p>
          <w:p>
            <w:pPr>
              <w:ind w:left="1254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8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818" w:type="dxa"/>
            <w:vAlign w:val="top"/>
            <w:gridSpan w:val="3"/>
          </w:tcPr>
          <w:p>
            <w:pPr>
              <w:ind w:left="77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3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246" w:right="64" w:hanging="181"/>
              <w:spacing w:before="59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9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60" w:lineRule="auto"/>
              <w:rPr/>
            </w:pPr>
            <w:r/>
          </w:p>
          <w:p>
            <w:pPr>
              <w:ind w:left="37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2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ind w:left="29"/>
              <w:spacing w:before="20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24" w:type="dxa"/>
            <w:vAlign w:val="top"/>
          </w:tcPr>
          <w:p>
            <w:pPr>
              <w:ind w:left="38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21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55" w:type="dxa"/>
            <w:vAlign w:val="top"/>
          </w:tcPr>
          <w:p>
            <w:pPr>
              <w:ind w:left="260" w:right="77" w:hanging="167"/>
              <w:spacing w:before="98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9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1582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5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39" w:type="dxa"/>
            <w:vAlign w:val="top"/>
          </w:tcPr>
          <w:p>
            <w:pPr>
              <w:ind w:left="52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24" w:type="dxa"/>
            <w:vAlign w:val="top"/>
          </w:tcPr>
          <w:p>
            <w:pPr>
              <w:ind w:left="266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55" w:type="dxa"/>
            <w:vAlign w:val="top"/>
          </w:tcPr>
          <w:p>
            <w:pPr>
              <w:ind w:left="48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31" w:type="dxa"/>
            <w:vAlign w:val="top"/>
          </w:tcPr>
          <w:p>
            <w:pPr>
              <w:ind w:left="474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97" w:type="dxa"/>
            <w:vAlign w:val="top"/>
          </w:tcPr>
          <w:p>
            <w:pPr>
              <w:ind w:left="358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19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兴县房产服务中心</w:t>
            </w:r>
          </w:p>
        </w:tc>
        <w:tc>
          <w:tcPr>
            <w:tcW w:w="113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75.59</w:t>
            </w:r>
          </w:p>
        </w:tc>
        <w:tc>
          <w:tcPr>
            <w:tcW w:w="1139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75.59</w:t>
            </w:r>
          </w:p>
        </w:tc>
        <w:tc>
          <w:tcPr>
            <w:tcW w:w="6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37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兴县房产服务中心业务经费</w:t>
            </w:r>
          </w:p>
        </w:tc>
        <w:tc>
          <w:tcPr>
            <w:tcW w:w="113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13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6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231" w:type="dxa"/>
            <w:vAlign w:val="top"/>
          </w:tcPr>
          <w:p>
            <w:pPr>
              <w:ind w:left="14" w:right="159" w:firstLine="3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兴县房产服务中心公共停车场（应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急避难场所）运营费</w:t>
            </w:r>
          </w:p>
        </w:tc>
        <w:tc>
          <w:tcPr>
            <w:tcW w:w="113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13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6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8" w:right="159" w:firstLine="364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兴县房产服务中心公（廉）租房电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梯维护保养</w:t>
            </w:r>
          </w:p>
        </w:tc>
        <w:tc>
          <w:tcPr>
            <w:tcW w:w="113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15.90</w:t>
            </w:r>
          </w:p>
        </w:tc>
        <w:tc>
          <w:tcPr>
            <w:tcW w:w="113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15.90</w:t>
            </w:r>
          </w:p>
        </w:tc>
        <w:tc>
          <w:tcPr>
            <w:tcW w:w="6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231" w:type="dxa"/>
            <w:vAlign w:val="top"/>
          </w:tcPr>
          <w:p>
            <w:pPr>
              <w:ind w:left="11" w:right="159" w:firstLine="359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2024年城镇低收入家庭租赁补贴中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央（吕财综【2023】44号）</w:t>
            </w:r>
          </w:p>
        </w:tc>
        <w:tc>
          <w:tcPr>
            <w:tcW w:w="113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  <w:tc>
          <w:tcPr>
            <w:tcW w:w="1139" w:type="dxa"/>
            <w:vAlign w:val="top"/>
          </w:tcPr>
          <w:p>
            <w:pPr>
              <w:ind w:right="6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44.69</w:t>
            </w:r>
          </w:p>
        </w:tc>
        <w:tc>
          <w:tcPr>
            <w:tcW w:w="6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9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6"/>
          <w:footerReference w:type="default" r:id="rId25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单位名称：兴县房产服务中心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1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2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8"/>
          <w:footerReference w:type="default" r:id="rId26"/>
          <w:pgSz w:w="11900" w:h="16840"/>
          <w:pgMar w:top="642" w:right="0" w:bottom="340" w:left="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306" w:right="1405" w:firstLine="500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2024年度兴县房产服务中心预算收入总计229.04万元，其中：本年收入229.04</w:t>
      </w:r>
      <w:r>
        <w:rPr>
          <w:rFonts w:ascii="FangSong" w:hAnsi="FangSong" w:eastAsia="FangSong" w:cs="FangSong"/>
          <w:sz w:val="25"/>
          <w:szCs w:val="25"/>
          <w:spacing w:val="-1"/>
        </w:rPr>
        <w:t>万元，上年结转0万元，</w:t>
      </w:r>
      <w:r>
        <w:rPr>
          <w:rFonts w:ascii="FangSong" w:hAnsi="FangSong" w:eastAsia="FangSong" w:cs="FangSong"/>
          <w:sz w:val="25"/>
          <w:szCs w:val="25"/>
          <w:spacing w:val="-6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比上年增加229.04万元</w:t>
      </w:r>
      <w:r>
        <w:rPr>
          <w:rFonts w:ascii="FangSong" w:hAnsi="FangSong" w:eastAsia="FangSong" w:cs="FangSong"/>
          <w:sz w:val="25"/>
          <w:szCs w:val="25"/>
          <w:spacing w:val="4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，主要原因是我单位上年度不是单</w:t>
      </w:r>
      <w:r>
        <w:rPr>
          <w:rFonts w:ascii="FangSong" w:hAnsi="FangSong" w:eastAsia="FangSong" w:cs="FangSong"/>
          <w:sz w:val="25"/>
          <w:szCs w:val="25"/>
          <w:spacing w:val="1"/>
        </w:rPr>
        <w:t>独预算单位。；本年单位预算支出总计229.04万元，其中：本年预算安排229.04万</w:t>
      </w:r>
      <w:r>
        <w:rPr>
          <w:rFonts w:ascii="FangSong" w:hAnsi="FangSong" w:eastAsia="FangSong" w:cs="FangSong"/>
          <w:sz w:val="25"/>
          <w:szCs w:val="25"/>
        </w:rPr>
        <w:t>元，上年结转0万元，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比上年增加229.04万元，主要原因是我单位上年度不是单独预</w:t>
      </w:r>
      <w:r>
        <w:rPr>
          <w:rFonts w:ascii="FangSong" w:hAnsi="FangSong" w:eastAsia="FangSong" w:cs="FangSong"/>
          <w:sz w:val="25"/>
          <w:szCs w:val="25"/>
          <w:spacing w:val="-3"/>
        </w:rPr>
        <w:t>算单位。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10" w:right="1525" w:firstLine="495"/>
        <w:spacing w:before="128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2024年度兴县房产服务中心预算收入229.04万元，主要包括一般公共预算拨款</w:t>
      </w:r>
      <w:r>
        <w:rPr>
          <w:rFonts w:ascii="FangSong" w:hAnsi="FangSong" w:eastAsia="FangSong" w:cs="FangSong"/>
          <w:sz w:val="25"/>
          <w:szCs w:val="25"/>
          <w:spacing w:val="-3"/>
        </w:rPr>
        <w:t>收入229.04万元，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占100.00%；政府性基金预算拨款收入0万元，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国有资本经</w:t>
      </w:r>
      <w:r>
        <w:rPr>
          <w:rFonts w:ascii="FangSong" w:hAnsi="FangSong" w:eastAsia="FangSong" w:cs="FangSong"/>
          <w:sz w:val="25"/>
          <w:szCs w:val="25"/>
          <w:spacing w:val="-2"/>
        </w:rPr>
        <w:t>营预算拨款收入0万元，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占0%；财政专户管理资金收入0万元，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占0%；单位资金0万</w:t>
      </w:r>
      <w:r>
        <w:rPr>
          <w:rFonts w:ascii="FangSong" w:hAnsi="FangSong" w:eastAsia="FangSong" w:cs="FangSong"/>
          <w:sz w:val="25"/>
          <w:szCs w:val="25"/>
          <w:spacing w:val="-7"/>
        </w:rPr>
        <w:t>元，</w:t>
      </w:r>
      <w:r>
        <w:rPr>
          <w:rFonts w:ascii="FangSong" w:hAnsi="FangSong" w:eastAsia="FangSong" w:cs="FangSong"/>
          <w:sz w:val="25"/>
          <w:szCs w:val="25"/>
          <w:spacing w:val="-5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占0%；上年结转0万元，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占0%。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firstLine="3404"/>
        <w:spacing w:before="1" w:line="3246" w:lineRule="exact"/>
        <w:rPr/>
      </w:pPr>
      <w:r>
        <w:rPr>
          <w:position w:val="-64"/>
        </w:rPr>
        <w:drawing>
          <wp:inline distT="0" distB="0" distL="0" distR="0">
            <wp:extent cx="2596419" cy="206113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6419" cy="20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4" w:lineRule="auto"/>
        <w:rPr>
          <w:rFonts w:ascii="Arial"/>
          <w:sz w:val="21"/>
        </w:rPr>
      </w:pPr>
      <w:r/>
    </w:p>
    <w:p>
      <w:pPr>
        <w:spacing w:line="324" w:lineRule="auto"/>
        <w:rPr>
          <w:rFonts w:ascii="Arial"/>
          <w:sz w:val="21"/>
        </w:rPr>
      </w:pPr>
      <w:r/>
    </w:p>
    <w:p>
      <w:pPr>
        <w:ind w:left="1299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208" style="position:absolute;margin-left:86.92pt;margin-top:-17.1455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10" w:right="1789" w:firstLine="495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2024年度兴县房产服务中心支出预算229.04万元，其中：基本支出153.45万</w:t>
      </w:r>
      <w:r>
        <w:rPr>
          <w:rFonts w:ascii="FangSong" w:hAnsi="FangSong" w:eastAsia="FangSong" w:cs="FangSong"/>
          <w:sz w:val="25"/>
          <w:szCs w:val="25"/>
          <w:spacing w:val="-4"/>
        </w:rPr>
        <w:t>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占67.00%；项目支出75.59万元，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占33.00%。</w:t>
      </w:r>
    </w:p>
    <w:p>
      <w:pPr>
        <w:ind w:left="1314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08" w:right="1537" w:firstLine="497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2024年度兴县房产服务中心财政拨款收支总预算229.04万元。其中：一般公共</w:t>
      </w:r>
      <w:r>
        <w:rPr>
          <w:rFonts w:ascii="FangSong" w:hAnsi="FangSong" w:eastAsia="FangSong" w:cs="FangSong"/>
          <w:sz w:val="25"/>
          <w:szCs w:val="25"/>
          <w:spacing w:val="-1"/>
        </w:rPr>
        <w:t>预算拨款229.04万元，政府性基金预算拨款0万元，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国有资本经营预算拨款0万元。</w:t>
      </w:r>
    </w:p>
    <w:p>
      <w:pPr>
        <w:ind w:left="1304" w:right="1405" w:firstLine="4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其中：当年拨款收入229.04万元，上</w:t>
      </w:r>
      <w:r>
        <w:rPr>
          <w:rFonts w:ascii="FangSong" w:hAnsi="FangSong" w:eastAsia="FangSong" w:cs="FangSong"/>
          <w:sz w:val="25"/>
          <w:szCs w:val="25"/>
          <w:spacing w:val="1"/>
        </w:rPr>
        <w:t>年结转收入0万元。支出包括：社会保障和就业</w:t>
      </w:r>
      <w:r>
        <w:rPr>
          <w:rFonts w:ascii="FangSong" w:hAnsi="FangSong" w:eastAsia="FangSong" w:cs="FangSong"/>
          <w:sz w:val="25"/>
          <w:szCs w:val="25"/>
          <w:spacing w:val="2"/>
        </w:rPr>
        <w:t>支出26.10万元、卫生健康支出5.88</w:t>
      </w:r>
      <w:r>
        <w:rPr>
          <w:rFonts w:ascii="FangSong" w:hAnsi="FangSong" w:eastAsia="FangSong" w:cs="FangSong"/>
          <w:sz w:val="25"/>
          <w:szCs w:val="25"/>
          <w:spacing w:val="1"/>
        </w:rPr>
        <w:t>万元、城乡社区支出139.69万元、住房保障支出</w:t>
      </w:r>
      <w:r>
        <w:rPr>
          <w:rFonts w:ascii="FangSong" w:hAnsi="FangSong" w:eastAsia="FangSong" w:cs="FangSong"/>
          <w:sz w:val="25"/>
          <w:szCs w:val="25"/>
        </w:rPr>
        <w:t>57.37万元等。</w:t>
      </w:r>
    </w:p>
    <w:p>
      <w:pPr>
        <w:ind w:left="1306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spacing w:line="223" w:lineRule="auto"/>
        <w:sectPr>
          <w:headerReference w:type="default" r:id="rId27"/>
          <w:footerReference w:type="default" r:id="rId28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30" w:lineRule="auto"/>
        <w:rPr>
          <w:rFonts w:ascii="Arial"/>
          <w:sz w:val="21"/>
        </w:rPr>
      </w:pPr>
      <w:r/>
    </w:p>
    <w:p>
      <w:pPr>
        <w:ind w:left="1302" w:right="1915" w:firstLine="504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2024年度兴县房产服务中心一般公共预算当年支出229.04万元,比上年增加</w:t>
      </w:r>
      <w:r>
        <w:rPr>
          <w:rFonts w:ascii="FangSong" w:hAnsi="FangSong" w:eastAsia="FangSong" w:cs="FangSong"/>
          <w:sz w:val="25"/>
          <w:szCs w:val="25"/>
        </w:rPr>
        <w:t>229.04万元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11" w:right="1411" w:firstLine="49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2024年度兴县房产服务中心一般公共预算当年支出229.04万元,主要用于以下方</w:t>
      </w:r>
      <w:r>
        <w:rPr>
          <w:rFonts w:ascii="FangSong" w:hAnsi="FangSong" w:eastAsia="FangSong" w:cs="FangSong"/>
          <w:sz w:val="25"/>
          <w:szCs w:val="25"/>
        </w:rPr>
        <w:t>面：社会保障和就业支出26.10万元，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占11.40%；卫</w:t>
      </w:r>
      <w:r>
        <w:rPr>
          <w:rFonts w:ascii="FangSong" w:hAnsi="FangSong" w:eastAsia="FangSong" w:cs="FangSong"/>
          <w:sz w:val="25"/>
          <w:szCs w:val="25"/>
          <w:spacing w:val="-1"/>
        </w:rPr>
        <w:t>生健康支出5.88万元，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1302" w:right="2281"/>
        <w:spacing w:before="1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2.57%；城乡社区支出139.69万元，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占60.99%；住</w:t>
      </w:r>
      <w:r>
        <w:rPr>
          <w:rFonts w:ascii="FangSong" w:hAnsi="FangSong" w:eastAsia="FangSong" w:cs="FangSong"/>
          <w:sz w:val="25"/>
          <w:szCs w:val="25"/>
          <w:spacing w:val="-2"/>
        </w:rPr>
        <w:t>房保障支出57.37万元，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  <w:spacing w:val="-1"/>
        </w:rPr>
        <w:t>25.05%等。</w:t>
      </w:r>
    </w:p>
    <w:p>
      <w:pPr>
        <w:ind w:firstLine="3982"/>
        <w:spacing w:before="118" w:line="2746" w:lineRule="exact"/>
        <w:rPr/>
      </w:pPr>
      <w:r>
        <w:pict>
          <v:shape id="_x0000_s226" style="position:absolute;margin-left:391.92pt;margin-top:83.871pt;mso-position-vertical-relative:text;mso-position-horizontal-relative:text;width:119.4pt;height:18.85pt;z-index:2516592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54"/>
        </w:rPr>
        <w:drawing>
          <wp:inline distT="0" distB="0" distL="0" distR="0">
            <wp:extent cx="2520426" cy="1743403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0426" cy="174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3" w:lineRule="auto"/>
        <w:rPr>
          <w:rFonts w:ascii="Arial"/>
          <w:sz w:val="21"/>
        </w:rPr>
      </w:pPr>
      <w:r/>
    </w:p>
    <w:p>
      <w:pPr>
        <w:spacing w:line="324" w:lineRule="auto"/>
        <w:rPr>
          <w:rFonts w:ascii="Arial"/>
          <w:sz w:val="21"/>
        </w:rPr>
      </w:pPr>
      <w:r/>
    </w:p>
    <w:p>
      <w:pPr>
        <w:ind w:left="1307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2024年度兴县房产服务中心一般公共预算安排基本支出153.45万元，其中：</w:t>
      </w:r>
    </w:p>
    <w:p>
      <w:pPr>
        <w:ind w:left="1310" w:right="1537" w:firstLine="50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人员经费145.11万元，主要包括：其他工资福利支出、其他社会保障缴费、绩</w:t>
      </w:r>
      <w:r>
        <w:rPr>
          <w:rFonts w:ascii="FangSong" w:hAnsi="FangSong" w:eastAsia="FangSong" w:cs="FangSong"/>
          <w:sz w:val="25"/>
          <w:szCs w:val="25"/>
          <w:spacing w:val="1"/>
        </w:rPr>
        <w:t>效工资、基本工资、退休费、机关事业单位基本养老保险缴费、住房公积金、职业</w:t>
      </w:r>
      <w:r>
        <w:rPr>
          <w:rFonts w:ascii="FangSong" w:hAnsi="FangSong" w:eastAsia="FangSong" w:cs="FangSong"/>
          <w:sz w:val="25"/>
          <w:szCs w:val="25"/>
          <w:spacing w:val="1"/>
        </w:rPr>
        <w:t>年金缴费、职工基本医疗保险缴费、津贴补</w:t>
      </w:r>
      <w:r>
        <w:rPr>
          <w:rFonts w:ascii="FangSong" w:hAnsi="FangSong" w:eastAsia="FangSong" w:cs="FangSong"/>
          <w:sz w:val="25"/>
          <w:szCs w:val="25"/>
        </w:rPr>
        <w:t>贴等；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公用经费8.34万元，主要包括：办公费、福利费、工会经费等。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本单位无机关运行经费。</w:t>
      </w:r>
    </w:p>
    <w:p>
      <w:pPr>
        <w:ind w:left="1300"/>
        <w:spacing w:before="131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6" w:right="1909" w:firstLine="499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2024年兴县房产服务中心政府采购预算总额0万</w:t>
      </w:r>
      <w:r>
        <w:rPr>
          <w:rFonts w:ascii="FangSong" w:hAnsi="FangSong" w:eastAsia="FangSong" w:cs="FangSong"/>
          <w:sz w:val="25"/>
          <w:szCs w:val="25"/>
          <w:spacing w:val="1"/>
        </w:rPr>
        <w:t>元。其中：政府采购货物预</w:t>
      </w:r>
      <w:r>
        <w:rPr>
          <w:rFonts w:ascii="FangSong" w:hAnsi="FangSong" w:eastAsia="FangSong" w:cs="FangSong"/>
          <w:sz w:val="25"/>
          <w:szCs w:val="25"/>
          <w:spacing w:val="2"/>
        </w:rPr>
        <w:t>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2024年编报单位整体绩效目标，涉及资金75.59万元。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310" w:right="1525" w:firstLine="495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2024年兴县房产服务中心纳入绩效目标管理的二级项目4个</w:t>
      </w:r>
      <w:r>
        <w:rPr>
          <w:rFonts w:ascii="FangSong" w:hAnsi="FangSong" w:eastAsia="FangSong" w:cs="FangSong"/>
          <w:sz w:val="25"/>
          <w:szCs w:val="25"/>
          <w:spacing w:val="1"/>
        </w:rPr>
        <w:t>，共计金额75.59万</w:t>
      </w:r>
      <w:r>
        <w:rPr>
          <w:rFonts w:ascii="FangSong" w:hAnsi="FangSong" w:eastAsia="FangSong" w:cs="FangSong"/>
          <w:sz w:val="25"/>
          <w:szCs w:val="25"/>
          <w:spacing w:val="2"/>
        </w:rPr>
        <w:t>元。其中：其他运转类项目0个，涉及金额0万元；特定目标类项</w:t>
      </w:r>
      <w:r>
        <w:rPr>
          <w:rFonts w:ascii="FangSong" w:hAnsi="FangSong" w:eastAsia="FangSong" w:cs="FangSong"/>
          <w:sz w:val="25"/>
          <w:szCs w:val="25"/>
          <w:spacing w:val="1"/>
        </w:rPr>
        <w:t>目4个，涉及金</w:t>
      </w:r>
    </w:p>
    <w:p>
      <w:pPr>
        <w:spacing w:line="318" w:lineRule="auto"/>
        <w:sectPr>
          <w:headerReference w:type="default" r:id="rId30"/>
          <w:footerReference w:type="default" r:id="rId31"/>
          <w:pgSz w:w="11900" w:h="16840"/>
          <w:pgMar w:top="642" w:right="0" w:bottom="340" w:left="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246" w:lineRule="auto"/>
        <w:rPr>
          <w:rFonts w:ascii="Arial"/>
          <w:sz w:val="21"/>
        </w:rPr>
      </w:pPr>
      <w:r/>
    </w:p>
    <w:p>
      <w:pPr>
        <w:ind w:left="1307" w:right="1393" w:hanging="1"/>
        <w:spacing w:before="82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额75.59万元。公开项目绩效目标4个，涉及项目金额75.59万元，</w:t>
      </w:r>
      <w:r>
        <w:rPr>
          <w:rFonts w:ascii="FangSong" w:hAnsi="FangSong" w:eastAsia="FangSong" w:cs="FangSong"/>
          <w:sz w:val="25"/>
          <w:szCs w:val="25"/>
          <w:spacing w:val="-5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占部门（单位）项</w:t>
      </w:r>
      <w:r>
        <w:rPr>
          <w:rFonts w:ascii="FangSong" w:hAnsi="FangSong" w:eastAsia="FangSong" w:cs="FangSong"/>
          <w:sz w:val="25"/>
          <w:szCs w:val="25"/>
          <w:spacing w:val="2"/>
        </w:rPr>
        <w:t>目支出总额的100%。其中：其他运转类项目0个，涉及项目金额0万元；特定目标类</w:t>
      </w:r>
      <w:r>
        <w:rPr>
          <w:rFonts w:ascii="FangSong" w:hAnsi="FangSong" w:eastAsia="FangSong" w:cs="FangSong"/>
          <w:sz w:val="25"/>
          <w:szCs w:val="25"/>
          <w:spacing w:val="1"/>
        </w:rPr>
        <w:t>项目4个，涉及项目金额75.59万元。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3" w:lineRule="auto"/>
        <w:sectPr>
          <w:headerReference w:type="default" r:id="rId8"/>
          <w:footerReference w:type="default" r:id="rId33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36" style="position:absolute;margin-left:491.92pt;margin-top:44.1055pt;mso-position-vertical-relative:page;mso-position-horizontal-relative:page;width:119.4pt;height:18.85pt;z-index:25166233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38" style="position:absolute;margin-left:391.92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40" style="position:absolute;margin-left:-13.08pt;margin-top:234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42" style="position:absolute;margin-left:491.92pt;margin-top:478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44" style="position:absolute;margin-left:86.92pt;margin-top:478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headerReference w:type="default" r:id="rId34"/>
          <w:footerReference w:type="default" r:id="rId35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46" style="position:absolute;margin-left:491.92pt;margin-top:44.1055pt;mso-position-vertical-relative:page;mso-position-horizontal-relative:page;width:119.4pt;height:18.85pt;z-index:25166950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48" style="position:absolute;margin-left:391.92pt;margin-top:234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50" style="position:absolute;margin-left:86.92pt;margin-top:478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52" style="position:absolute;margin-left:491.92pt;margin-top:478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54" style="position:absolute;margin-left:-13.08pt;margin-top:234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7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56" style="position:absolute;margin-left:491.92pt;margin-top:44.1055pt;mso-position-vertical-relative:page;mso-position-horizontal-relative:page;width:119.4pt;height:18.85pt;z-index:25167257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58" style="position:absolute;margin-left:-13.08pt;margin-top:234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60" style="position:absolute;margin-left:391.92pt;margin-top:234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62" style="position:absolute;margin-left:86.92pt;margin-top:478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64" style="position:absolute;margin-left:491.92pt;margin-top:478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39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66" style="position:absolute;margin-left:491.92pt;margin-top:44.1055pt;mso-position-vertical-relative:page;mso-position-horizontal-relative:page;width:119.4pt;height:18.85pt;z-index:251679744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68" style="position:absolute;margin-left:-13.08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70" style="position:absolute;margin-left:491.92pt;margin-top:478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72" style="position:absolute;margin-left:391.92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74" style="position:absolute;margin-left:86.92pt;margin-top:478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1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>
        <w:pict>
          <v:shape id="_x0000_s276" style="position:absolute;margin-left:491.92pt;margin-top:44.1055pt;mso-position-vertical-relative:page;mso-position-horizontal-relative:page;width:119.4pt;height:18.85pt;z-index:251682816;rotation:330;" o:allowincell="f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/>
    </w:p>
    <w:p>
      <w:pPr>
        <w:ind w:firstLine="1170"/>
        <w:spacing w:before="1" w:line="13455" w:lineRule="exact"/>
        <w:rPr/>
      </w:pPr>
      <w:r>
        <w:pict>
          <v:shape id="_x0000_s278" style="position:absolute;margin-left:391.92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80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82" style="position:absolute;margin-left:86.92pt;margin-top:478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284" style="position:absolute;margin-left:491.92pt;margin-top:478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44402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55" w:lineRule="exact"/>
        <w:sectPr>
          <w:footerReference w:type="default" r:id="rId43"/>
          <w:pgSz w:w="11900" w:h="16840"/>
          <w:pgMar w:top="642" w:right="0" w:bottom="340" w:left="0" w:header="326" w:footer="93" w:gutter="0"/>
        </w:sectPr>
        <w:rPr/>
      </w:pPr>
    </w:p>
    <w:p>
      <w:pPr>
        <w:spacing w:line="330" w:lineRule="auto"/>
        <w:rPr>
          <w:rFonts w:ascii="Arial"/>
          <w:sz w:val="21"/>
        </w:rPr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810"/>
        <w:spacing w:before="132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截至2024年6月4</w:t>
      </w:r>
      <w:r>
        <w:rPr>
          <w:rFonts w:ascii="FangSong" w:hAnsi="FangSong" w:eastAsia="FangSong" w:cs="FangSong"/>
          <w:sz w:val="25"/>
          <w:szCs w:val="25"/>
          <w:spacing w:val="-3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日，兴县房产服务中心共有公务用车编制0辆，实有0辆，其</w:t>
      </w:r>
    </w:p>
    <w:p>
      <w:pPr>
        <w:ind w:left="1309" w:right="1513" w:firstLine="2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中：领导用车0辆，机要通信用车0辆，应急保障用车0辆，执法执勤用车0辆，特种</w:t>
      </w:r>
      <w:r>
        <w:rPr>
          <w:rFonts w:ascii="FangSong" w:hAnsi="FangSong" w:eastAsia="FangSong" w:cs="FangSong"/>
          <w:sz w:val="25"/>
          <w:szCs w:val="25"/>
          <w:spacing w:val="2"/>
        </w:rPr>
        <w:t>专业技术用车0辆，事业单位业务用车0辆，其</w:t>
      </w:r>
      <w:r>
        <w:rPr>
          <w:rFonts w:ascii="FangSong" w:hAnsi="FangSong" w:eastAsia="FangSong" w:cs="FangSong"/>
          <w:sz w:val="25"/>
          <w:szCs w:val="25"/>
          <w:spacing w:val="1"/>
        </w:rPr>
        <w:t>他公务用车0辆。</w:t>
      </w:r>
    </w:p>
    <w:p>
      <w:pPr>
        <w:ind w:left="1806"/>
        <w:spacing w:before="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810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截至2024年6月4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日，兴县房产服务中心使用的办公用房建筑</w:t>
      </w:r>
      <w:r>
        <w:rPr>
          <w:rFonts w:ascii="FangSong" w:hAnsi="FangSong" w:eastAsia="FangSong" w:cs="FangSong"/>
          <w:sz w:val="25"/>
          <w:szCs w:val="25"/>
          <w:spacing w:val="-1"/>
        </w:rPr>
        <w:t>总面积500平方米。</w:t>
      </w:r>
    </w:p>
    <w:p>
      <w:pPr>
        <w:ind w:left="1808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6" w:right="1525" w:firstLine="50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截至2024年6月4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日，兴县房产服务中心占有使</w:t>
      </w:r>
      <w:r>
        <w:rPr>
          <w:rFonts w:ascii="FangSong" w:hAnsi="FangSong" w:eastAsia="FangSong" w:cs="FangSong"/>
          <w:sz w:val="25"/>
          <w:szCs w:val="25"/>
          <w:spacing w:val="-1"/>
        </w:rPr>
        <w:t>用价值50万元（原值）以上的通</w:t>
      </w:r>
      <w:r>
        <w:rPr>
          <w:rFonts w:ascii="FangSong" w:hAnsi="FangSong" w:eastAsia="FangSong" w:cs="FangSong"/>
          <w:sz w:val="25"/>
          <w:szCs w:val="25"/>
          <w:spacing w:val="1"/>
        </w:rPr>
        <w:t>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兴县房产服务中心占有使用价值100万元（原值）以上</w:t>
      </w:r>
      <w:r>
        <w:rPr>
          <w:rFonts w:ascii="FangSong" w:hAnsi="FangSong" w:eastAsia="FangSong" w:cs="FangSong"/>
          <w:sz w:val="25"/>
          <w:szCs w:val="25"/>
        </w:rPr>
        <w:t>的通用设</w:t>
      </w:r>
      <w:r>
        <w:rPr>
          <w:rFonts w:ascii="FangSong" w:hAnsi="FangSong" w:eastAsia="FangSong" w:cs="FangSong"/>
          <w:sz w:val="25"/>
          <w:szCs w:val="25"/>
          <w:spacing w:val="-1"/>
        </w:rPr>
        <w:t>备0台（套）。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6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45"/>
          <w:footerReference w:type="default" r:id="rId46"/>
          <w:pgSz w:w="11900" w:h="16840"/>
          <w:pgMar w:top="642" w:right="0" w:bottom="340" w:left="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316" style="position:absolute;margin-left:-13.08pt;margin-top:234.154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18" style="position:absolute;margin-left:391.92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20" style="position:absolute;margin-left:86.92pt;margin-top:478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47"/>
          <w:footerReference w:type="default" r:id="rId4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322" style="position:absolute;margin-left:-13.08pt;margin-top:234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24" style="position:absolute;margin-left:86.92pt;margin-top:478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26" style="position:absolute;margin-left:391.92pt;margin-top:234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328" style="position:absolute;margin-left:-13.08pt;margin-top:234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30" style="position:absolute;margin-left:86.92pt;margin-top:478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32" style="position:absolute;margin-left:391.92pt;margin-top:234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2"/>
          <w:pgSz w:w="11900" w:h="16840"/>
          <w:pgMar w:top="642" w:right="0" w:bottom="340" w:left="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334" style="position:absolute;margin-left:-13.08pt;margin-top:234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36" style="position:absolute;margin-left:391.92pt;margin-top:234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38" style="position:absolute;margin-left:86.92pt;margin-top:478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4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340" style="position:absolute;margin-left:-13.08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42" style="position:absolute;margin-left:86.92pt;margin-top:478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44" style="position:absolute;margin-left:391.92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6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346" style="position:absolute;margin-left:-13.08pt;margin-top:234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48" style="position:absolute;margin-left:391.92pt;margin-top:234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0" style="position:absolute;margin-left:86.92pt;margin-top:478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8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352" style="position:absolute;margin-left:-13.08pt;margin-top:234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4" style="position:absolute;margin-left:391.92pt;margin-top:234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56" style="position:absolute;margin-left:86.92pt;margin-top:478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0"/>
          <w:pgSz w:w="11900" w:h="16840"/>
          <w:pgMar w:top="642" w:right="0" w:bottom="340" w:left="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1170"/>
        <w:spacing w:before="1" w:line="11763" w:lineRule="exact"/>
        <w:rPr/>
      </w:pPr>
      <w:r>
        <w:pict>
          <v:shape id="_x0000_s358" style="position:absolute;margin-left:-13.08pt;margin-top:234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0" style="position:absolute;margin-left:391.92pt;margin-top:234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pict>
          <v:shape id="_x0000_s362" style="position:absolute;margin-left:86.92pt;margin-top:478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TSong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2"/>
          <w:pgSz w:w="11900" w:h="16840"/>
          <w:pgMar w:top="642" w:right="0" w:bottom="340" w:left="0" w:header="326" w:footer="93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before="128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2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6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2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6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12"/>
      <w:footerReference w:type="default" r:id="rId64"/>
      <w:pgSz w:w="11900" w:h="16840"/>
      <w:pgMar w:top="642" w:right="0" w:bottom="340" w:left="0" w:header="326" w:footer="9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TZhong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bookmarkStart w:name="bookmark48" w:id="43"/>
    <w:bookmarkEnd w:id="43"/>
    <w:r>
      <w:rPr>
        <w:rFonts w:ascii="STSong" w:hAnsi="STSong" w:eastAsia="STSong" w:cs="STSong"/>
        <w:sz w:val="16"/>
        <w:szCs w:val="16"/>
        <w:spacing w:val="5"/>
        <w:position w:val="2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bookmarkStart w:name="bookmark49" w:id="48"/>
    <w:bookmarkEnd w:id="48"/>
    <w:r>
      <w:rPr>
        <w:rFonts w:ascii="STSong" w:hAnsi="STSong" w:eastAsia="STSong" w:cs="STSong"/>
        <w:sz w:val="16"/>
        <w:szCs w:val="16"/>
        <w:spacing w:val="5"/>
        <w:position w:val="2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-33-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2" style="position:absolute;margin-left:86.92pt;margin-top:44.105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" style="position:absolute;margin-left:491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" style="position:absolute;margin-left:391.92pt;margin-top:288.10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56" style="position:absolute;margin-left:86.92pt;margin-top:27.7862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兴县房产服务中心2024年单位预算公开报告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74" style="position:absolute;margin-left:86.92pt;margin-top:27.7862pt;mso-position-vertical-relative:text;mso-position-horizontal-relative:text;width:119.4pt;height:18.85pt;z-index:-25156198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30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2" style="position:absolute;margin-left:86.92pt;margin-top:532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4" style="position:absolute;margin-left:-13.08pt;margin-top:776.106pt;mso-position-vertical-relative:page;mso-position-horizontal-relative:page;width:119.4pt;height:18.85pt;z-index:-2515650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6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88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90" style="position:absolute;margin-left:30pt;margin-top:29.5pt;mso-position-vertical-relative:page;mso-position-horizontal-relative:page;width:535pt;height:1pt;z-index:-25156403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兴县房产服务中心2024年单位预算公开报告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92" style="position:absolute;margin-left:86.92pt;margin-top:27.7862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0" style="position:absolute;margin-left:-13.08pt;margin-top:776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2" style="position:absolute;margin-left:491.92pt;margin-top:532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4" style="position:absolute;margin-left:391.92pt;margin-top:776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06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兴县房产服务中心2024年单位预算公开报告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10" style="position:absolute;margin-left:86.92pt;margin-top:27.7862pt;mso-position-vertical-relative:text;mso-position-horizontal-relative:text;width:119.4pt;height:18.85pt;z-index:-25154560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2" style="position:absolute;margin-left:-13.08pt;margin-top:288.105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4" style="position:absolute;margin-left:491.92pt;margin-top:44.1055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6" style="position:absolute;margin-left:86.92pt;margin-top:532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18" style="position:absolute;margin-left:-13.08pt;margin-top:776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0" style="position:absolute;margin-left:491.92pt;margin-top:532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2" style="position:absolute;margin-left:391.92pt;margin-top:776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24" style="position:absolute;margin-left:30pt;margin-top:29.5pt;mso-position-vertical-relative:page;mso-position-horizontal-relative:page;width:535pt;height:1pt;z-index:-2515476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兴县房产服务中心2024年单位预算公开报告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28" style="position:absolute;margin-left:86.92pt;margin-top:27.7862pt;mso-position-vertical-relative:text;mso-position-horizontal-relative:text;width:119.4pt;height:18.85pt;z-index:-25154150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0" style="position:absolute;margin-left:-13.08pt;margin-top:776.106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32" style="position:absolute;margin-left:391.92pt;margin-top:776.106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234" style="position:absolute;margin-left:30pt;margin-top:29.5pt;mso-position-vertical-relative:page;mso-position-horizontal-relative:page;width:535pt;height:1pt;z-index:-25154252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兴县房产服务中心2024年单位预算公开报告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286" style="position:absolute;margin-left:86.92pt;margin-top:27.7862pt;mso-position-vertical-relative:text;mso-position-horizontal-relative:text;width:119.4pt;height:18.85pt;z-index:-25153228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8" style="position:absolute;margin-left:-13.08pt;margin-top:288.105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90" style="position:absolute;margin-left:491.92pt;margin-top:44.1055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92" style="position:absolute;margin-left:391.92pt;margin-top:288.105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94" style="position:absolute;margin-left:86.92pt;margin-top:532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96" style="position:absolute;margin-left:-13.08pt;margin-top:776.106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98" style="position:absolute;margin-left:491.92pt;margin-top:532.106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0" style="position:absolute;margin-left:391.92pt;margin-top:776.106pt;mso-position-vertical-relative:page;mso-position-horizontal-relative:page;width:119.4pt;height:18.85pt;z-index:-2515374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02" style="position:absolute;margin-left:30pt;margin-top:29.5pt;mso-position-vertical-relative:page;mso-position-horizontal-relative:page;width:535pt;height:1pt;z-index:-25153433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兴县房产服务中心2024年单位预算公开报告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304" style="position:absolute;margin-left:86.92pt;margin-top:27.7862pt;mso-position-vertical-relative:text;mso-position-horizontal-relative:text;width:119.4pt;height:18.85pt;z-index:-251526144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6" style="position:absolute;margin-left:491.92pt;margin-top:44.1055pt;mso-position-vertical-relative:page;mso-position-horizontal-relative:page;width:119.4pt;height:18.85pt;z-index:-2515271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8" style="position:absolute;margin-left:-13.08pt;margin-top:776.106pt;mso-position-vertical-relative:page;mso-position-horizontal-relative:page;width:119.4pt;height:18.85pt;z-index:-2515292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10" style="position:absolute;margin-left:491.92pt;margin-top:532.106pt;mso-position-vertical-relative:page;mso-position-horizontal-relative:page;width:119.4pt;height:18.85pt;z-index:-2515312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12" style="position:absolute;margin-left:391.92pt;margin-top:776.106pt;mso-position-vertical-relative:page;mso-position-horizontal-relative:page;width:119.4pt;height:18.85pt;z-index:-2515302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314" style="position:absolute;margin-left:30pt;margin-top:29.5pt;mso-position-vertical-relative:page;mso-position-horizontal-relative:page;width:535pt;height:1pt;z-index:-25152819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兴县房产服务中心2024年单位预算公开报告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0" style="position:absolute;margin-left:391.92pt;margin-top:288.105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2" style="position:absolute;margin-left:391.92pt;margin-top:776.106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6" style="position:absolute;margin-left:491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50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4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6" style="position:absolute;margin-left:-13.08pt;margin-top:776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58" style="position:absolute;margin-left:391.92pt;margin-top:776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0" style="position:absolute;margin-left:86.92pt;margin-top:532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66" style="position:absolute;margin-left:86.92pt;margin-top:27.7862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兴县房产服务中心2024年单位预算公开报告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68" style="position:absolute;margin-left:86.92pt;margin-top:27.7862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兴县房产服务中心2024年单位预算公开报告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86" style="position:absolute;margin-left:86.92pt;margin-top:27.7862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兴县房产服务中心2024年单位预算公开报告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104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pict>
        <v:shape id="PowerPlusWaterMarkObject106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08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10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                                                                          仅供内部审核"/>
        </v:shape>
      </w:pict>
    </w:r>
    <w:r>
      <w:pict>
        <v:shape id="PowerPlusWaterMarkObject112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4" style="position:absolute;margin-left:312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6" style="position:absolute;margin-left:638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18" style="position:absolute;margin-left:-13.08pt;margin-top:28.7862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兴县房产服务中心2024年单位预算公开报告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20" style="position:absolute;margin-left:86.92pt;margin-top:27.7862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兴县房产服务中心2024年单位预算公开报告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PowerPlusWaterMarkObject138" style="position:absolute;margin-left:86.92pt;margin-top:27.7862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TSong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兴县房产服务中心2024年单位预算公开报告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TZhongsong" w:hAnsi="STZhongsong" w:eastAsia="STZhongsong" w:cs="STZhongsong"/>
      <w:sz w:val="34"/>
      <w:szCs w:val="3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6.xml"/><Relationship Id="rId7" Type="http://schemas.openxmlformats.org/officeDocument/2006/relationships/footer" Target="footer2.xml"/><Relationship Id="rId67" Type="http://schemas.openxmlformats.org/officeDocument/2006/relationships/fontTable" Target="fontTable.xml"/><Relationship Id="rId66" Type="http://schemas.openxmlformats.org/officeDocument/2006/relationships/styles" Target="styles.xml"/><Relationship Id="rId65" Type="http://schemas.openxmlformats.org/officeDocument/2006/relationships/settings" Target="settings.xml"/><Relationship Id="rId64" Type="http://schemas.openxmlformats.org/officeDocument/2006/relationships/footer" Target="footer33.xml"/><Relationship Id="rId63" Type="http://schemas.openxmlformats.org/officeDocument/2006/relationships/image" Target="media/image15.jpeg"/><Relationship Id="rId62" Type="http://schemas.openxmlformats.org/officeDocument/2006/relationships/footer" Target="footer32.xml"/><Relationship Id="rId61" Type="http://schemas.openxmlformats.org/officeDocument/2006/relationships/image" Target="media/image14.jpeg"/><Relationship Id="rId60" Type="http://schemas.openxmlformats.org/officeDocument/2006/relationships/footer" Target="footer31.xml"/><Relationship Id="rId6" Type="http://schemas.openxmlformats.org/officeDocument/2006/relationships/header" Target="header5.xml"/><Relationship Id="rId59" Type="http://schemas.openxmlformats.org/officeDocument/2006/relationships/image" Target="media/image13.jpeg"/><Relationship Id="rId58" Type="http://schemas.openxmlformats.org/officeDocument/2006/relationships/footer" Target="footer30.xml"/><Relationship Id="rId57" Type="http://schemas.openxmlformats.org/officeDocument/2006/relationships/image" Target="media/image12.jpeg"/><Relationship Id="rId56" Type="http://schemas.openxmlformats.org/officeDocument/2006/relationships/footer" Target="footer29.xml"/><Relationship Id="rId55" Type="http://schemas.openxmlformats.org/officeDocument/2006/relationships/image" Target="media/image11.jpeg"/><Relationship Id="rId54" Type="http://schemas.openxmlformats.org/officeDocument/2006/relationships/footer" Target="footer28.xml"/><Relationship Id="rId53" Type="http://schemas.openxmlformats.org/officeDocument/2006/relationships/image" Target="media/image10.jpeg"/><Relationship Id="rId52" Type="http://schemas.openxmlformats.org/officeDocument/2006/relationships/footer" Target="footer27.xml"/><Relationship Id="rId51" Type="http://schemas.openxmlformats.org/officeDocument/2006/relationships/image" Target="media/image9.jpeg"/><Relationship Id="rId50" Type="http://schemas.openxmlformats.org/officeDocument/2006/relationships/footer" Target="footer26.xml"/><Relationship Id="rId5" Type="http://schemas.openxmlformats.org/officeDocument/2006/relationships/footer" Target="footer1.xml"/><Relationship Id="rId49" Type="http://schemas.openxmlformats.org/officeDocument/2006/relationships/image" Target="media/image8.jpeg"/><Relationship Id="rId48" Type="http://schemas.openxmlformats.org/officeDocument/2006/relationships/footer" Target="footer25.xml"/><Relationship Id="rId47" Type="http://schemas.openxmlformats.org/officeDocument/2006/relationships/header" Target="header16.xml"/><Relationship Id="rId46" Type="http://schemas.openxmlformats.org/officeDocument/2006/relationships/footer" Target="footer24.xml"/><Relationship Id="rId45" Type="http://schemas.openxmlformats.org/officeDocument/2006/relationships/header" Target="header15.xml"/><Relationship Id="rId44" Type="http://schemas.openxmlformats.org/officeDocument/2006/relationships/image" Target="media/image7.jpeg"/><Relationship Id="rId43" Type="http://schemas.openxmlformats.org/officeDocument/2006/relationships/footer" Target="footer23.xml"/><Relationship Id="rId42" Type="http://schemas.openxmlformats.org/officeDocument/2006/relationships/image" Target="media/image6.jpeg"/><Relationship Id="rId41" Type="http://schemas.openxmlformats.org/officeDocument/2006/relationships/footer" Target="footer22.xml"/><Relationship Id="rId40" Type="http://schemas.openxmlformats.org/officeDocument/2006/relationships/image" Target="media/image5.jpeg"/><Relationship Id="rId4" Type="http://schemas.openxmlformats.org/officeDocument/2006/relationships/header" Target="header4.xml"/><Relationship Id="rId39" Type="http://schemas.openxmlformats.org/officeDocument/2006/relationships/footer" Target="footer21.xml"/><Relationship Id="rId38" Type="http://schemas.openxmlformats.org/officeDocument/2006/relationships/image" Target="media/image4.jpeg"/><Relationship Id="rId37" Type="http://schemas.openxmlformats.org/officeDocument/2006/relationships/footer" Target="footer20.xml"/><Relationship Id="rId36" Type="http://schemas.openxmlformats.org/officeDocument/2006/relationships/image" Target="media/image3.jpeg"/><Relationship Id="rId35" Type="http://schemas.openxmlformats.org/officeDocument/2006/relationships/footer" Target="footer19.xml"/><Relationship Id="rId34" Type="http://schemas.openxmlformats.org/officeDocument/2006/relationships/header" Target="header14.xml"/><Relationship Id="rId33" Type="http://schemas.openxmlformats.org/officeDocument/2006/relationships/footer" Target="footer18.xml"/><Relationship Id="rId32" Type="http://schemas.openxmlformats.org/officeDocument/2006/relationships/image" Target="media/image2.png"/><Relationship Id="rId31" Type="http://schemas.openxmlformats.org/officeDocument/2006/relationships/footer" Target="footer17.xml"/><Relationship Id="rId30" Type="http://schemas.openxmlformats.org/officeDocument/2006/relationships/header" Target="header13.xml"/><Relationship Id="rId3" Type="http://schemas.openxmlformats.org/officeDocument/2006/relationships/header" Target="header3.xml"/><Relationship Id="rId29" Type="http://schemas.openxmlformats.org/officeDocument/2006/relationships/image" Target="media/image1.png"/><Relationship Id="rId28" Type="http://schemas.openxmlformats.org/officeDocument/2006/relationships/footer" Target="footer16.xml"/><Relationship Id="rId27" Type="http://schemas.openxmlformats.org/officeDocument/2006/relationships/header" Target="header12.xml"/><Relationship Id="rId26" Type="http://schemas.openxmlformats.org/officeDocument/2006/relationships/footer" Target="footer15.xml"/><Relationship Id="rId25" Type="http://schemas.openxmlformats.org/officeDocument/2006/relationships/footer" Target="footer14.xml"/><Relationship Id="rId24" Type="http://schemas.openxmlformats.org/officeDocument/2006/relationships/footer" Target="footer13.xml"/><Relationship Id="rId23" Type="http://schemas.openxmlformats.org/officeDocument/2006/relationships/footer" Target="footer12.xml"/><Relationship Id="rId22" Type="http://schemas.openxmlformats.org/officeDocument/2006/relationships/footer" Target="footer11.xml"/><Relationship Id="rId21" Type="http://schemas.openxmlformats.org/officeDocument/2006/relationships/footer" Target="footer10.xml"/><Relationship Id="rId20" Type="http://schemas.openxmlformats.org/officeDocument/2006/relationships/footer" Target="footer9.xml"/><Relationship Id="rId2" Type="http://schemas.openxmlformats.org/officeDocument/2006/relationships/header" Target="header2.xml"/><Relationship Id="rId19" Type="http://schemas.openxmlformats.org/officeDocument/2006/relationships/header" Target="header11.xml"/><Relationship Id="rId18" Type="http://schemas.openxmlformats.org/officeDocument/2006/relationships/footer" Target="footer8.xml"/><Relationship Id="rId17" Type="http://schemas.openxmlformats.org/officeDocument/2006/relationships/footer" Target="footer7.xml"/><Relationship Id="rId16" Type="http://schemas.openxmlformats.org/officeDocument/2006/relationships/header" Target="header10.xml"/><Relationship Id="rId15" Type="http://schemas.openxmlformats.org/officeDocument/2006/relationships/footer" Target="footer6.xml"/><Relationship Id="rId14" Type="http://schemas.openxmlformats.org/officeDocument/2006/relationships/header" Target="header9.xml"/><Relationship Id="rId13" Type="http://schemas.openxmlformats.org/officeDocument/2006/relationships/footer" Target="footer5.xml"/><Relationship Id="rId12" Type="http://schemas.openxmlformats.org/officeDocument/2006/relationships/header" Target="header8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2025-09-25T11:29:24Z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2025-09-25T17:32:05</vt:filetime>
  </property>
</Properties>
</file>