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兴县农业农村局</w:t>
      </w:r>
    </w:p>
    <w:p>
      <w:pPr>
        <w:jc w:val="center"/>
        <w:outlineLvl w:val="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湖羊产业发展项目奖补、贴息资金项目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以习近平新时代中国特色社会主义思想为指导，深入贯彻习近平总书记“三篇光辉文献”精神、全面贯彻党的十九大和十九届二中、三中、四中全会及中央、省、市经济和农村工作会议精神，通过政府引导、银企对接、龙头带动、村集体经济参与、能人带头、农民主体、联合体保障，逐步建立“政府+村集体+公司+银行+农户”五位一体发展模式，提高畜牧产业抗风险能力，助推全市畜教产业集群化、高质量发展，真正把畜牧产业发展成为脱贫致富、乡村振兴、壮大村集体经济的支柱产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</w:rPr>
        <w:t>项目立项依据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中共吕梁市委农村工作领导小组关于《印发吕梁市2020年畜牧产业发展实施方案》的通知（吕农组发〔2020〕4号）；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吕梁市农业农村局关于《对兴县2020年湖羊养殖园区》的考核意见（吕农函〔2021〕51号）；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兴县农业农村局关于《对2020年畜牧产业发展兴县湖羊养殖园区建设项目实施方案》的批复（兴农发〔2020〕63号）；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采用“公司+村集体经济组织+致富带头人+农户+银行”模式，年内形成存栏湖羊5000只以上或年出栏湖羊1.5万只以上的畜牧产业联合体。由龙头企业向联合体农户放养能繁母羊、每户规模不低于100只，每百只能繁母羊免费提供自繁种公羊3只，供给园区发放公羊不低于150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年兴县财政局实际拨付兴县农业农村局湖羊产业发展项目奖补、贴息资金项目资金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179.39万元，项目预算资金为153.57万元，资金到位率85.61%。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年兴县农业农村局湖羊产业发展项目奖补、贴息资金项目资金实际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153.57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同时严格按照资金使用要求做到专款专用。严禁挤占、挪用、截留、滞留项目资金。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为强化项目管理，使用好项目资金，保障政策切实落地。对统筹整合资金的使用范围、申报及审核流程进行了规范。项目资金按照项目实施进度和项目绩效管理要求进行拨付，保证资金用在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采用“公司+村集体经济组织+致富带头人+农户+银行”模式，年内形成存栏湖羊5000只以上或年出栏湖羊1.5万只以上的畜牧产业联合体。由龙头企业向联合体农户放养能繁母羊、每户规模不低于100只，每百只能繁母羊免费提供自繁种公羊3只，供给园区发放公羊不低于150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通过实施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湖羊产业发展项目奖补、贴息资金项目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优化财政支出结构提供决策参考和依据，以保证项目资金使用管理的规范性、安全性和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财政部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关于印发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〈项目支出绩效评估管理办法〉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的通知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兴县财政局《关于开展2021年度预算项目支出绩效评价和部门整体支出绩效评价工作的通知》（兴财绩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1122号）；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其他有关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制度、办法等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通过专家评估、访谈等对财政支出效果进行评判，评价绩效目标的实现程度。本次采取对受益群众走访调查的方式，了解项目情况及对项目的满意程度，以评价其效益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绩效自评指标体系是绩效自评工作的核心，主要包括评价指标的设计原则、评价指标及指标值的确定、权重设定、证据收集方法等。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1.绩效自评指标设计原则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是指衡量绩效目标实现程度的考核工具。绩效自评指标体系的构建是一项复杂的系统工程，也是绩效自评的重点和难点。要构建科学、合理的绩效自评指标体系，除了要遵循指标甄选的一般原则外，还要根据项目的目标和任务，从影响项目实现的效益情况把握绩效指标体系构建的思路，项目绩效自评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各评价指标之间要有一定的逻辑关系，一定层级的绩效自评指标必须与同一层级的绩效自评目的相一致，要从不同的侧面反映项目实施的主要特征和状态，并能体现出项目未来的发展趋势。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项目支出绩效自评指标体系框架，结合项目的实际情况及项目绩效自评原则，构建2021年度兴县农业农村局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自评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年兴县农业农村局湖羊产业发展项目奖补、贴息资金项目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走访群众，并根据走访了解的情况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依据项目支出绩效自评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指标体系确定的评价指标、评价权重、评价标准和评价方法，对评价对象进行全面的定量、定性分析和综合评价，形成评价结论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项目的绩效自评情况，撰写绩效自评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本次绩效自评指标体系按照逻辑分析法，从“投入”、“产出”、“效益”和“满意度指标”4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投入指标从项目资金执行情况方面进行考察，投入指标分值共计10分，本项目实际得分8.56分。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兴县农业农村局湖羊产业发展项目奖补、贴息资金项目全年预算金额179.39万元，全年支出金额153.57万元。执行率=全年支出金额/全年预算金额=153.57/179.39*100.00%=85.61%。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依据项目支出绩效自评得分规则，项目资金全年预算执行率得8.56分。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2.产出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产出指标从数量、质量、时效和成本四个方面进行考察，产出指标分值共计50分，本项目实际得分50分。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数量指标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联合体农户规模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湖羊产业发展项目奖补、贴息资金依据项目实施方案，龙头企业向联合体农户放养能繁母羊，每户规模不低于100只，实地走访后确认农户规模均不低于100只。依据项目支出绩效自评得分规则，联合体农户规模得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提供自繁种公羊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湖羊产业发展项目奖补、贴息资金依据项目实施方案，龙头企业向联合体农户免费提供自繁种公羊，每百只能繁母羊免费提供自繁种公羊3只，实地走访后确认数据属实。依据项目支出绩效自评得分规则，提供自繁种公羊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园区发放公羊数量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湖羊产业发展项目奖补、贴息资金依据项目实施方案，龙头企业根据产能要求向联合体能人大户免费提供种公羊不低于150只，实地走访后确认数据属实。依据项目支出绩效自评得分规则，园区发放公羊数量得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综上：依据项目支出绩效自评得分规则，数量指标得21分。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质量指标-验收合格率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湖羊产业发展项目奖补、贴息资金依据项目实施方案，由龙头企业向联合体农户放养能繁母羊、每户规模不低于100只，每百只能繁母羊免费提供自繁种公羊3只，供给园区发放公羊不低于150只，实地走访后确认数据属实。依据项目支出绩效自评得分规则，质量指标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时效指标-投入运行率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兴县农业农村局湖羊产业发展项目奖补、贴息资金项目，按照实施方案要求，按时开工、按时完工，且发放内容高标准、高质量完成。依据项目支出绩效自评得分规则，时效指标得分10分。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成本指标-预算成本完成率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兴县农业农村局湖羊产业发展项目奖补、贴息资金预算179.39万元，实际支付资金153.57万元，预算成本完成率85.61%。依据项目支出绩效自评得分规则，成本指标得7.70分。</w:t>
      </w:r>
      <w:bookmarkStart w:id="15" w:name="_GoBack"/>
      <w:bookmarkEnd w:id="15"/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效果指标从经济效益、社会效益、生态效益和可持续影响四个方面进行考察，效果指标分值共计30分，本项目实际得分30分。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效益指标考核项目实施对经济发展所带来的直接或间接影响。湖羊产业发展项目奖补、贴息资金项目完成后，按照每只基础种母羊按两年三产计算，按5000只以上产能计算，每年可繁育羔羊15000只以上，按每只销售价平均900元计算，销售收入可达到1395万元，对经济发展带来明显的积极影响。依据项目支出绩效自评得分规则，经济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项目实施后。在很大程度上刺激养殖场发展生产的积极性，可以有效提高畜牧产业抗风险能力，助推全县畜牧产业高质量发展。同时，可推进湖羊养殖成为本县养殖业的主导产业，对加快本地区经济发展具有重要意义。依据项目支出绩效自评得分规则，社会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生态效益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生态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生态环境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羊的粪便是一种优质的有机肥料，经熟化后还田，减少化肥使用量，增加土壤有机质含量，防止土壤板结，可以改造中、低产粮田，促进粮食增产，牧草高产，使种养业走上良性循环的轨道。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依据项目支出绩效自评得分规则，生态效益得7分。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项目后续运行及成效发挥的可持续影响情况。湖羊产业发展项目奖补、贴息资金实现了畜牧业的规模化、产业化生产的可持续发展，是带领农民脱贫致富奔小康的可行之路。依据项目支出绩效自评得分规则，可持续影响得7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。通过走访群众了解实际情况，群众对该项目比较满意。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9.62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兴县农业农村局湖羊产业发展项目奖补、贴息资金项目绩效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为96.89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兴县农业农村局认真贯彻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县人民政府文件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坚持以脱贫攻坚统揽经济社会发展全局，突出抓好“巩固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扩展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脱贫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攻坚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成果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同向乡村振兴有效衔接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促进农业高质高效、乡村宜居宜业、农民富裕富足，加快农业农村现代化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高度重视建设工作，配备工作力量，明确职责分工，完善工作机制，确保高质量完成任务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通过政府引导、银企对接、龙头带动、村集体经济参与、能人带头、农民主体、联合体保障，逐步建立“政府+村集体+公司+银行+农户”五位一体发展模式。</w:t>
      </w:r>
      <w:bookmarkStart w:id="13" w:name="_Toc10677_WPSOffice_Level1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同时，龙头企业执行种仔价格固定、饲料价格固定、回收价格固定；统一提供种仔、统一提供饲料、统一提供药品、统一提供技术服务、统一回收，确保合作农户有稳定的养殖收益。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兴县农业农村局“湖羊产业发展项目奖补、贴息资金项目”财政支出绩效自评报告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兴县农业农村局“湖羊产业发展项目奖补、贴息资金项目”财政支出绩效自评报告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A6BC3"/>
    <w:multiLevelType w:val="singleLevel"/>
    <w:tmpl w:val="C41A6BC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WExYzQ3MDBmMTAxOTg0YWYwZjNjNDVkYWFhZWQifQ==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1C30F9"/>
    <w:rsid w:val="02276599"/>
    <w:rsid w:val="022B3E21"/>
    <w:rsid w:val="02B91735"/>
    <w:rsid w:val="04077088"/>
    <w:rsid w:val="04A77823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DCB52A1"/>
    <w:rsid w:val="0E4F7E8E"/>
    <w:rsid w:val="0F012BDB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17019F2"/>
    <w:rsid w:val="122E6AC4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1566C1"/>
    <w:rsid w:val="18DD61B1"/>
    <w:rsid w:val="19724ABA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C5D60A6"/>
    <w:rsid w:val="1DEB5BE0"/>
    <w:rsid w:val="1E207988"/>
    <w:rsid w:val="1E440DD2"/>
    <w:rsid w:val="1E532178"/>
    <w:rsid w:val="1E563442"/>
    <w:rsid w:val="1E86276E"/>
    <w:rsid w:val="1E8951DC"/>
    <w:rsid w:val="1F033371"/>
    <w:rsid w:val="1F0B6487"/>
    <w:rsid w:val="1F746ABF"/>
    <w:rsid w:val="1F793487"/>
    <w:rsid w:val="202D37E1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41852D8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7DB72D1"/>
    <w:rsid w:val="28403222"/>
    <w:rsid w:val="286767A5"/>
    <w:rsid w:val="28823A68"/>
    <w:rsid w:val="28B75C8C"/>
    <w:rsid w:val="28EB6073"/>
    <w:rsid w:val="291B34E4"/>
    <w:rsid w:val="29297918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CBF391F"/>
    <w:rsid w:val="2F7260E4"/>
    <w:rsid w:val="2F870FE2"/>
    <w:rsid w:val="2FFC48DD"/>
    <w:rsid w:val="303473CF"/>
    <w:rsid w:val="308F31FF"/>
    <w:rsid w:val="313E7EDE"/>
    <w:rsid w:val="315C6BD7"/>
    <w:rsid w:val="316C6453"/>
    <w:rsid w:val="31952513"/>
    <w:rsid w:val="31FE73BF"/>
    <w:rsid w:val="32122A96"/>
    <w:rsid w:val="322E36AB"/>
    <w:rsid w:val="32555DAE"/>
    <w:rsid w:val="327D70C1"/>
    <w:rsid w:val="328D1666"/>
    <w:rsid w:val="32B63BE7"/>
    <w:rsid w:val="33380932"/>
    <w:rsid w:val="343F0F25"/>
    <w:rsid w:val="3502603F"/>
    <w:rsid w:val="352B0153"/>
    <w:rsid w:val="357251C3"/>
    <w:rsid w:val="36DA5039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F4C1E14"/>
    <w:rsid w:val="3FE8302B"/>
    <w:rsid w:val="41A45A14"/>
    <w:rsid w:val="41AA260C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8F175BE"/>
    <w:rsid w:val="49660C56"/>
    <w:rsid w:val="49DD022A"/>
    <w:rsid w:val="4A61537D"/>
    <w:rsid w:val="4A8A4A17"/>
    <w:rsid w:val="4ABF7583"/>
    <w:rsid w:val="4B183B5F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DB757E6"/>
    <w:rsid w:val="5E836886"/>
    <w:rsid w:val="5EB32CFF"/>
    <w:rsid w:val="5ECD587B"/>
    <w:rsid w:val="5EEE3AD3"/>
    <w:rsid w:val="5F235A98"/>
    <w:rsid w:val="5F334319"/>
    <w:rsid w:val="5F644ECF"/>
    <w:rsid w:val="5F713529"/>
    <w:rsid w:val="604B29F7"/>
    <w:rsid w:val="606B5F7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3E9389D"/>
    <w:rsid w:val="64460120"/>
    <w:rsid w:val="64C57C6B"/>
    <w:rsid w:val="655F187A"/>
    <w:rsid w:val="65793114"/>
    <w:rsid w:val="65E04CC8"/>
    <w:rsid w:val="65F40890"/>
    <w:rsid w:val="66130BD1"/>
    <w:rsid w:val="66733FAD"/>
    <w:rsid w:val="66C13408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097B3F"/>
    <w:rsid w:val="6C995851"/>
    <w:rsid w:val="6D181F80"/>
    <w:rsid w:val="6D1E41E7"/>
    <w:rsid w:val="6D3F73B1"/>
    <w:rsid w:val="6D8A37F7"/>
    <w:rsid w:val="6E362DF0"/>
    <w:rsid w:val="6E36711F"/>
    <w:rsid w:val="6EAD6DEA"/>
    <w:rsid w:val="6EF873C1"/>
    <w:rsid w:val="6F5C58A8"/>
    <w:rsid w:val="6F6843E8"/>
    <w:rsid w:val="6F850642"/>
    <w:rsid w:val="6F8C21B9"/>
    <w:rsid w:val="70E80A6C"/>
    <w:rsid w:val="719C7807"/>
    <w:rsid w:val="71DD0D36"/>
    <w:rsid w:val="72D7609D"/>
    <w:rsid w:val="73317106"/>
    <w:rsid w:val="73F55F24"/>
    <w:rsid w:val="751B537A"/>
    <w:rsid w:val="75504B8E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442C5B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CD764F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BD7976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5123</Words>
  <Characters>5419</Characters>
  <Lines>0</Lines>
  <Paragraphs>0</Paragraphs>
  <TotalTime>1</TotalTime>
  <ScaleCrop>false</ScaleCrop>
  <LinksUpToDate>false</LinksUpToDate>
  <CharactersWithSpaces>5444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2022-09-04T02:11:15Z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A38C7AA8EF1B4A3F9406716742067A39</vt:lpwstr>
  </property>
</Properties>
</file>