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特色农业产业（蔬菜产业）</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项目</w:t>
      </w:r>
      <w:r>
        <w:rPr>
          <w:rFonts w:hint="eastAsia" w:ascii="方正小标宋简体" w:hAnsi="方正小标宋简体" w:eastAsia="方正小标宋简体" w:cs="方正小标宋简体"/>
          <w:sz w:val="44"/>
          <w:szCs w:val="44"/>
          <w:lang w:eastAsia="zh-CN"/>
        </w:rPr>
        <w:t>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2021年是“十四五”开局之年，也是全面实施乡村振兴战略关键之年。为巩固拓展脱贫攻坚成果同乡村振兴有效衔接，实现蔬菜产业持续健康快速发展，推进农业产业结构调整，加快现代农业的发展进程，丰富城乡居民“菜篮子”工程，促进农业增效、农民增收。依据《兴县 2021年乡村振兴产业发展行动方案》的目标任务，我局特实施特色农业产业（蔬菜产业）项目。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兴县人民政府关于印发《兴县2021年乡村振兴产业发展行动方案》的通知（兴政发〔2021〕6号）；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兴县财政局关于《下达2021年农业产业项目资金》的通知（兴财统〔2021〕239号）；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兴县财政局关于《下达第二批特色农业产业项目资金》的通知（兴财统〔2021〕552号）；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以稳产保供、带动就业为目标，狠抓蔬菜基地建设。根据《兴县2021年乡村振兴产业发展行动方案》内容，结合产业发展现状，我县委托山西普泰瑞华工程项目管理有限公司对兴县2021年乡村振兴产业（蔬菜）发展项目所需蔬菜种苗进行公开招标。经评标确定采购兴县魏家滩镇马蒲滩村经济发展合作总社西红柿种苗160576株、茄子种苗63651株、辣椒种苗255104株、西瓜种苗67061株、甜瓜种苗57477株、黄瓜种苗36131株；采购兴县亚龙农业科技发展有限公司西红柿种苗907273株、茄子种苗161958株、辣椒种苗781794株、西瓜种苗343745株、甜瓜种苗70295株、黄瓜种苗94935株。</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年兴县财政局实际拨付兴县农业农村局“</w:t>
      </w:r>
      <w:r>
        <w:rPr>
          <w:rFonts w:hint="eastAsia" w:ascii="Times New Roman" w:hAnsi="Times New Roman" w:eastAsia="仿宋_GB2312" w:cs="Times New Roman"/>
          <w:bCs/>
          <w:kern w:val="2"/>
          <w:sz w:val="32"/>
          <w:szCs w:val="32"/>
          <w:highlight w:val="none"/>
          <w:lang w:val="en-US" w:eastAsia="zh-CN"/>
        </w:rPr>
        <w:t>特色农业产业（蔬菜产业）项目</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lang w:val="en-US" w:eastAsia="zh-CN"/>
        </w:rPr>
        <w:t>266.85万元，项目预算资金为266.85万元，资金到位率100.00%。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w:t>
      </w:r>
      <w:r>
        <w:rPr>
          <w:rFonts w:hint="eastAsia" w:ascii="Times New Roman" w:hAnsi="Times New Roman" w:eastAsia="仿宋_GB2312" w:cs="Times New Roman"/>
          <w:bCs/>
          <w:kern w:val="2"/>
          <w:sz w:val="32"/>
          <w:szCs w:val="32"/>
          <w:highlight w:val="none"/>
          <w:lang w:val="en-US" w:eastAsia="zh-CN"/>
        </w:rPr>
        <w:t>特色农业产业（蔬菜产业）项目</w:t>
      </w:r>
      <w:r>
        <w:rPr>
          <w:rFonts w:hint="eastAsia" w:ascii="Times New Roman" w:hAnsi="Times New Roman" w:eastAsia="仿宋_GB2312" w:cs="Times New Roman"/>
          <w:bCs/>
          <w:kern w:val="2"/>
          <w:sz w:val="32"/>
          <w:szCs w:val="32"/>
          <w:highlight w:val="none"/>
          <w:lang w:eastAsia="zh-CN"/>
        </w:rPr>
        <w:t>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3,488.90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农业农村局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一是新建日光温室60座、钢架大棚30座，提高本地蔬菜有效供给。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二是对全县范围内可利用的温室和大棚进行提质增效，改造老旧温室 20座，有效提高原有蔬菜设施利用率，同时吸纳部分群众就业。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三是为设施蔬菜基地和大田种植农户发放优质种苗300万株，发展露地蔬菜3500亩、间作套种蔬菜2500亩</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新增复播一茬蔬菜1000亩。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同时强化技术指导和服务，加强对蔬菜基地农药、化肥等投入品的监管</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加大对基地蔬菜质量自检，确保蔬菜质量安全。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w:t>
      </w:r>
      <w:r>
        <w:rPr>
          <w:rFonts w:hint="eastAsia" w:ascii="Times New Roman" w:hAnsi="Times New Roman" w:eastAsia="仿宋_GB2312" w:cs="Times New Roman"/>
          <w:bCs/>
          <w:kern w:val="2"/>
          <w:sz w:val="32"/>
          <w:szCs w:val="32"/>
          <w:lang w:eastAsia="zh-CN"/>
        </w:rPr>
        <w:t>绩效自评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highlight w:val="none"/>
          <w:lang w:val="en-US" w:eastAsia="zh-CN"/>
        </w:rPr>
        <w:t>特色农业产业（蔬菜产业）项目</w:t>
      </w:r>
      <w:r>
        <w:rPr>
          <w:rFonts w:hint="eastAsia" w:ascii="Times New Roman" w:hAnsi="Times New Roman" w:eastAsia="仿宋_GB2312" w:cs="Times New Roman"/>
          <w:bCs/>
          <w:kern w:val="2"/>
          <w:sz w:val="32"/>
          <w:szCs w:val="32"/>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特色农业产业（蔬菜产业）项目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w:t>
      </w:r>
      <w:r>
        <w:rPr>
          <w:rFonts w:hint="eastAsia" w:ascii="Times New Roman" w:hAnsi="Times New Roman" w:eastAsia="仿宋_GB2312" w:cs="Times New Roman"/>
          <w:bCs/>
          <w:kern w:val="2"/>
          <w:sz w:val="32"/>
          <w:szCs w:val="32"/>
          <w:highlight w:val="none"/>
          <w:lang w:val="en-US" w:eastAsia="zh-CN"/>
        </w:rPr>
        <w:t>特色农业产业（蔬菜产业）项目</w:t>
      </w:r>
      <w:r>
        <w:rPr>
          <w:rFonts w:hint="eastAsia" w:ascii="Times New Roman" w:hAnsi="Times New Roman" w:eastAsia="仿宋_GB2312" w:cs="Times New Roman"/>
          <w:bCs/>
          <w:kern w:val="2"/>
          <w:sz w:val="32"/>
          <w:szCs w:val="32"/>
        </w:rPr>
        <w:t>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兴县农业农村局特色农业产业（蔬菜产业）项目全年预算金额266.85万元，全年支出金额266.85万元。执行率=全年支出金额/全年预算金额=266.85/266.85*100.00%=100.00%。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采购西红柿种苗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特色农业产业（蔬菜产业）项目拟采购西红柿种苗</w:t>
      </w:r>
      <w:r>
        <w:rPr>
          <w:rFonts w:hint="default" w:ascii="Arial" w:hAnsi="Arial" w:eastAsia="仿宋_GB2312" w:cs="Arial"/>
          <w:bCs/>
          <w:kern w:val="2"/>
          <w:sz w:val="32"/>
          <w:szCs w:val="32"/>
          <w:highlight w:val="none"/>
          <w:lang w:val="en-US" w:eastAsia="zh-CN"/>
        </w:rPr>
        <w:t>1067849</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，供方已根据合同要求将种苗运送至指定地点并通过查验。依据项目支出绩效自评得分规则，采购西红柿种苗得</w:t>
      </w:r>
      <w:r>
        <w:rPr>
          <w:rFonts w:hint="eastAsia" w:ascii="Times New Roman" w:hAnsi="Times New Roman" w:eastAsia="仿宋_GB2312" w:cs="Times New Roman"/>
          <w:bCs/>
          <w:kern w:val="2"/>
          <w:sz w:val="36"/>
          <w:szCs w:val="36"/>
          <w:highlight w:val="none"/>
          <w:lang w:val="en-US" w:eastAsia="zh-CN"/>
        </w:rPr>
        <w:t>4</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采购茄子种苗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特色农业产业（蔬菜产业）项目拟采购茄子种苗</w:t>
      </w:r>
      <w:r>
        <w:rPr>
          <w:rFonts w:hint="default" w:ascii="Arial" w:hAnsi="Arial" w:eastAsia="仿宋_GB2312" w:cs="Arial"/>
          <w:bCs/>
          <w:kern w:val="2"/>
          <w:sz w:val="32"/>
          <w:szCs w:val="32"/>
          <w:highlight w:val="none"/>
          <w:lang w:val="en-US" w:eastAsia="zh-CN"/>
        </w:rPr>
        <w:t>225609</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，供方已根据合同要求将种苗运送至指定地点并通过查验。依据项目支出绩效自评得分规则，采购茄子种苗得</w:t>
      </w:r>
      <w:r>
        <w:rPr>
          <w:rFonts w:hint="eastAsia" w:ascii="Times New Roman" w:hAnsi="Times New Roman" w:eastAsia="仿宋_GB2312" w:cs="Times New Roman"/>
          <w:bCs/>
          <w:kern w:val="2"/>
          <w:sz w:val="36"/>
          <w:szCs w:val="36"/>
          <w:highlight w:val="none"/>
          <w:lang w:val="en-US" w:eastAsia="zh-CN"/>
        </w:rPr>
        <w:t>4</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③</w:t>
      </w:r>
      <w:r>
        <w:rPr>
          <w:rFonts w:hint="eastAsia" w:ascii="Times New Roman" w:hAnsi="Times New Roman" w:eastAsia="仿宋_GB2312" w:cs="Times New Roman"/>
          <w:bCs/>
          <w:kern w:val="2"/>
          <w:sz w:val="32"/>
          <w:szCs w:val="32"/>
          <w:highlight w:val="none"/>
          <w:lang w:val="en-US" w:eastAsia="zh-CN"/>
        </w:rPr>
        <w:t>采购辣椒种苗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特色农业产业（蔬菜产业）项目拟采购辣椒种苗</w:t>
      </w:r>
      <w:r>
        <w:rPr>
          <w:rFonts w:hint="default" w:ascii="Arial" w:hAnsi="Arial" w:eastAsia="仿宋_GB2312" w:cs="Arial"/>
          <w:bCs/>
          <w:kern w:val="2"/>
          <w:sz w:val="32"/>
          <w:szCs w:val="32"/>
          <w:highlight w:val="none"/>
          <w:lang w:val="en-US" w:eastAsia="zh-CN"/>
        </w:rPr>
        <w:t>1036898</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，供方已根据合同要求将种苗运送至指定地点并通过查验。依据项目支出绩效自评得分规则，采购辣椒种苗得</w:t>
      </w:r>
      <w:r>
        <w:rPr>
          <w:rFonts w:hint="eastAsia" w:ascii="Times New Roman" w:hAnsi="Times New Roman" w:eastAsia="仿宋_GB2312" w:cs="Times New Roman"/>
          <w:bCs/>
          <w:kern w:val="2"/>
          <w:sz w:val="36"/>
          <w:szCs w:val="36"/>
          <w:highlight w:val="none"/>
          <w:lang w:val="en-US" w:eastAsia="zh-CN"/>
        </w:rPr>
        <w:t>4</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④</w:t>
      </w:r>
      <w:r>
        <w:rPr>
          <w:rFonts w:hint="eastAsia" w:ascii="Times New Roman" w:hAnsi="Times New Roman" w:eastAsia="仿宋_GB2312" w:cs="Times New Roman"/>
          <w:bCs/>
          <w:kern w:val="2"/>
          <w:sz w:val="32"/>
          <w:szCs w:val="32"/>
          <w:highlight w:val="none"/>
          <w:lang w:val="en-US" w:eastAsia="zh-CN"/>
        </w:rPr>
        <w:t>采购西瓜种苗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特色农业产业（蔬菜产业）项目拟采购西瓜种苗</w:t>
      </w:r>
      <w:r>
        <w:rPr>
          <w:rFonts w:hint="default" w:ascii="Arial" w:hAnsi="Arial" w:eastAsia="仿宋_GB2312" w:cs="Arial"/>
          <w:bCs/>
          <w:kern w:val="2"/>
          <w:sz w:val="32"/>
          <w:szCs w:val="32"/>
          <w:highlight w:val="none"/>
          <w:lang w:val="en-US" w:eastAsia="zh-CN"/>
        </w:rPr>
        <w:t>410806</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，供方已根据合同要求将种苗运送至指定地点并通过查验。依据项目支出绩效自评得分规则，采购西瓜种苗得</w:t>
      </w:r>
      <w:r>
        <w:rPr>
          <w:rFonts w:hint="eastAsia" w:ascii="Times New Roman" w:hAnsi="Times New Roman" w:eastAsia="仿宋_GB2312" w:cs="Times New Roman"/>
          <w:bCs/>
          <w:kern w:val="2"/>
          <w:sz w:val="36"/>
          <w:szCs w:val="36"/>
          <w:highlight w:val="none"/>
          <w:lang w:val="en-US" w:eastAsia="zh-CN"/>
        </w:rPr>
        <w:t>4</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⑤</w:t>
      </w:r>
      <w:r>
        <w:rPr>
          <w:rFonts w:hint="eastAsia" w:ascii="Times New Roman" w:hAnsi="Times New Roman" w:eastAsia="仿宋_GB2312" w:cs="Times New Roman"/>
          <w:bCs/>
          <w:kern w:val="2"/>
          <w:sz w:val="32"/>
          <w:szCs w:val="32"/>
          <w:highlight w:val="none"/>
          <w:lang w:val="en-US" w:eastAsia="zh-CN"/>
        </w:rPr>
        <w:t>采购甜瓜种苗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特色农业产业（蔬菜产业）项目拟采购甜瓜种苗</w:t>
      </w:r>
      <w:r>
        <w:rPr>
          <w:rFonts w:hint="default" w:ascii="Arial" w:hAnsi="Arial" w:eastAsia="仿宋_GB2312" w:cs="Arial"/>
          <w:bCs/>
          <w:kern w:val="2"/>
          <w:sz w:val="32"/>
          <w:szCs w:val="32"/>
          <w:highlight w:val="none"/>
          <w:lang w:val="en-US" w:eastAsia="zh-CN"/>
        </w:rPr>
        <w:t>127772</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，供方已根据合同要求将种苗运送至指定地点并通过查验。依据项目支出绩效自评得分规则，采购甜瓜种苗得</w:t>
      </w:r>
      <w:r>
        <w:rPr>
          <w:rFonts w:hint="eastAsia" w:ascii="Times New Roman" w:hAnsi="Times New Roman" w:eastAsia="仿宋_GB2312" w:cs="Times New Roman"/>
          <w:bCs/>
          <w:kern w:val="2"/>
          <w:sz w:val="36"/>
          <w:szCs w:val="36"/>
          <w:highlight w:val="none"/>
          <w:lang w:val="en-US" w:eastAsia="zh-CN"/>
        </w:rPr>
        <w:t>4</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⑥</w:t>
      </w:r>
      <w:r>
        <w:rPr>
          <w:rFonts w:hint="eastAsia" w:ascii="Times New Roman" w:hAnsi="Times New Roman" w:eastAsia="仿宋_GB2312" w:cs="Times New Roman"/>
          <w:bCs/>
          <w:kern w:val="2"/>
          <w:sz w:val="32"/>
          <w:szCs w:val="32"/>
          <w:highlight w:val="none"/>
          <w:lang w:val="en-US" w:eastAsia="zh-CN"/>
        </w:rPr>
        <w:t>采购黄瓜种苗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特色农业产业（蔬菜产业）项目拟采购黄瓜种苗</w:t>
      </w:r>
      <w:r>
        <w:rPr>
          <w:rFonts w:hint="default" w:ascii="Arial" w:hAnsi="Arial" w:eastAsia="仿宋_GB2312" w:cs="Arial"/>
          <w:bCs/>
          <w:kern w:val="2"/>
          <w:sz w:val="32"/>
          <w:szCs w:val="32"/>
          <w:highlight w:val="none"/>
          <w:lang w:val="en-US" w:eastAsia="zh-CN"/>
        </w:rPr>
        <w:t>131066</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，供方已根据合同要求将种苗运送至指定地点并通过查验。依据项目支出绩效自评得分规则，采购黄瓜种苗得</w:t>
      </w:r>
      <w:r>
        <w:rPr>
          <w:rFonts w:hint="eastAsia" w:ascii="Times New Roman" w:hAnsi="Times New Roman" w:eastAsia="仿宋_GB2312" w:cs="Times New Roman"/>
          <w:bCs/>
          <w:kern w:val="2"/>
          <w:sz w:val="36"/>
          <w:szCs w:val="36"/>
          <w:highlight w:val="none"/>
          <w:lang w:val="en-US" w:eastAsia="zh-CN"/>
        </w:rPr>
        <w:t>4</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综上：依据项目支出绩效自评得分规则，数量指标得分24分。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特色农业产业（蔬菜产业）项目拟采购西红柿、茄子、辣椒、西瓜、甜瓜、黄瓜共计3907273株，供方已根据合同要求将种苗运送至指定地点并通过查验，验收合格率100.00%。依据项目支出绩效自评得分规则，质量指标得分9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特色农业产业（蔬菜产业）项目拟采购西红柿种苗</w:t>
      </w:r>
      <w:r>
        <w:rPr>
          <w:rFonts w:hint="default" w:ascii="Arial" w:hAnsi="Arial" w:eastAsia="仿宋_GB2312" w:cs="Arial"/>
          <w:bCs/>
          <w:kern w:val="2"/>
          <w:sz w:val="32"/>
          <w:szCs w:val="32"/>
          <w:highlight w:val="none"/>
          <w:lang w:val="en-US" w:eastAsia="zh-CN"/>
        </w:rPr>
        <w:t>1067849</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、茄子种苗</w:t>
      </w:r>
      <w:r>
        <w:rPr>
          <w:rFonts w:hint="default" w:ascii="Arial" w:hAnsi="Arial" w:eastAsia="仿宋_GB2312" w:cs="Arial"/>
          <w:bCs/>
          <w:kern w:val="2"/>
          <w:sz w:val="32"/>
          <w:szCs w:val="32"/>
          <w:highlight w:val="none"/>
          <w:lang w:val="en-US" w:eastAsia="zh-CN"/>
        </w:rPr>
        <w:t>225609</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、辣椒种苗</w:t>
      </w:r>
      <w:r>
        <w:rPr>
          <w:rFonts w:hint="default" w:ascii="Arial" w:hAnsi="Arial" w:eastAsia="仿宋_GB2312" w:cs="Arial"/>
          <w:bCs/>
          <w:kern w:val="2"/>
          <w:sz w:val="32"/>
          <w:szCs w:val="32"/>
          <w:highlight w:val="none"/>
          <w:lang w:val="en-US" w:eastAsia="zh-CN"/>
        </w:rPr>
        <w:t>1036898</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、西瓜种苗</w:t>
      </w:r>
      <w:r>
        <w:rPr>
          <w:rFonts w:hint="default" w:ascii="Arial" w:hAnsi="Arial" w:eastAsia="仿宋_GB2312" w:cs="Arial"/>
          <w:bCs/>
          <w:kern w:val="2"/>
          <w:sz w:val="32"/>
          <w:szCs w:val="32"/>
          <w:highlight w:val="none"/>
          <w:lang w:val="en-US" w:eastAsia="zh-CN"/>
        </w:rPr>
        <w:t>410806</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、甜瓜种苗</w:t>
      </w:r>
      <w:r>
        <w:rPr>
          <w:rFonts w:hint="default" w:ascii="Arial" w:hAnsi="Arial" w:eastAsia="仿宋_GB2312" w:cs="Arial"/>
          <w:bCs/>
          <w:kern w:val="2"/>
          <w:sz w:val="32"/>
          <w:szCs w:val="32"/>
          <w:highlight w:val="none"/>
          <w:lang w:val="en-US" w:eastAsia="zh-CN"/>
        </w:rPr>
        <w:t>127772</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黄瓜种苗</w:t>
      </w:r>
      <w:r>
        <w:rPr>
          <w:rFonts w:hint="default" w:ascii="Arial" w:hAnsi="Arial" w:eastAsia="仿宋_GB2312" w:cs="Arial"/>
          <w:bCs/>
          <w:kern w:val="2"/>
          <w:sz w:val="32"/>
          <w:szCs w:val="32"/>
          <w:highlight w:val="none"/>
          <w:lang w:val="en-US" w:eastAsia="zh-CN"/>
        </w:rPr>
        <w:t>131066</w:t>
      </w:r>
      <w:r>
        <w:rPr>
          <w:rFonts w:hint="eastAsia" w:ascii="Arial" w:hAnsi="Arial" w:eastAsia="仿宋_GB2312" w:cs="Arial"/>
          <w:bCs/>
          <w:kern w:val="2"/>
          <w:sz w:val="32"/>
          <w:szCs w:val="32"/>
          <w:highlight w:val="none"/>
          <w:lang w:val="en-US" w:eastAsia="zh-CN"/>
        </w:rPr>
        <w:t>株</w:t>
      </w:r>
      <w:r>
        <w:rPr>
          <w:rFonts w:hint="eastAsia" w:ascii="Times New Roman" w:hAnsi="Times New Roman" w:eastAsia="仿宋_GB2312" w:cs="Times New Roman"/>
          <w:bCs/>
          <w:kern w:val="2"/>
          <w:sz w:val="32"/>
          <w:szCs w:val="32"/>
          <w:highlight w:val="none"/>
          <w:lang w:val="en-US" w:eastAsia="zh-CN"/>
        </w:rPr>
        <w:t>，供方已根据合同要求将种苗在规定时间内运送至指定地点。依据项目支出绩效自评得分规则，时效指标得分9分。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兴县特色农业产业（蔬菜产业）项目预算资金266.85万元，实际支付资金266.85万元，预算成本完成率100.00%。依据项目支出绩效自评得分规则，成本指标得8分。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效果指标从经济效益、社会效益、生态效益和可持续影响四个方面进行考察，效果指标分值共计30分，本项目实际得分25分。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特色农业产业（蔬菜产业）项目的实施，带动兴县特色农业产业的发展，促进农业增效、农民增收，对经济发展带来明显的积极影响。依据项目支出绩效自评得分规则，经济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。特色农业产业（蔬菜产业）项目的实施，巩固拓展脱贫攻坚成果，实现蔬菜产业持续健康快速发展，社会影响度较高，社会效益较好。依据项目支出绩效自评得分规则，社会效益得8分。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指标考核项目实施对改善生态环境所带来的直接或间接的影响。特色农业产业（蔬菜产业）项目实施通过化肥农业减量使用，推动发展了无公害蔬菜的发展，保障了人民群众舌尖上的安全。项目实施对生态效益带来间接影响。依据项目支出绩效自评得分规则，生态效益得2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特色农业产业（蔬菜产业）项目实施推广了适宜我县的优质蔬菜品种，对构建我县特色蔬菜产业发展发挥了积极作用，促进了我县蔬菜产业的可持续发展。依据项目支出绩效自评得分规则，</w:t>
      </w: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得7分。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9.86</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兴县农业农村局“特色农业产业（蔬菜产业）项目”绩效</w:t>
      </w:r>
      <w:r>
        <w:rPr>
          <w:rFonts w:hint="eastAsia" w:ascii="Times New Roman" w:hAnsi="Times New Roman" w:eastAsia="仿宋_GB2312" w:cs="Times New Roman"/>
          <w:bCs/>
          <w:kern w:val="2"/>
          <w:sz w:val="32"/>
          <w:szCs w:val="32"/>
          <w:highlight w:val="none"/>
          <w:lang w:val="en-US" w:eastAsia="zh-CN"/>
        </w:rPr>
        <w:t>自</w:t>
      </w:r>
      <w:r>
        <w:rPr>
          <w:rFonts w:hint="eastAsia" w:ascii="Times New Roman" w:hAnsi="Times New Roman" w:eastAsia="仿宋_GB2312" w:cs="Times New Roman"/>
          <w:bCs/>
          <w:kern w:val="2"/>
          <w:sz w:val="32"/>
          <w:szCs w:val="32"/>
          <w:highlight w:val="none"/>
          <w:lang w:eastAsia="zh-CN"/>
        </w:rPr>
        <w:t>评得分</w:t>
      </w:r>
      <w:r>
        <w:rPr>
          <w:rFonts w:hint="eastAsia" w:ascii="Times New Roman" w:hAnsi="Times New Roman" w:eastAsia="仿宋_GB2312" w:cs="Times New Roman"/>
          <w:bCs/>
          <w:kern w:val="2"/>
          <w:sz w:val="32"/>
          <w:szCs w:val="32"/>
          <w:highlight w:val="none"/>
          <w:lang w:val="en-US" w:eastAsia="zh-CN"/>
        </w:rPr>
        <w:t>为94.86</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兴县农业农村局认真贯彻</w:t>
      </w:r>
      <w:r>
        <w:rPr>
          <w:rFonts w:hint="eastAsia" w:ascii="Times New Roman" w:hAnsi="Times New Roman" w:eastAsia="仿宋_GB2312" w:cs="Times New Roman"/>
          <w:bCs/>
          <w:kern w:val="2"/>
          <w:sz w:val="32"/>
          <w:szCs w:val="32"/>
          <w:highlight w:val="none"/>
          <w:lang w:val="en-US" w:eastAsia="zh-CN"/>
        </w:rPr>
        <w:t>县人民政府文件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w:t>
      </w:r>
      <w:r>
        <w:rPr>
          <w:rFonts w:hint="eastAsia" w:ascii="Times New Roman" w:hAnsi="Times New Roman" w:eastAsia="仿宋_GB2312" w:cs="Times New Roman"/>
          <w:bCs/>
          <w:kern w:val="2"/>
          <w:sz w:val="32"/>
          <w:szCs w:val="32"/>
          <w:highlight w:val="none"/>
          <w:lang w:val="en-US" w:eastAsia="zh-CN"/>
        </w:rPr>
        <w:t>扩展</w:t>
      </w:r>
      <w:r>
        <w:rPr>
          <w:rFonts w:hint="eastAsia" w:ascii="Times New Roman" w:hAnsi="Times New Roman" w:eastAsia="仿宋_GB2312" w:cs="Times New Roman"/>
          <w:bCs/>
          <w:kern w:val="2"/>
          <w:sz w:val="32"/>
          <w:szCs w:val="32"/>
          <w:highlight w:val="none"/>
          <w:lang w:eastAsia="zh-CN"/>
        </w:rPr>
        <w:t>脱贫</w:t>
      </w:r>
      <w:r>
        <w:rPr>
          <w:rFonts w:hint="eastAsia" w:ascii="Times New Roman" w:hAnsi="Times New Roman" w:eastAsia="仿宋_GB2312" w:cs="Times New Roman"/>
          <w:bCs/>
          <w:kern w:val="2"/>
          <w:sz w:val="32"/>
          <w:szCs w:val="32"/>
          <w:highlight w:val="none"/>
          <w:lang w:val="en-US" w:eastAsia="zh-CN"/>
        </w:rPr>
        <w:t>攻坚</w:t>
      </w:r>
      <w:r>
        <w:rPr>
          <w:rFonts w:hint="eastAsia" w:ascii="Times New Roman" w:hAnsi="Times New Roman" w:eastAsia="仿宋_GB2312" w:cs="Times New Roman"/>
          <w:bCs/>
          <w:kern w:val="2"/>
          <w:sz w:val="32"/>
          <w:szCs w:val="32"/>
          <w:highlight w:val="none"/>
          <w:lang w:eastAsia="zh-CN"/>
        </w:rPr>
        <w:t>成果</w:t>
      </w:r>
      <w:r>
        <w:rPr>
          <w:rFonts w:hint="eastAsia" w:ascii="Times New Roman" w:hAnsi="Times New Roman" w:eastAsia="仿宋_GB2312" w:cs="Times New Roman"/>
          <w:bCs/>
          <w:kern w:val="2"/>
          <w:sz w:val="32"/>
          <w:szCs w:val="32"/>
          <w:highlight w:val="none"/>
          <w:lang w:val="en-US" w:eastAsia="zh-CN"/>
        </w:rPr>
        <w:t>同向乡村振兴有效衔接</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促进农业高质高效、乡村宜居宜业、农民富裕富足，加快农业农村现代化</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lang w:val="en-US" w:eastAsia="zh-CN"/>
        </w:rPr>
        <w:t>高度重视种苗验收工作，配备工作力量，明确职责分工，完善工作机制，确保高质量完成任务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一是种苗采购以公开招投标方式确定价格予以补贴；</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二是新建日光温室、钢架大棚，按标准要求建设的经济合作总社按照建设成本全部补贴，其他经营主体按照建设成本的70%予以补贴；</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bookmarkStart w:id="15" w:name="_GoBack"/>
      <w:bookmarkEnd w:id="15"/>
      <w:r>
        <w:rPr>
          <w:rFonts w:hint="eastAsia" w:ascii="Times New Roman" w:hAnsi="Times New Roman" w:eastAsia="仿宋_GB2312" w:cs="Times New Roman"/>
          <w:bCs/>
          <w:kern w:val="2"/>
          <w:sz w:val="32"/>
          <w:szCs w:val="32"/>
          <w:highlight w:val="none"/>
          <w:lang w:val="en-US" w:eastAsia="zh-CN"/>
        </w:rPr>
        <w:t>三是老旧温室和大棚改造提质增效，按照改造成本的50%予以补贴。</w:t>
      </w:r>
      <w:bookmarkStart w:id="13"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兴县农业农村局“特色农业产业（蔬菜产业）项目”财政支出绩效自评报告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兴县农业农村局特色农业产业（蔬菜产业）项目支出绩效自评报告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33D26FA"/>
    <w:rsid w:val="04077088"/>
    <w:rsid w:val="04BA54F8"/>
    <w:rsid w:val="04CE4D00"/>
    <w:rsid w:val="04D61232"/>
    <w:rsid w:val="050E24F2"/>
    <w:rsid w:val="052E3C0D"/>
    <w:rsid w:val="054A1450"/>
    <w:rsid w:val="05EF7A74"/>
    <w:rsid w:val="063E617F"/>
    <w:rsid w:val="06417466"/>
    <w:rsid w:val="06E9012A"/>
    <w:rsid w:val="07194A37"/>
    <w:rsid w:val="071B76F7"/>
    <w:rsid w:val="071E1091"/>
    <w:rsid w:val="07DB4AB2"/>
    <w:rsid w:val="07FA71D0"/>
    <w:rsid w:val="080D606D"/>
    <w:rsid w:val="087A7671"/>
    <w:rsid w:val="089542E7"/>
    <w:rsid w:val="098C23E7"/>
    <w:rsid w:val="0AB13AD9"/>
    <w:rsid w:val="0AD10CF0"/>
    <w:rsid w:val="0B0158C3"/>
    <w:rsid w:val="0B6B08EC"/>
    <w:rsid w:val="0C417E8A"/>
    <w:rsid w:val="0C6D40FA"/>
    <w:rsid w:val="0C744984"/>
    <w:rsid w:val="0CA65E3A"/>
    <w:rsid w:val="0CBE3B32"/>
    <w:rsid w:val="0D9930B3"/>
    <w:rsid w:val="0DCB52A1"/>
    <w:rsid w:val="0E4F7E8E"/>
    <w:rsid w:val="0F4C70E1"/>
    <w:rsid w:val="0FD63482"/>
    <w:rsid w:val="0FFF2D9F"/>
    <w:rsid w:val="100A0AFC"/>
    <w:rsid w:val="10474DB4"/>
    <w:rsid w:val="107964E6"/>
    <w:rsid w:val="107C5448"/>
    <w:rsid w:val="10C6225A"/>
    <w:rsid w:val="10C65498"/>
    <w:rsid w:val="1126470E"/>
    <w:rsid w:val="122E6AC4"/>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1566C1"/>
    <w:rsid w:val="18DD61B1"/>
    <w:rsid w:val="19E57170"/>
    <w:rsid w:val="19F00F7B"/>
    <w:rsid w:val="1A35050B"/>
    <w:rsid w:val="1A913737"/>
    <w:rsid w:val="1B395649"/>
    <w:rsid w:val="1B3E133B"/>
    <w:rsid w:val="1B6245E8"/>
    <w:rsid w:val="1B711537"/>
    <w:rsid w:val="1B983250"/>
    <w:rsid w:val="1BB407AA"/>
    <w:rsid w:val="1BFA13EB"/>
    <w:rsid w:val="1C06643D"/>
    <w:rsid w:val="1C0D7CF2"/>
    <w:rsid w:val="1C347393"/>
    <w:rsid w:val="1C3916BB"/>
    <w:rsid w:val="1DEB5BE0"/>
    <w:rsid w:val="1E207988"/>
    <w:rsid w:val="1E440DD2"/>
    <w:rsid w:val="1E532178"/>
    <w:rsid w:val="1E563442"/>
    <w:rsid w:val="1E86276E"/>
    <w:rsid w:val="1E8951DC"/>
    <w:rsid w:val="1F033371"/>
    <w:rsid w:val="1F746ABF"/>
    <w:rsid w:val="1F793487"/>
    <w:rsid w:val="206E6F8A"/>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B75C8C"/>
    <w:rsid w:val="28EB6073"/>
    <w:rsid w:val="291B34E4"/>
    <w:rsid w:val="295F2E2B"/>
    <w:rsid w:val="2965576D"/>
    <w:rsid w:val="29A171E3"/>
    <w:rsid w:val="2A14362B"/>
    <w:rsid w:val="2A4A7AF0"/>
    <w:rsid w:val="2A7A5999"/>
    <w:rsid w:val="2ADF141D"/>
    <w:rsid w:val="2AF96231"/>
    <w:rsid w:val="2BB661FC"/>
    <w:rsid w:val="2BF42FA2"/>
    <w:rsid w:val="2CA80CAA"/>
    <w:rsid w:val="2D945726"/>
    <w:rsid w:val="2F7260E4"/>
    <w:rsid w:val="2F870FE2"/>
    <w:rsid w:val="2FFC48DD"/>
    <w:rsid w:val="303473CF"/>
    <w:rsid w:val="308F31FF"/>
    <w:rsid w:val="313E7EDE"/>
    <w:rsid w:val="31580F12"/>
    <w:rsid w:val="315C6BD7"/>
    <w:rsid w:val="316C6453"/>
    <w:rsid w:val="31952513"/>
    <w:rsid w:val="31FE73BF"/>
    <w:rsid w:val="32122A96"/>
    <w:rsid w:val="322E36AB"/>
    <w:rsid w:val="32555DAE"/>
    <w:rsid w:val="327D70C1"/>
    <w:rsid w:val="328D1666"/>
    <w:rsid w:val="32B63BE7"/>
    <w:rsid w:val="33380932"/>
    <w:rsid w:val="3502603F"/>
    <w:rsid w:val="352B0153"/>
    <w:rsid w:val="357251C3"/>
    <w:rsid w:val="36DA5039"/>
    <w:rsid w:val="378473D3"/>
    <w:rsid w:val="387C133F"/>
    <w:rsid w:val="38AD350C"/>
    <w:rsid w:val="38C81578"/>
    <w:rsid w:val="39C0385F"/>
    <w:rsid w:val="3B267196"/>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500160B"/>
    <w:rsid w:val="45A740DF"/>
    <w:rsid w:val="461038DC"/>
    <w:rsid w:val="46C20F13"/>
    <w:rsid w:val="46CA1ABD"/>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BB77DD1"/>
    <w:rsid w:val="4C3D18A5"/>
    <w:rsid w:val="4C714515"/>
    <w:rsid w:val="4D4B536C"/>
    <w:rsid w:val="4D7639B5"/>
    <w:rsid w:val="4DFB14C2"/>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1D207A"/>
    <w:rsid w:val="56A47B2A"/>
    <w:rsid w:val="56C50C41"/>
    <w:rsid w:val="573037C5"/>
    <w:rsid w:val="57924840"/>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5F713529"/>
    <w:rsid w:val="604B29F7"/>
    <w:rsid w:val="608D20C3"/>
    <w:rsid w:val="60AE6EFF"/>
    <w:rsid w:val="60D95F74"/>
    <w:rsid w:val="60FA2C82"/>
    <w:rsid w:val="61525CDF"/>
    <w:rsid w:val="61A65E91"/>
    <w:rsid w:val="620263EA"/>
    <w:rsid w:val="62563C59"/>
    <w:rsid w:val="628F602D"/>
    <w:rsid w:val="629973FA"/>
    <w:rsid w:val="63487AF1"/>
    <w:rsid w:val="6356577D"/>
    <w:rsid w:val="63CB0048"/>
    <w:rsid w:val="63E9389D"/>
    <w:rsid w:val="64460120"/>
    <w:rsid w:val="64C57C6B"/>
    <w:rsid w:val="64ED0194"/>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097B3F"/>
    <w:rsid w:val="6C995851"/>
    <w:rsid w:val="6D181F80"/>
    <w:rsid w:val="6D1E41E7"/>
    <w:rsid w:val="6D3F73B1"/>
    <w:rsid w:val="6D8A37F7"/>
    <w:rsid w:val="6E362DF0"/>
    <w:rsid w:val="6EAD6DEA"/>
    <w:rsid w:val="6EF873C1"/>
    <w:rsid w:val="6F5C58A8"/>
    <w:rsid w:val="6F6843E8"/>
    <w:rsid w:val="6F8C21B9"/>
    <w:rsid w:val="70E80A6C"/>
    <w:rsid w:val="71DD0D36"/>
    <w:rsid w:val="72D7609D"/>
    <w:rsid w:val="73317106"/>
    <w:rsid w:val="73F55F24"/>
    <w:rsid w:val="751B537A"/>
    <w:rsid w:val="75504B8E"/>
    <w:rsid w:val="75655534"/>
    <w:rsid w:val="75B306BD"/>
    <w:rsid w:val="75BC41B5"/>
    <w:rsid w:val="76686599"/>
    <w:rsid w:val="76D6493F"/>
    <w:rsid w:val="77460A8A"/>
    <w:rsid w:val="774F00CD"/>
    <w:rsid w:val="775478D8"/>
    <w:rsid w:val="77570494"/>
    <w:rsid w:val="788A29CA"/>
    <w:rsid w:val="79442C5B"/>
    <w:rsid w:val="79B566A9"/>
    <w:rsid w:val="7A10574B"/>
    <w:rsid w:val="7AD315B5"/>
    <w:rsid w:val="7BB97187"/>
    <w:rsid w:val="7C050874"/>
    <w:rsid w:val="7C1C3664"/>
    <w:rsid w:val="7C3E139D"/>
    <w:rsid w:val="7C574FCB"/>
    <w:rsid w:val="7CB63CAD"/>
    <w:rsid w:val="7D7C7ECD"/>
    <w:rsid w:val="7DF22919"/>
    <w:rsid w:val="7DFA516C"/>
    <w:rsid w:val="7E1114DA"/>
    <w:rsid w:val="7E8B4EC4"/>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5375</Words>
  <Characters>5715</Characters>
  <Lines>0</Lines>
  <Paragraphs>0</Paragraphs>
  <TotalTime>3</TotalTime>
  <ScaleCrop>false</ScaleCrop>
  <LinksUpToDate>false</LinksUpToDate>
  <CharactersWithSpaces>5735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2022-09-04T02:58:50Z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