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中央转移支付农业生产救灾</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6月以来，兴县持续高温，无有效降水，致使全县经历了大面积干旱，所有乡镇不同程度受灾。旱平地、坡地农作物几乎绝收，坝沟地、淤地坝农作物减产70%左右。据统计，各类农作木受灾面积313672.24亩，成灾面积274484.59亩，成灾170042.02亩，造成农业直接经济损失20300.44万元。灾情发生后，各级领导高度重视，结合旱情实际，积极制定农业生产自救通知，指导各乡镇开展生产自救，全面进行灾后重建、核实灾情的工作。努力将旱情影响降到最低，最大限度减少受旱面积，最大程度减少农民经济损失。</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山西农业农村厅关于《下达2021年中央农业生产救灾资金（第二批）计划》的通知（晋农计发〔2021〕24号）；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兴县农业农村局关于《做好农业生产救灾资金发放工作》的通知（兴农发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81号）；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各乡（镇）人民政府是本次农作物受灾面积核实确认和救灾资金发放工作的责任主体。一定要确定专人负责，对各乡镇上报农业农村局的农作物受灾面积进一步核实。同时严格执行公开公示制度，在乡镇、村委进行公示，接受社会和群众监督，提高救灾资金的透明度。结合我县今年农作物受灾情况，经研究决定农作物绝收面积每亩补助13元；成灾面积（不含绝收）每亩补助5.55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兴县农业农村局中央转移支付农业生产救灾项目预算资金</w:t>
      </w:r>
      <w:r>
        <w:rPr>
          <w:rFonts w:hint="eastAsia" w:ascii="Times New Roman" w:hAnsi="Times New Roman" w:eastAsia="仿宋_GB2312" w:cs="Times New Roman"/>
          <w:bCs/>
          <w:kern w:val="2"/>
          <w:sz w:val="32"/>
          <w:szCs w:val="32"/>
          <w:highlight w:val="none"/>
          <w:lang w:val="en-US" w:eastAsia="zh-CN"/>
        </w:rPr>
        <w:t>279.00万元。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截至</w:t>
      </w:r>
      <w:r>
        <w:rPr>
          <w:rFonts w:hint="eastAsia" w:ascii="Times New Roman" w:hAnsi="Times New Roman" w:eastAsia="仿宋_GB2312" w:cs="Times New Roman"/>
          <w:bCs/>
          <w:kern w:val="2"/>
          <w:sz w:val="32"/>
          <w:szCs w:val="32"/>
          <w:highlight w:val="none"/>
          <w:lang w:val="en-US" w:eastAsia="zh-CN"/>
        </w:rPr>
        <w:t>2021年末</w:t>
      </w:r>
      <w:r>
        <w:rPr>
          <w:rFonts w:hint="eastAsia" w:ascii="Times New Roman" w:hAnsi="Times New Roman" w:eastAsia="仿宋_GB2312" w:cs="Times New Roman"/>
          <w:bCs/>
          <w:kern w:val="2"/>
          <w:sz w:val="32"/>
          <w:szCs w:val="32"/>
          <w:highlight w:val="none"/>
          <w:lang w:eastAsia="zh-CN"/>
        </w:rPr>
        <w:t>中央转移支付农业生产救灾项目资金支付各乡镇</w:t>
      </w:r>
      <w:r>
        <w:rPr>
          <w:rFonts w:hint="eastAsia" w:ascii="Times New Roman" w:hAnsi="Times New Roman" w:eastAsia="仿宋_GB2312" w:cs="Times New Roman"/>
          <w:bCs/>
          <w:kern w:val="2"/>
          <w:sz w:val="32"/>
          <w:szCs w:val="32"/>
          <w:highlight w:val="none"/>
          <w:lang w:val="en-US" w:eastAsia="zh-CN"/>
        </w:rPr>
        <w:t>278.96万元用于农业生产救灾。</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对全县</w:t>
      </w:r>
      <w:r>
        <w:rPr>
          <w:rFonts w:hint="eastAsia" w:ascii="Times New Roman" w:hAnsi="Times New Roman" w:eastAsia="仿宋_GB2312" w:cs="Times New Roman"/>
          <w:bCs/>
          <w:kern w:val="2"/>
          <w:sz w:val="32"/>
          <w:szCs w:val="32"/>
          <w:highlight w:val="none"/>
          <w:lang w:val="en-US" w:eastAsia="zh-CN"/>
        </w:rPr>
        <w:t>15个乡镇4500余户受灾农民进行灾后重建支持，尽快恢复粮食等农业生产，有效解决生产主体资金不足，难以自救的问题，有效促进农业增效和农民增收。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梳理中央转移支付农业生产救灾项目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参考财政部项目支出绩效评价指标体系框架，结合项目的实际情况及项目绩效评价原则，构建2021年</w:t>
      </w:r>
      <w:r>
        <w:rPr>
          <w:rFonts w:hint="eastAsia" w:ascii="Times New Roman" w:hAnsi="Times New Roman" w:eastAsia="仿宋_GB2312" w:cs="Times New Roman"/>
          <w:bCs/>
          <w:kern w:val="2"/>
          <w:sz w:val="32"/>
          <w:szCs w:val="32"/>
          <w:highlight w:val="none"/>
          <w:lang w:eastAsia="zh-CN"/>
        </w:rPr>
        <w:t>中央转移支付农业生产救灾项目</w:t>
      </w:r>
      <w:r>
        <w:rPr>
          <w:rFonts w:hint="eastAsia" w:ascii="Times New Roman" w:hAnsi="Times New Roman" w:eastAsia="仿宋_GB2312" w:cs="Times New Roman"/>
          <w:bCs/>
          <w:kern w:val="2"/>
          <w:sz w:val="32"/>
          <w:szCs w:val="32"/>
          <w:highlight w:val="none"/>
          <w:lang w:val="en-US" w:eastAsia="zh-CN"/>
        </w:rPr>
        <w:t>的绩效评价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年中央转移支付农业生产救灾项目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w:t>
      </w:r>
      <w:r>
        <w:rPr>
          <w:rFonts w:hint="eastAsia" w:ascii="Times New Roman" w:hAnsi="Times New Roman" w:eastAsia="仿宋_GB2312" w:cs="Times New Roman"/>
          <w:bCs/>
          <w:kern w:val="2"/>
          <w:sz w:val="32"/>
          <w:szCs w:val="32"/>
          <w:highlight w:val="none"/>
          <w:lang w:val="en-US" w:eastAsia="zh-CN"/>
        </w:rPr>
        <w:t>评价指标体系确定的评价指标、评价权重、评价标准和评价方法，对评价对象进行全面的定量、定性分析和综合评价，形成评价结论。</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投入指标从项目资金执行情况方面进行考察，投入指标分值共计10分，本项目实际得分9.99分：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中央转移支付农业生产救灾项目</w:t>
      </w:r>
      <w:r>
        <w:rPr>
          <w:rFonts w:hint="eastAsia" w:ascii="Times New Roman" w:hAnsi="Times New Roman" w:eastAsia="仿宋_GB2312" w:cs="Times New Roman"/>
          <w:bCs/>
          <w:kern w:val="2"/>
          <w:sz w:val="32"/>
          <w:szCs w:val="32"/>
          <w:highlight w:val="none"/>
          <w:lang w:val="en-US" w:eastAsia="zh-CN"/>
        </w:rPr>
        <w:t>全年预算金额279.00万元，全年支出金额278.96万元。执行率=全年支出金额/全年预算金额=278.96/279.00=99.99%。</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依据项目支出绩效自评得分规则，项目资金全年预算执行率得9.99分。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Calibri" w:hAnsi="Calibri" w:eastAsia="仿宋_GB2312" w:cs="Calibri"/>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数量指标-支持灾后农业生产恢复面积（万亩）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2021年度兴县播种面积36.49万亩，实际受灾31.37万亩，受灾面积较大，为稳住粮食稳产增产，利用</w:t>
      </w:r>
      <w:r>
        <w:rPr>
          <w:rFonts w:hint="eastAsia" w:ascii="Times New Roman" w:hAnsi="Times New Roman" w:eastAsia="仿宋_GB2312" w:cs="Times New Roman"/>
          <w:bCs/>
          <w:kern w:val="2"/>
          <w:sz w:val="32"/>
          <w:szCs w:val="32"/>
          <w:highlight w:val="none"/>
          <w:lang w:eastAsia="zh-CN"/>
        </w:rPr>
        <w:t>中央转移支付农业生产救灾资金支持灾后农业生产恢复面积</w:t>
      </w:r>
      <w:r>
        <w:rPr>
          <w:rFonts w:hint="eastAsia" w:ascii="Times New Roman" w:hAnsi="Times New Roman" w:eastAsia="仿宋_GB2312" w:cs="Times New Roman"/>
          <w:bCs/>
          <w:kern w:val="2"/>
          <w:sz w:val="32"/>
          <w:szCs w:val="32"/>
          <w:highlight w:val="none"/>
          <w:lang w:val="en-US" w:eastAsia="zh-CN"/>
        </w:rPr>
        <w:t>28</w:t>
      </w:r>
      <w:r>
        <w:rPr>
          <w:rFonts w:hint="eastAsia" w:ascii="Times New Roman" w:hAnsi="Times New Roman" w:eastAsia="仿宋_GB2312" w:cs="Times New Roman"/>
          <w:bCs/>
          <w:kern w:val="2"/>
          <w:sz w:val="32"/>
          <w:szCs w:val="32"/>
          <w:highlight w:val="none"/>
          <w:lang w:eastAsia="zh-CN"/>
        </w:rPr>
        <w:t>万余亩</w:t>
      </w:r>
      <w:r>
        <w:rPr>
          <w:rFonts w:hint="eastAsia" w:ascii="Times New Roman" w:hAnsi="Times New Roman" w:eastAsia="仿宋_GB2312" w:cs="Times New Roman"/>
          <w:bCs/>
          <w:kern w:val="2"/>
          <w:sz w:val="32"/>
          <w:szCs w:val="32"/>
          <w:highlight w:val="none"/>
          <w:lang w:val="en-US" w:eastAsia="zh-CN"/>
        </w:rPr>
        <w:t>。依据项目支出绩效自评得分规则，数量指标得20分。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质量指标-用于农业生产救灾相关支出的比例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在受灾后，中央转移支付农业生产救灾资金全部用于灾后相关支出，支出比例接近100%。依据项目支出绩效自评得分规则，质量指标得10分。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时效指标-及时拨付救灾资金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灾后第一时间由各村各乡镇进行受灾户数、受灾面积等统计工作，在完成相关统计后报县农业农村局，经农业农村局审核无误后，及时拨付救灾资金，确保灾后农业生产第一时间恢复。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成本指标-严格执行资金预算管理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中央转移支付农业生产救灾资金严格执行预算管理，确保资金用在“刀刃”上</w:t>
      </w: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eastAsia" w:ascii="Times New Roman" w:hAnsi="Times New Roman" w:eastAsia="仿宋_GB2312" w:cs="Times New Roman"/>
          <w:bCs/>
          <w:kern w:val="2"/>
          <w:sz w:val="32"/>
          <w:szCs w:val="32"/>
          <w:highlight w:val="none"/>
          <w:lang w:eastAsia="zh-CN"/>
        </w:rPr>
        <w:t>中央转移支付农业生产救灾成本指标</w:t>
      </w:r>
      <w:r>
        <w:rPr>
          <w:rFonts w:hint="eastAsia" w:ascii="Times New Roman" w:hAnsi="Times New Roman" w:eastAsia="仿宋_GB2312" w:cs="Times New Roman"/>
          <w:bCs/>
          <w:kern w:val="2"/>
          <w:sz w:val="32"/>
          <w:szCs w:val="32"/>
          <w:highlight w:val="none"/>
          <w:lang w:val="en-US" w:eastAsia="zh-CN"/>
        </w:rPr>
        <w:t>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效果指标从社会效益、生态效益和可持续影响三个方面进行考察，效果指标分值共计30分，本项目实际得分30分：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。兴县受灾区域在受灾后第一时间完成改补种，保证粮食收成不降低。促进农民生产、生活趋于向好，社会效益较高。依据项目支出绩效自评得分规则，社会效益得10分。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w:t>
      </w:r>
      <w:r>
        <w:rPr>
          <w:rFonts w:hint="eastAsia" w:ascii="Times New Roman" w:hAnsi="Times New Roman" w:eastAsia="仿宋_GB2312" w:cs="Times New Roman"/>
          <w:bCs/>
          <w:kern w:val="2"/>
          <w:sz w:val="32"/>
          <w:szCs w:val="32"/>
          <w:highlight w:val="none"/>
          <w:lang w:eastAsia="zh-CN"/>
        </w:rPr>
        <w:t>中央转移支付农业生产救灾资金到位后，提升灾区灾后生产能力的恢复，生态环境趋于向好。</w:t>
      </w:r>
      <w:r>
        <w:rPr>
          <w:rFonts w:hint="eastAsia" w:ascii="Times New Roman" w:hAnsi="Times New Roman" w:eastAsia="仿宋_GB2312" w:cs="Times New Roman"/>
          <w:bCs/>
          <w:kern w:val="2"/>
          <w:sz w:val="32"/>
          <w:szCs w:val="32"/>
          <w:highlight w:val="none"/>
          <w:lang w:val="en-US" w:eastAsia="zh-CN"/>
        </w:rPr>
        <w:t>依据项目支出绩效自评得分规则，生态效益得10分。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w:t>
      </w:r>
      <w:r>
        <w:rPr>
          <w:rFonts w:hint="eastAsia" w:ascii="Times New Roman" w:hAnsi="Times New Roman" w:eastAsia="仿宋_GB2312" w:cs="Times New Roman"/>
          <w:bCs/>
          <w:kern w:val="2"/>
          <w:sz w:val="32"/>
          <w:szCs w:val="32"/>
          <w:highlight w:val="none"/>
          <w:lang w:eastAsia="zh-CN"/>
        </w:rPr>
        <w:t>中央转移支付农业生产救灾进一步提高灾后改补种的能力，调动农民生产积极性，让粮食播种面积保持稳定。保证粮食生产可持续增长。</w:t>
      </w:r>
      <w:r>
        <w:rPr>
          <w:rFonts w:hint="eastAsia" w:ascii="Times New Roman" w:hAnsi="Times New Roman" w:eastAsia="仿宋_GB2312" w:cs="Times New Roman"/>
          <w:bCs/>
          <w:kern w:val="2"/>
          <w:sz w:val="32"/>
          <w:szCs w:val="32"/>
          <w:highlight w:val="none"/>
          <w:lang w:val="en-US" w:eastAsia="zh-CN"/>
        </w:rPr>
        <w:t>根据绩效评价指标体系，可持续影响得10分。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服务对象满意度-受益群众满意度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受益群众</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考核受益</w:t>
      </w:r>
      <w:r>
        <w:rPr>
          <w:rFonts w:hint="default" w:ascii="Times New Roman" w:hAnsi="Times New Roman" w:eastAsia="仿宋_GB2312" w:cs="Times New Roman"/>
          <w:bCs/>
          <w:kern w:val="2"/>
          <w:sz w:val="32"/>
          <w:szCs w:val="32"/>
          <w:highlight w:val="none"/>
          <w:lang w:val="en-US" w:eastAsia="zh-CN"/>
        </w:rPr>
        <w:t>对象对项目实施效果的满意程度</w:t>
      </w:r>
      <w:r>
        <w:rPr>
          <w:rFonts w:hint="eastAsia" w:ascii="Times New Roman" w:hAnsi="Times New Roman" w:eastAsia="仿宋_GB2312" w:cs="Times New Roman"/>
          <w:bCs/>
          <w:kern w:val="2"/>
          <w:sz w:val="32"/>
          <w:szCs w:val="32"/>
          <w:highlight w:val="none"/>
          <w:lang w:val="en-US" w:eastAsia="zh-CN"/>
        </w:rPr>
        <w:t>。经走访调查，群众百姓对该项目的实施非常满意。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依据项目支出绩效自评得分规则，受益群众</w:t>
      </w:r>
      <w:r>
        <w:rPr>
          <w:rFonts w:hint="default" w:ascii="Times New Roman" w:hAnsi="Times New Roman" w:eastAsia="仿宋_GB2312" w:cs="Times New Roman"/>
          <w:bCs/>
          <w:kern w:val="2"/>
          <w:sz w:val="32"/>
          <w:szCs w:val="32"/>
          <w:highlight w:val="none"/>
          <w:lang w:val="en-US" w:eastAsia="zh-CN"/>
        </w:rPr>
        <w:t>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年度中央转移支付农业生产救灾项目绩效评价得分</w:t>
      </w:r>
      <w:r>
        <w:rPr>
          <w:rFonts w:hint="eastAsia" w:ascii="Times New Roman" w:hAnsi="Times New Roman" w:eastAsia="仿宋_GB2312" w:cs="Times New Roman"/>
          <w:bCs/>
          <w:kern w:val="2"/>
          <w:sz w:val="32"/>
          <w:szCs w:val="32"/>
          <w:highlight w:val="none"/>
          <w:lang w:val="en-US" w:eastAsia="zh-CN"/>
        </w:rPr>
        <w:t>为99.99</w:t>
      </w:r>
      <w:r>
        <w:rPr>
          <w:rFonts w:hint="eastAsia" w:ascii="Times New Roman" w:hAnsi="Times New Roman" w:eastAsia="仿宋_GB2312" w:cs="Times New Roman"/>
          <w:bCs/>
          <w:kern w:val="2"/>
          <w:sz w:val="32"/>
          <w:szCs w:val="32"/>
          <w:highlight w:val="none"/>
          <w:lang w:eastAsia="zh-CN"/>
        </w:rPr>
        <w:t>分，评价等级为“优”。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落实农业生产救灾资金，事关广大人民群众的切身利益，救灾资金下拨乡镇后，各乡镇快速组织实施，加快资金支付进度，以“一折（卡）通”方式的将救灾资金足额发放至受灾农户手中，帮助稳定其生产生活。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严格执行预算管理的有关程序和规定，按照要求使用救灾资金，严肃财经纪律，规范资金管理，坚决杜绝违规分配或使用资金的行为发生。安排专人负责收集整理相关资料，做好相关凭证留存，建立专门档案，确保资金使用经得起考验。</w:t>
      </w: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bookmarkStart w:id="13" w:name="_GoBack"/>
      <w:bookmarkEnd w:id="13"/>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兴县农业农村局中央转移支付农业生产救灾项目支出绩效自评报告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兴县农业农村局中央转移支付农业生产救灾项目支出绩效自评报告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0F6411B"/>
    <w:rsid w:val="0123460F"/>
    <w:rsid w:val="0125392E"/>
    <w:rsid w:val="018A1742"/>
    <w:rsid w:val="01AE0598"/>
    <w:rsid w:val="020759A6"/>
    <w:rsid w:val="02276599"/>
    <w:rsid w:val="022B3E21"/>
    <w:rsid w:val="029B525A"/>
    <w:rsid w:val="029C4B68"/>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07C1B"/>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C65275"/>
    <w:rsid w:val="18004A29"/>
    <w:rsid w:val="18435ED1"/>
    <w:rsid w:val="18DD61B1"/>
    <w:rsid w:val="19BC7312"/>
    <w:rsid w:val="19E57170"/>
    <w:rsid w:val="19F00F7B"/>
    <w:rsid w:val="1A35050B"/>
    <w:rsid w:val="1A913737"/>
    <w:rsid w:val="1B395649"/>
    <w:rsid w:val="1B3E133B"/>
    <w:rsid w:val="1B6245E8"/>
    <w:rsid w:val="1B711537"/>
    <w:rsid w:val="1B94186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2DB0959"/>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B67307"/>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560B58"/>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1AA260C"/>
    <w:rsid w:val="42143DB4"/>
    <w:rsid w:val="42F064E9"/>
    <w:rsid w:val="43894CC0"/>
    <w:rsid w:val="43AA0DD9"/>
    <w:rsid w:val="43CD2ACE"/>
    <w:rsid w:val="43F919D7"/>
    <w:rsid w:val="442D736F"/>
    <w:rsid w:val="446C23AB"/>
    <w:rsid w:val="4500160B"/>
    <w:rsid w:val="453F306A"/>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20CCA"/>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4EC0D0E"/>
    <w:rsid w:val="6526199D"/>
    <w:rsid w:val="655F187A"/>
    <w:rsid w:val="65793114"/>
    <w:rsid w:val="65E04CC8"/>
    <w:rsid w:val="65F40890"/>
    <w:rsid w:val="66626028"/>
    <w:rsid w:val="66733FAD"/>
    <w:rsid w:val="66C13408"/>
    <w:rsid w:val="67342380"/>
    <w:rsid w:val="674134C2"/>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067972"/>
    <w:rsid w:val="72D7609D"/>
    <w:rsid w:val="73317106"/>
    <w:rsid w:val="73F55F24"/>
    <w:rsid w:val="751B537A"/>
    <w:rsid w:val="756133D1"/>
    <w:rsid w:val="75655534"/>
    <w:rsid w:val="75B306BD"/>
    <w:rsid w:val="75BC41B5"/>
    <w:rsid w:val="76686599"/>
    <w:rsid w:val="76D6493F"/>
    <w:rsid w:val="77460A8A"/>
    <w:rsid w:val="774F00CD"/>
    <w:rsid w:val="775478D8"/>
    <w:rsid w:val="77570494"/>
    <w:rsid w:val="788A29CA"/>
    <w:rsid w:val="79B566A9"/>
    <w:rsid w:val="79DA0F68"/>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4345</Words>
  <Characters>4552</Characters>
  <Lines>0</Lines>
  <Paragraphs>0</Paragraphs>
  <TotalTime>1</TotalTime>
  <ScaleCrop>false</ScaleCrop>
  <LinksUpToDate>false</LinksUpToDate>
  <CharactersWithSpaces>4571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2022-09-03T06:56:01Z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