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002"/>
        <w:spacing w:before="140" w:line="215" w:lineRule="auto"/>
        <w:rPr>
          <w:rFonts w:ascii="SimSun" w:hAnsi="SimSun" w:eastAsia="SimSun" w:cs="SimSun"/>
          <w:sz w:val="43"/>
          <w:szCs w:val="43"/>
        </w:rPr>
      </w:pPr>
      <w:r>
        <w:rPr>
          <w:rFonts w:ascii="SimSun" w:hAnsi="SimSun" w:eastAsia="SimSun" w:cs="SimSun"/>
          <w:sz w:val="43"/>
          <w:szCs w:val="43"/>
          <w:spacing w:val="102"/>
        </w:rPr>
        <w:t>兴县高家村镇中心卫生院</w:t>
      </w:r>
    </w:p>
    <w:p>
      <w:pPr>
        <w:pStyle w:val="BodyText"/>
        <w:spacing w:line="384"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7"/>
          <w:position w:val="2"/>
        </w:rPr>
        <w:t>2</w:t>
      </w:r>
      <w:r>
        <w:rPr>
          <w:rFonts w:ascii="SimSun" w:hAnsi="SimSun" w:eastAsia="SimSun" w:cs="SimSun"/>
          <w:sz w:val="43"/>
          <w:szCs w:val="43"/>
          <w:spacing w:val="-88"/>
          <w:position w:val="2"/>
        </w:rPr>
        <w:t xml:space="preserve"> </w:t>
      </w:r>
      <w:r>
        <w:rPr>
          <w:rFonts w:ascii="SimSun" w:hAnsi="SimSun" w:eastAsia="SimSun" w:cs="SimSun"/>
          <w:sz w:val="43"/>
          <w:szCs w:val="43"/>
          <w:spacing w:val="7"/>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7"/>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7"/>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7"/>
          <w:position w:val="2"/>
        </w:rPr>
        <w:t>度</w:t>
      </w:r>
      <w:r>
        <w:rPr>
          <w:rFonts w:ascii="SimSun" w:hAnsi="SimSun" w:eastAsia="SimSun" w:cs="SimSun"/>
          <w:sz w:val="43"/>
          <w:szCs w:val="43"/>
          <w:spacing w:val="-95"/>
          <w:position w:val="2"/>
        </w:rPr>
        <w:t xml:space="preserve"> </w:t>
      </w:r>
      <w:r>
        <w:rPr>
          <w:rFonts w:ascii="SimSun" w:hAnsi="SimSun" w:eastAsia="SimSun" w:cs="SimSun"/>
          <w:sz w:val="43"/>
          <w:szCs w:val="43"/>
          <w:spacing w:val="7"/>
          <w:position w:val="2"/>
        </w:rPr>
        <w:t>单</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位</w:t>
      </w:r>
      <w:r>
        <w:rPr>
          <w:rFonts w:ascii="SimSun" w:hAnsi="SimSun" w:eastAsia="SimSun" w:cs="SimSun"/>
          <w:sz w:val="43"/>
          <w:szCs w:val="43"/>
          <w:spacing w:val="-108"/>
          <w:position w:val="2"/>
        </w:rPr>
        <w:t xml:space="preserve"> </w:t>
      </w:r>
      <w:r>
        <w:rPr>
          <w:rFonts w:ascii="SimSun" w:hAnsi="SimSun" w:eastAsia="SimSun" w:cs="SimSun"/>
          <w:sz w:val="43"/>
          <w:szCs w:val="43"/>
          <w:spacing w:val="7"/>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7"/>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27</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27</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27</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36</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26"/>
        <w:spacing w:before="283" w:line="222" w:lineRule="auto"/>
        <w:rPr>
          <w:rFonts w:ascii="FangSong" w:hAnsi="FangSong" w:eastAsia="FangSong" w:cs="FangSong"/>
          <w:sz w:val="24"/>
          <w:szCs w:val="24"/>
        </w:rPr>
      </w:pPr>
      <w:r>
        <w:rPr>
          <w:rFonts w:ascii="FangSong" w:hAnsi="FangSong" w:eastAsia="FangSong" w:cs="FangSong"/>
          <w:sz w:val="24"/>
          <w:szCs w:val="24"/>
          <w:spacing w:val="-2"/>
        </w:rPr>
        <w:t>1、提供基本医疗服务,以常见病、多发病的诊疗、护理、康复等综合服务为主。</w:t>
      </w:r>
    </w:p>
    <w:p>
      <w:pPr>
        <w:ind w:left="1522" w:right="1880" w:hanging="11"/>
        <w:spacing w:before="115" w:line="267" w:lineRule="auto"/>
        <w:rPr>
          <w:rFonts w:ascii="FangSong" w:hAnsi="FangSong" w:eastAsia="FangSong" w:cs="FangSong"/>
          <w:sz w:val="24"/>
          <w:szCs w:val="24"/>
        </w:rPr>
      </w:pPr>
      <w:r>
        <w:rPr>
          <w:rFonts w:ascii="FangSong" w:hAnsi="FangSong" w:eastAsia="FangSong" w:cs="FangSong"/>
          <w:sz w:val="24"/>
          <w:szCs w:val="24"/>
        </w:rPr>
        <w:t>2、提供基本公共卫生服务,承担辖区内的公共卫生管</w:t>
      </w:r>
      <w:r>
        <w:rPr>
          <w:rFonts w:ascii="FangSong" w:hAnsi="FangSong" w:eastAsia="FangSong" w:cs="FangSong"/>
          <w:sz w:val="24"/>
          <w:szCs w:val="24"/>
          <w:spacing w:val="-1"/>
        </w:rPr>
        <w:t>理工作,负责对村卫生室的综</w:t>
      </w:r>
      <w:r>
        <w:rPr>
          <w:rFonts w:ascii="FangSong" w:hAnsi="FangSong" w:eastAsia="FangSong" w:cs="FangSong"/>
          <w:sz w:val="24"/>
          <w:szCs w:val="24"/>
        </w:rPr>
        <w:t xml:space="preserve"> </w:t>
      </w:r>
      <w:r>
        <w:rPr>
          <w:rFonts w:ascii="FangSong" w:hAnsi="FangSong" w:eastAsia="FangSong" w:cs="FangSong"/>
          <w:sz w:val="24"/>
          <w:szCs w:val="24"/>
          <w:spacing w:val="-4"/>
        </w:rPr>
        <w:t>合管理、技术指导的乡医的培训等。</w:t>
      </w:r>
    </w:p>
    <w:p>
      <w:pPr>
        <w:ind w:left="1517" w:right="1760" w:hanging="4"/>
        <w:spacing w:before="102" w:line="272" w:lineRule="auto"/>
        <w:rPr>
          <w:rFonts w:ascii="FangSong" w:hAnsi="FangSong" w:eastAsia="FangSong" w:cs="FangSong"/>
          <w:sz w:val="24"/>
          <w:szCs w:val="24"/>
        </w:rPr>
      </w:pPr>
      <w:r>
        <w:rPr>
          <w:rFonts w:ascii="FangSong" w:hAnsi="FangSong" w:eastAsia="FangSong" w:cs="FangSong"/>
          <w:sz w:val="24"/>
          <w:szCs w:val="24"/>
        </w:rPr>
        <w:t>3、实施国家基本药物制度和新型农村合作医疗制</w:t>
      </w:r>
      <w:r>
        <w:rPr>
          <w:rFonts w:ascii="FangSong" w:hAnsi="FangSong" w:eastAsia="FangSong" w:cs="FangSong"/>
          <w:sz w:val="24"/>
          <w:szCs w:val="24"/>
          <w:spacing w:val="-1"/>
        </w:rPr>
        <w:t>度,推行分级诊疗和乡村一体化管</w:t>
      </w:r>
      <w:r>
        <w:rPr>
          <w:rFonts w:ascii="FangSong" w:hAnsi="FangSong" w:eastAsia="FangSong" w:cs="FangSong"/>
          <w:sz w:val="24"/>
          <w:szCs w:val="24"/>
        </w:rPr>
        <w:t xml:space="preserve"> </w:t>
      </w:r>
      <w:r>
        <w:rPr>
          <w:rFonts w:ascii="FangSong" w:hAnsi="FangSong" w:eastAsia="FangSong" w:cs="FangSong"/>
          <w:sz w:val="24"/>
          <w:szCs w:val="24"/>
          <w:spacing w:val="-13"/>
        </w:rPr>
        <w:t>理。</w:t>
      </w:r>
    </w:p>
    <w:p>
      <w:pPr>
        <w:ind w:left="1513"/>
        <w:spacing w:before="281"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9"/>
        <w:spacing w:before="102" w:line="220" w:lineRule="auto"/>
        <w:rPr>
          <w:rFonts w:ascii="FangSong" w:hAnsi="FangSong" w:eastAsia="FangSong" w:cs="FangSong"/>
          <w:sz w:val="24"/>
          <w:szCs w:val="24"/>
        </w:rPr>
      </w:pPr>
      <w:r>
        <w:rPr>
          <w:rFonts w:ascii="FangSong" w:hAnsi="FangSong" w:eastAsia="FangSong" w:cs="FangSong"/>
          <w:sz w:val="24"/>
          <w:szCs w:val="24"/>
          <w:spacing w:val="-3"/>
        </w:rPr>
        <w:t>人员构成:设院长1名,工作人员13名。</w:t>
      </w:r>
    </w:p>
    <w:p>
      <w:pPr>
        <w:ind w:left="1545"/>
        <w:spacing w:before="118" w:line="222" w:lineRule="auto"/>
        <w:rPr>
          <w:rFonts w:ascii="FangSong" w:hAnsi="FangSong" w:eastAsia="FangSong" w:cs="FangSong"/>
          <w:sz w:val="24"/>
          <w:szCs w:val="24"/>
        </w:rPr>
      </w:pPr>
      <w:r>
        <w:rPr>
          <w:rFonts w:ascii="FangSong" w:hAnsi="FangSong" w:eastAsia="FangSong" w:cs="FangSong"/>
          <w:sz w:val="24"/>
          <w:szCs w:val="24"/>
          <w:spacing w:val="-3"/>
        </w:rPr>
        <w:t>内设科室:办公室、门诊、住院、药房、收费室、财务室、农合办等。</w:t>
      </w:r>
    </w:p>
    <w:p>
      <w:pPr>
        <w:spacing w:line="222"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单位名称：兴县高家村镇中心卫生院</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3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1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2"/>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272.99</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9"/>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15.84</w:t>
            </w:r>
          </w:p>
        </w:tc>
        <w:tc>
          <w:tcPr>
            <w:tcW w:w="1153" w:type="dxa"/>
            <w:vAlign w:val="top"/>
          </w:tcPr>
          <w:p>
            <w:pPr>
              <w:ind w:right="25"/>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15.84</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2"/>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244.04</w:t>
            </w:r>
          </w:p>
        </w:tc>
        <w:tc>
          <w:tcPr>
            <w:tcW w:w="1153" w:type="dxa"/>
            <w:vAlign w:val="top"/>
          </w:tcPr>
          <w:p>
            <w:pPr>
              <w:ind w:right="28"/>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244.04</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9"/>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13.12</w:t>
            </w:r>
          </w:p>
        </w:tc>
        <w:tc>
          <w:tcPr>
            <w:tcW w:w="1153"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13.12</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57"/>
              <w:spacing w:before="186" w:line="183" w:lineRule="auto"/>
              <w:rPr>
                <w:sz w:val="15"/>
                <w:szCs w:val="15"/>
              </w:rPr>
            </w:pPr>
            <w:r>
              <w:rPr>
                <w:sz w:val="15"/>
                <w:szCs w:val="15"/>
                <w:color w:val="212529"/>
                <w:spacing w:val="3"/>
              </w:rPr>
              <w:t>272.</w:t>
            </w:r>
            <w:r>
              <w:rPr>
                <w:sz w:val="15"/>
                <w:szCs w:val="15"/>
                <w:color w:val="212529"/>
                <w:spacing w:val="9"/>
              </w:rPr>
              <w:t xml:space="preserve"> </w:t>
            </w:r>
            <w:r>
              <w:rPr>
                <w:sz w:val="15"/>
                <w:szCs w:val="15"/>
                <w:color w:val="212529"/>
                <w:spacing w:val="3"/>
              </w:rPr>
              <w:t>99</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3"/>
              <w:spacing w:before="186" w:line="183" w:lineRule="auto"/>
              <w:rPr>
                <w:sz w:val="15"/>
                <w:szCs w:val="15"/>
              </w:rPr>
            </w:pPr>
            <w:r>
              <w:rPr>
                <w:sz w:val="15"/>
                <w:szCs w:val="15"/>
                <w:color w:val="212529"/>
                <w:spacing w:val="3"/>
              </w:rPr>
              <w:t>272.</w:t>
            </w:r>
            <w:r>
              <w:rPr>
                <w:sz w:val="15"/>
                <w:szCs w:val="15"/>
                <w:color w:val="212529"/>
                <w:spacing w:val="9"/>
              </w:rPr>
              <w:t xml:space="preserve"> </w:t>
            </w:r>
            <w:r>
              <w:rPr>
                <w:sz w:val="15"/>
                <w:szCs w:val="15"/>
                <w:color w:val="212529"/>
                <w:spacing w:val="3"/>
              </w:rPr>
              <w:t>99</w:t>
            </w:r>
          </w:p>
        </w:tc>
        <w:tc>
          <w:tcPr>
            <w:tcW w:w="1153" w:type="dxa"/>
            <w:vAlign w:val="top"/>
          </w:tcPr>
          <w:p>
            <w:pPr>
              <w:pStyle w:val="TableText"/>
              <w:ind w:left="577"/>
              <w:spacing w:before="187" w:line="161" w:lineRule="auto"/>
              <w:rPr>
                <w:sz w:val="17"/>
                <w:szCs w:val="17"/>
              </w:rPr>
            </w:pPr>
            <w:r>
              <w:rPr>
                <w:sz w:val="17"/>
                <w:szCs w:val="17"/>
                <w:color w:val="212529"/>
                <w:spacing w:val="1"/>
              </w:rPr>
              <w:t>272.99</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57"/>
              <w:spacing w:before="188" w:line="183" w:lineRule="auto"/>
              <w:rPr>
                <w:sz w:val="15"/>
                <w:szCs w:val="15"/>
              </w:rPr>
            </w:pPr>
            <w:r>
              <w:rPr>
                <w:sz w:val="15"/>
                <w:szCs w:val="15"/>
                <w:color w:val="212529"/>
                <w:spacing w:val="3"/>
              </w:rPr>
              <w:t>272.</w:t>
            </w:r>
            <w:r>
              <w:rPr>
                <w:sz w:val="15"/>
                <w:szCs w:val="15"/>
                <w:color w:val="212529"/>
                <w:spacing w:val="9"/>
              </w:rPr>
              <w:t xml:space="preserve"> </w:t>
            </w:r>
            <w:r>
              <w:rPr>
                <w:sz w:val="15"/>
                <w:szCs w:val="15"/>
                <w:color w:val="212529"/>
                <w:spacing w:val="3"/>
              </w:rPr>
              <w:t>99</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3"/>
              <w:spacing w:before="188" w:line="183" w:lineRule="auto"/>
              <w:rPr>
                <w:sz w:val="15"/>
                <w:szCs w:val="15"/>
              </w:rPr>
            </w:pPr>
            <w:r>
              <w:rPr>
                <w:sz w:val="15"/>
                <w:szCs w:val="15"/>
                <w:color w:val="212529"/>
                <w:spacing w:val="3"/>
              </w:rPr>
              <w:t>272.</w:t>
            </w:r>
            <w:r>
              <w:rPr>
                <w:sz w:val="15"/>
                <w:szCs w:val="15"/>
                <w:color w:val="212529"/>
                <w:spacing w:val="9"/>
              </w:rPr>
              <w:t xml:space="preserve"> </w:t>
            </w:r>
            <w:r>
              <w:rPr>
                <w:sz w:val="15"/>
                <w:szCs w:val="15"/>
                <w:color w:val="212529"/>
                <w:spacing w:val="3"/>
              </w:rPr>
              <w:t>99</w:t>
            </w:r>
          </w:p>
        </w:tc>
        <w:tc>
          <w:tcPr>
            <w:tcW w:w="1153" w:type="dxa"/>
            <w:vAlign w:val="top"/>
          </w:tcPr>
          <w:p>
            <w:pPr>
              <w:pStyle w:val="TableText"/>
              <w:ind w:left="577"/>
              <w:spacing w:before="189" w:line="161" w:lineRule="auto"/>
              <w:rPr>
                <w:sz w:val="17"/>
                <w:szCs w:val="17"/>
              </w:rPr>
            </w:pPr>
            <w:r>
              <w:rPr>
                <w:sz w:val="17"/>
                <w:szCs w:val="17"/>
                <w:color w:val="212529"/>
                <w:spacing w:val="1"/>
              </w:rPr>
              <w:t>272.99</w:t>
            </w:r>
          </w:p>
        </w:tc>
        <w:tc>
          <w:tcPr>
            <w:tcW w:w="831" w:type="dxa"/>
            <w:vAlign w:val="top"/>
          </w:tcPr>
          <w:p>
            <w:pPr>
              <w:pStyle w:val="TableText"/>
              <w:rPr/>
            </w:pPr>
            <w:r/>
          </w:p>
        </w:tc>
      </w:tr>
    </w:tbl>
    <w:p>
      <w:pPr>
        <w:pStyle w:val="BodyText"/>
        <w:rPr/>
      </w:pPr>
      <w:r/>
    </w:p>
    <w:p>
      <w:pPr>
        <w:sectPr>
          <w:headerReference w:type="default" r:id="rId5"/>
          <w:footerReference w:type="default" r:id="rId9"/>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单位名称：兴县高家村镇中心卫生院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5"/>
              <w:spacing w:before="149" w:line="183" w:lineRule="auto"/>
              <w:rPr>
                <w:sz w:val="15"/>
                <w:szCs w:val="15"/>
              </w:rPr>
            </w:pPr>
            <w:r>
              <w:rPr>
                <w:sz w:val="15"/>
                <w:szCs w:val="15"/>
                <w:color w:val="212529"/>
                <w:spacing w:val="3"/>
              </w:rPr>
              <w:t>272.</w:t>
            </w:r>
            <w:r>
              <w:rPr>
                <w:sz w:val="15"/>
                <w:szCs w:val="15"/>
                <w:color w:val="212529"/>
                <w:spacing w:val="9"/>
              </w:rPr>
              <w:t xml:space="preserve"> </w:t>
            </w:r>
            <w:r>
              <w:rPr>
                <w:sz w:val="15"/>
                <w:szCs w:val="15"/>
                <w:color w:val="212529"/>
                <w:spacing w:val="3"/>
              </w:rPr>
              <w:t>99</w:t>
            </w:r>
          </w:p>
        </w:tc>
        <w:tc>
          <w:tcPr>
            <w:tcW w:w="1274" w:type="dxa"/>
            <w:vAlign w:val="top"/>
          </w:tcPr>
          <w:p>
            <w:pPr>
              <w:pStyle w:val="TableText"/>
              <w:ind w:left="702"/>
              <w:spacing w:before="149" w:line="183" w:lineRule="auto"/>
              <w:rPr>
                <w:sz w:val="15"/>
                <w:szCs w:val="15"/>
              </w:rPr>
            </w:pPr>
            <w:r>
              <w:rPr>
                <w:sz w:val="15"/>
                <w:szCs w:val="15"/>
                <w:color w:val="212529"/>
                <w:spacing w:val="3"/>
              </w:rPr>
              <w:t>272.</w:t>
            </w:r>
            <w:r>
              <w:rPr>
                <w:sz w:val="15"/>
                <w:szCs w:val="15"/>
                <w:color w:val="212529"/>
                <w:spacing w:val="9"/>
              </w:rPr>
              <w:t xml:space="preserve"> </w:t>
            </w:r>
            <w:r>
              <w:rPr>
                <w:sz w:val="15"/>
                <w:szCs w:val="15"/>
                <w:color w:val="212529"/>
                <w:spacing w:val="3"/>
              </w:rPr>
              <w:t>99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2"/>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4"/>
              </w:rPr>
              <w:t>15.84</w:t>
            </w:r>
          </w:p>
        </w:tc>
        <w:tc>
          <w:tcPr>
            <w:tcW w:w="1274" w:type="dxa"/>
            <w:vAlign w:val="top"/>
          </w:tcPr>
          <w:p>
            <w:pPr>
              <w:ind w:right="21"/>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4"/>
              </w:rPr>
              <w:t>15.84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2"/>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4"/>
              </w:rPr>
              <w:t>15.84</w:t>
            </w:r>
          </w:p>
        </w:tc>
        <w:tc>
          <w:tcPr>
            <w:tcW w:w="1274" w:type="dxa"/>
            <w:vAlign w:val="top"/>
          </w:tcPr>
          <w:p>
            <w:pPr>
              <w:ind w:right="21"/>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4"/>
              </w:rPr>
              <w:t>15.84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97" w:type="dxa"/>
            <w:vAlign w:val="top"/>
          </w:tcPr>
          <w:p>
            <w:pPr>
              <w:ind w:left="5"/>
              <w:spacing w:before="130"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2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4"/>
              </w:rPr>
              <w:t>1.55</w:t>
            </w:r>
          </w:p>
        </w:tc>
        <w:tc>
          <w:tcPr>
            <w:tcW w:w="1274" w:type="dxa"/>
            <w:vAlign w:val="top"/>
          </w:tcPr>
          <w:p>
            <w:pPr>
              <w:ind w:right="20"/>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4"/>
              </w:rPr>
              <w:t>1.55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1"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4"/>
              </w:rPr>
              <w:t>14.29</w:t>
            </w:r>
          </w:p>
        </w:tc>
        <w:tc>
          <w:tcPr>
            <w:tcW w:w="1274" w:type="dxa"/>
            <w:vAlign w:val="top"/>
          </w:tcPr>
          <w:p>
            <w:pPr>
              <w:ind w:right="21"/>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4"/>
              </w:rPr>
              <w:t>14.29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2"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4"/>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244.04</w:t>
            </w:r>
          </w:p>
        </w:tc>
        <w:tc>
          <w:tcPr>
            <w:tcW w:w="1274" w:type="dxa"/>
            <w:vAlign w:val="top"/>
          </w:tcPr>
          <w:p>
            <w:pPr>
              <w:ind w:right="2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244.04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97" w:type="dxa"/>
            <w:vAlign w:val="top"/>
          </w:tcPr>
          <w:p>
            <w:pPr>
              <w:ind w:left="3"/>
              <w:spacing w:before="133" w:line="218" w:lineRule="auto"/>
              <w:rPr>
                <w:rFonts w:ascii="SimSun" w:hAnsi="SimSun" w:eastAsia="SimSun" w:cs="SimSun"/>
                <w:sz w:val="18"/>
                <w:szCs w:val="18"/>
              </w:rPr>
            </w:pPr>
            <w:r>
              <w:rPr>
                <w:rFonts w:ascii="SimSun" w:hAnsi="SimSun" w:eastAsia="SimSun" w:cs="SimSun"/>
                <w:sz w:val="18"/>
                <w:szCs w:val="18"/>
                <w:color w:val="212529"/>
                <w:spacing w:val="-1"/>
              </w:rPr>
              <w:t>基层医疗卫生机构</w:t>
            </w:r>
          </w:p>
        </w:tc>
        <w:tc>
          <w:tcPr>
            <w:tcW w:w="1438" w:type="dxa"/>
            <w:vAlign w:val="top"/>
          </w:tcPr>
          <w:p>
            <w:pPr>
              <w:ind w:right="24"/>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238.17</w:t>
            </w:r>
          </w:p>
        </w:tc>
        <w:tc>
          <w:tcPr>
            <w:tcW w:w="1274" w:type="dxa"/>
            <w:vAlign w:val="top"/>
          </w:tcPr>
          <w:p>
            <w:pPr>
              <w:ind w:right="2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238.17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97" w:type="dxa"/>
            <w:vAlign w:val="top"/>
          </w:tcPr>
          <w:p>
            <w:pPr>
              <w:ind w:left="12"/>
              <w:spacing w:before="134"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218.98</w:t>
            </w:r>
          </w:p>
        </w:tc>
        <w:tc>
          <w:tcPr>
            <w:tcW w:w="1274"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218.98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97" w:type="dxa"/>
            <w:vAlign w:val="top"/>
          </w:tcPr>
          <w:p>
            <w:pPr>
              <w:ind w:left="3"/>
              <w:spacing w:before="135"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right="22"/>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19.18</w:t>
            </w:r>
          </w:p>
        </w:tc>
        <w:tc>
          <w:tcPr>
            <w:tcW w:w="1274" w:type="dxa"/>
            <w:vAlign w:val="top"/>
          </w:tcPr>
          <w:p>
            <w:pPr>
              <w:ind w:right="21"/>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19.18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5.87</w:t>
            </w:r>
          </w:p>
        </w:tc>
        <w:tc>
          <w:tcPr>
            <w:tcW w:w="1274" w:type="dxa"/>
            <w:vAlign w:val="top"/>
          </w:tcPr>
          <w:p>
            <w:pPr>
              <w:ind w:right="22"/>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5.87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3"/>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5.81</w:t>
            </w:r>
          </w:p>
        </w:tc>
        <w:tc>
          <w:tcPr>
            <w:tcW w:w="1274" w:type="dxa"/>
            <w:vAlign w:val="top"/>
          </w:tcPr>
          <w:p>
            <w:pPr>
              <w:ind w:right="22"/>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5.81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2997" w:type="dxa"/>
            <w:vAlign w:val="top"/>
          </w:tcPr>
          <w:p>
            <w:pPr>
              <w:ind w:left="3"/>
              <w:spacing w:before="139"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0.06</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0.06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13.12</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13.12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13.12</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13.12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13.12</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13.12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0"/>
          <w:footerReference w:type="default" r:id="rId11"/>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66"/>
        <w:gridCol w:w="3294"/>
        <w:gridCol w:w="1404"/>
        <w:gridCol w:w="1339"/>
        <w:gridCol w:w="1355"/>
      </w:tblGrid>
      <w:tr>
        <w:trPr>
          <w:trHeight w:val="319" w:hRule="atLeast"/>
        </w:trPr>
        <w:tc>
          <w:tcPr>
            <w:tcW w:w="17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29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55" w:type="dxa"/>
            <w:vAlign w:val="top"/>
            <w:tcBorders>
              <w:bottom w:val="single" w:color="FFFFFF" w:sz="4" w:space="0"/>
              <w:top w:val="single" w:color="FFFFFF" w:sz="4" w:space="0"/>
              <w:left w:val="single" w:color="FFFFFF" w:sz="2" w:space="0"/>
              <w:right w:val="single" w:color="FFFFFF" w:sz="2" w:space="0"/>
            </w:tcBorders>
          </w:tcPr>
          <w:p>
            <w:pPr>
              <w:ind w:left="61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464" w:type="dxa"/>
            <w:vAlign w:val="top"/>
            <w:gridSpan w:val="3"/>
            <w:tcBorders>
              <w:top w:val="single" w:color="FFFFFF" w:sz="4" w:space="0"/>
              <w:left w:val="single" w:color="FFFFFF" w:sz="2" w:space="0"/>
              <w:right w:val="single" w:color="FFFFFF" w:sz="2" w:space="0"/>
            </w:tcBorders>
          </w:tcPr>
          <w:p>
            <w:pPr>
              <w:ind w:left="9"/>
              <w:spacing w:before="90" w:line="233" w:lineRule="auto"/>
              <w:rPr>
                <w:rFonts w:ascii="SimSun" w:hAnsi="SimSun" w:eastAsia="SimSun" w:cs="SimSun"/>
                <w:sz w:val="12"/>
                <w:szCs w:val="12"/>
              </w:rPr>
            </w:pPr>
            <w:r>
              <w:rPr>
                <w:rFonts w:ascii="SimSun" w:hAnsi="SimSun" w:eastAsia="SimSun" w:cs="SimSun"/>
                <w:sz w:val="12"/>
                <w:szCs w:val="12"/>
                <w:color w:val="212529"/>
                <w:spacing w:val="9"/>
              </w:rPr>
              <w:t>单位名称：兴县高家村镇中心卫生院</w:t>
            </w:r>
          </w:p>
        </w:tc>
        <w:tc>
          <w:tcPr>
            <w:tcW w:w="1339" w:type="dxa"/>
            <w:vAlign w:val="top"/>
            <w:tcBorders>
              <w:top w:val="single" w:color="FFFFFF" w:sz="4" w:space="0"/>
              <w:left w:val="single" w:color="FFFFFF" w:sz="2" w:space="0"/>
              <w:right w:val="single" w:color="FFFFFF" w:sz="2" w:space="0"/>
            </w:tcBorders>
          </w:tcPr>
          <w:p>
            <w:pPr>
              <w:pStyle w:val="TableText"/>
              <w:rPr/>
            </w:pPr>
            <w:r/>
          </w:p>
        </w:tc>
        <w:tc>
          <w:tcPr>
            <w:tcW w:w="1355" w:type="dxa"/>
            <w:vAlign w:val="top"/>
            <w:tcBorders>
              <w:top w:val="single" w:color="FFFFFF" w:sz="4" w:space="0"/>
              <w:left w:val="single" w:color="FFFFFF" w:sz="2" w:space="0"/>
              <w:right w:val="single" w:color="FFFFFF" w:sz="2" w:space="0"/>
            </w:tcBorders>
          </w:tcPr>
          <w:p>
            <w:pPr>
              <w:ind w:left="682"/>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060" w:type="dxa"/>
            <w:vAlign w:val="top"/>
            <w:gridSpan w:val="2"/>
          </w:tcPr>
          <w:p>
            <w:pPr>
              <w:ind w:left="2357"/>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98" w:type="dxa"/>
            <w:vAlign w:val="top"/>
            <w:gridSpan w:val="3"/>
          </w:tcPr>
          <w:p>
            <w:pPr>
              <w:ind w:left="1556"/>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66" w:type="dxa"/>
            <w:vAlign w:val="top"/>
          </w:tcPr>
          <w:p>
            <w:pPr>
              <w:ind w:left="541"/>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94" w:type="dxa"/>
            <w:vAlign w:val="top"/>
          </w:tcPr>
          <w:p>
            <w:pPr>
              <w:ind w:left="130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0"/>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39" w:type="dxa"/>
            <w:vAlign w:val="top"/>
          </w:tcPr>
          <w:p>
            <w:pPr>
              <w:ind w:left="332"/>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55" w:type="dxa"/>
            <w:vAlign w:val="top"/>
          </w:tcPr>
          <w:p>
            <w:pPr>
              <w:ind w:left="34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060" w:type="dxa"/>
            <w:vAlign w:val="top"/>
            <w:gridSpan w:val="2"/>
          </w:tcPr>
          <w:p>
            <w:pPr>
              <w:ind w:left="2360"/>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891"/>
              <w:spacing w:before="99" w:line="172" w:lineRule="auto"/>
              <w:rPr>
                <w:sz w:val="14"/>
                <w:szCs w:val="14"/>
              </w:rPr>
            </w:pPr>
            <w:r>
              <w:rPr>
                <w:sz w:val="14"/>
                <w:szCs w:val="14"/>
                <w:color w:val="212529"/>
              </w:rPr>
              <w:t>272.</w:t>
            </w:r>
            <w:r>
              <w:rPr>
                <w:sz w:val="14"/>
                <w:szCs w:val="14"/>
                <w:color w:val="212529"/>
                <w:spacing w:val="6"/>
              </w:rPr>
              <w:t xml:space="preserve"> </w:t>
            </w:r>
            <w:r>
              <w:rPr>
                <w:sz w:val="14"/>
                <w:szCs w:val="14"/>
                <w:color w:val="212529"/>
              </w:rPr>
              <w:t>99</w:t>
            </w:r>
          </w:p>
        </w:tc>
        <w:tc>
          <w:tcPr>
            <w:tcW w:w="1339" w:type="dxa"/>
            <w:vAlign w:val="top"/>
          </w:tcPr>
          <w:p>
            <w:pPr>
              <w:pStyle w:val="TableText"/>
              <w:ind w:left="845"/>
              <w:spacing w:before="99" w:line="186" w:lineRule="auto"/>
              <w:rPr>
                <w:sz w:val="13"/>
                <w:szCs w:val="13"/>
              </w:rPr>
            </w:pPr>
            <w:r>
              <w:rPr>
                <w:sz w:val="13"/>
                <w:szCs w:val="13"/>
                <w:color w:val="212529"/>
                <w:spacing w:val="2"/>
              </w:rPr>
              <w:t>168.</w:t>
            </w:r>
            <w:r>
              <w:rPr>
                <w:sz w:val="13"/>
                <w:szCs w:val="13"/>
                <w:color w:val="212529"/>
                <w:spacing w:val="17"/>
              </w:rPr>
              <w:t xml:space="preserve"> </w:t>
            </w:r>
            <w:r>
              <w:rPr>
                <w:sz w:val="13"/>
                <w:szCs w:val="13"/>
                <w:color w:val="212529"/>
                <w:spacing w:val="2"/>
              </w:rPr>
              <w:t>72</w:t>
            </w:r>
          </w:p>
        </w:tc>
        <w:tc>
          <w:tcPr>
            <w:tcW w:w="1355" w:type="dxa"/>
            <w:vAlign w:val="top"/>
          </w:tcPr>
          <w:p>
            <w:pPr>
              <w:pStyle w:val="TableText"/>
              <w:ind w:left="854"/>
              <w:spacing w:before="99" w:line="186" w:lineRule="auto"/>
              <w:rPr>
                <w:sz w:val="13"/>
                <w:szCs w:val="13"/>
              </w:rPr>
            </w:pPr>
            <w:r>
              <w:rPr>
                <w:sz w:val="13"/>
                <w:szCs w:val="13"/>
                <w:color w:val="212529"/>
                <w:spacing w:val="2"/>
              </w:rPr>
              <w:t>104.</w:t>
            </w:r>
            <w:r>
              <w:rPr>
                <w:sz w:val="13"/>
                <w:szCs w:val="13"/>
                <w:color w:val="212529"/>
                <w:spacing w:val="17"/>
              </w:rPr>
              <w:t xml:space="preserve"> </w:t>
            </w:r>
            <w:r>
              <w:rPr>
                <w:sz w:val="13"/>
                <w:szCs w:val="13"/>
                <w:color w:val="212529"/>
                <w:spacing w:val="2"/>
              </w:rPr>
              <w:t>27</w:t>
            </w:r>
          </w:p>
        </w:tc>
      </w:tr>
      <w:tr>
        <w:trPr>
          <w:trHeight w:val="314" w:hRule="atLeast"/>
        </w:trPr>
        <w:tc>
          <w:tcPr>
            <w:tcW w:w="176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94" w:type="dxa"/>
            <w:vAlign w:val="top"/>
          </w:tcPr>
          <w:p>
            <w:pPr>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25"/>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15.84</w:t>
            </w:r>
          </w:p>
        </w:tc>
        <w:tc>
          <w:tcPr>
            <w:tcW w:w="1339" w:type="dxa"/>
            <w:vAlign w:val="top"/>
          </w:tcPr>
          <w:p>
            <w:pPr>
              <w:pStyle w:val="TableText"/>
              <w:ind w:right="16"/>
              <w:spacing w:before="99" w:line="187" w:lineRule="auto"/>
              <w:jc w:val="right"/>
              <w:rPr>
                <w:sz w:val="13"/>
                <w:szCs w:val="13"/>
              </w:rPr>
            </w:pPr>
            <w:r>
              <w:rPr>
                <w:sz w:val="13"/>
                <w:szCs w:val="13"/>
                <w:color w:val="212529"/>
                <w:spacing w:val="3"/>
              </w:rPr>
              <w:t>15.</w:t>
            </w:r>
            <w:r>
              <w:rPr>
                <w:sz w:val="13"/>
                <w:szCs w:val="13"/>
                <w:color w:val="212529"/>
                <w:spacing w:val="9"/>
              </w:rPr>
              <w:t xml:space="preserve"> </w:t>
            </w:r>
            <w:r>
              <w:rPr>
                <w:sz w:val="13"/>
                <w:szCs w:val="13"/>
                <w:color w:val="212529"/>
                <w:spacing w:val="3"/>
              </w:rPr>
              <w:t>84</w:t>
            </w:r>
          </w:p>
        </w:tc>
        <w:tc>
          <w:tcPr>
            <w:tcW w:w="1355" w:type="dxa"/>
            <w:vAlign w:val="top"/>
          </w:tcPr>
          <w:p>
            <w:pPr>
              <w:pStyle w:val="TableText"/>
              <w:rPr/>
            </w:pPr>
            <w:r/>
          </w:p>
        </w:tc>
      </w:tr>
      <w:tr>
        <w:trPr>
          <w:trHeight w:val="313" w:hRule="atLeast"/>
        </w:trPr>
        <w:tc>
          <w:tcPr>
            <w:tcW w:w="176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94"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25"/>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15.84</w:t>
            </w:r>
          </w:p>
        </w:tc>
        <w:tc>
          <w:tcPr>
            <w:tcW w:w="1339" w:type="dxa"/>
            <w:vAlign w:val="top"/>
          </w:tcPr>
          <w:p>
            <w:pPr>
              <w:pStyle w:val="TableText"/>
              <w:ind w:right="16"/>
              <w:spacing w:before="99" w:line="186" w:lineRule="auto"/>
              <w:jc w:val="right"/>
              <w:rPr>
                <w:sz w:val="13"/>
                <w:szCs w:val="13"/>
              </w:rPr>
            </w:pPr>
            <w:r>
              <w:rPr>
                <w:sz w:val="13"/>
                <w:szCs w:val="13"/>
                <w:color w:val="212529"/>
                <w:spacing w:val="3"/>
              </w:rPr>
              <w:t>15.</w:t>
            </w:r>
            <w:r>
              <w:rPr>
                <w:sz w:val="13"/>
                <w:szCs w:val="13"/>
                <w:color w:val="212529"/>
                <w:spacing w:val="9"/>
              </w:rPr>
              <w:t xml:space="preserve"> </w:t>
            </w:r>
            <w:r>
              <w:rPr>
                <w:sz w:val="13"/>
                <w:szCs w:val="13"/>
                <w:color w:val="212529"/>
                <w:spacing w:val="3"/>
              </w:rPr>
              <w:t>84</w:t>
            </w:r>
          </w:p>
        </w:tc>
        <w:tc>
          <w:tcPr>
            <w:tcW w:w="1355" w:type="dxa"/>
            <w:vAlign w:val="top"/>
          </w:tcPr>
          <w:p>
            <w:pPr>
              <w:pStyle w:val="TableText"/>
              <w:rPr/>
            </w:pPr>
            <w:r/>
          </w:p>
        </w:tc>
      </w:tr>
      <w:tr>
        <w:trPr>
          <w:trHeight w:val="314" w:hRule="atLeast"/>
        </w:trPr>
        <w:tc>
          <w:tcPr>
            <w:tcW w:w="176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294" w:type="dxa"/>
            <w:vAlign w:val="top"/>
          </w:tcPr>
          <w:p>
            <w:pPr>
              <w:spacing w:before="8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04" w:type="dxa"/>
            <w:vAlign w:val="top"/>
          </w:tcPr>
          <w:p>
            <w:pPr>
              <w:ind w:right="2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1.55</w:t>
            </w:r>
          </w:p>
        </w:tc>
        <w:tc>
          <w:tcPr>
            <w:tcW w:w="1339" w:type="dxa"/>
            <w:vAlign w:val="top"/>
          </w:tcPr>
          <w:p>
            <w:pPr>
              <w:ind w:right="17"/>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1.55</w:t>
            </w:r>
          </w:p>
        </w:tc>
        <w:tc>
          <w:tcPr>
            <w:tcW w:w="1355" w:type="dxa"/>
            <w:vAlign w:val="top"/>
          </w:tcPr>
          <w:p>
            <w:pPr>
              <w:pStyle w:val="TableText"/>
              <w:rPr/>
            </w:pPr>
            <w:r/>
          </w:p>
        </w:tc>
      </w:tr>
      <w:tr>
        <w:trPr>
          <w:trHeight w:val="314" w:hRule="atLeast"/>
        </w:trPr>
        <w:tc>
          <w:tcPr>
            <w:tcW w:w="176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94" w:type="dxa"/>
            <w:vAlign w:val="top"/>
          </w:tcPr>
          <w:p>
            <w:pPr>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2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14.29</w:t>
            </w:r>
          </w:p>
        </w:tc>
        <w:tc>
          <w:tcPr>
            <w:tcW w:w="1339" w:type="dxa"/>
            <w:vAlign w:val="top"/>
          </w:tcPr>
          <w:p>
            <w:pPr>
              <w:ind w:right="17"/>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14.29</w:t>
            </w:r>
          </w:p>
        </w:tc>
        <w:tc>
          <w:tcPr>
            <w:tcW w:w="1355" w:type="dxa"/>
            <w:vAlign w:val="top"/>
          </w:tcPr>
          <w:p>
            <w:pPr>
              <w:pStyle w:val="TableText"/>
              <w:rPr/>
            </w:pPr>
            <w:r/>
          </w:p>
        </w:tc>
      </w:tr>
      <w:tr>
        <w:trPr>
          <w:trHeight w:val="314" w:hRule="atLeast"/>
        </w:trPr>
        <w:tc>
          <w:tcPr>
            <w:tcW w:w="176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94" w:type="dxa"/>
            <w:vAlign w:val="top"/>
          </w:tcPr>
          <w:p>
            <w:pPr>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2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244.04</w:t>
            </w:r>
          </w:p>
        </w:tc>
        <w:tc>
          <w:tcPr>
            <w:tcW w:w="1339" w:type="dxa"/>
            <w:vAlign w:val="top"/>
          </w:tcPr>
          <w:p>
            <w:pPr>
              <w:pStyle w:val="TableText"/>
              <w:ind w:left="845"/>
              <w:spacing w:before="101" w:line="187" w:lineRule="auto"/>
              <w:rPr>
                <w:sz w:val="13"/>
                <w:szCs w:val="13"/>
              </w:rPr>
            </w:pPr>
            <w:r>
              <w:rPr>
                <w:sz w:val="13"/>
                <w:szCs w:val="13"/>
                <w:color w:val="212529"/>
                <w:spacing w:val="2"/>
              </w:rPr>
              <w:t>139.</w:t>
            </w:r>
            <w:r>
              <w:rPr>
                <w:sz w:val="13"/>
                <w:szCs w:val="13"/>
                <w:color w:val="212529"/>
                <w:spacing w:val="17"/>
              </w:rPr>
              <w:t xml:space="preserve"> </w:t>
            </w:r>
            <w:r>
              <w:rPr>
                <w:sz w:val="13"/>
                <w:szCs w:val="13"/>
                <w:color w:val="212529"/>
                <w:spacing w:val="2"/>
              </w:rPr>
              <w:t>77</w:t>
            </w:r>
          </w:p>
        </w:tc>
        <w:tc>
          <w:tcPr>
            <w:tcW w:w="1355" w:type="dxa"/>
            <w:vAlign w:val="top"/>
          </w:tcPr>
          <w:p>
            <w:pPr>
              <w:pStyle w:val="TableText"/>
              <w:ind w:left="854"/>
              <w:spacing w:before="101" w:line="187" w:lineRule="auto"/>
              <w:rPr>
                <w:sz w:val="13"/>
                <w:szCs w:val="13"/>
              </w:rPr>
            </w:pPr>
            <w:r>
              <w:rPr>
                <w:sz w:val="13"/>
                <w:szCs w:val="13"/>
                <w:color w:val="212529"/>
                <w:spacing w:val="2"/>
              </w:rPr>
              <w:t>104.</w:t>
            </w:r>
            <w:r>
              <w:rPr>
                <w:sz w:val="13"/>
                <w:szCs w:val="13"/>
                <w:color w:val="212529"/>
                <w:spacing w:val="17"/>
              </w:rPr>
              <w:t xml:space="preserve"> </w:t>
            </w:r>
            <w:r>
              <w:rPr>
                <w:sz w:val="13"/>
                <w:szCs w:val="13"/>
                <w:color w:val="212529"/>
                <w:spacing w:val="2"/>
              </w:rPr>
              <w:t>27</w:t>
            </w:r>
          </w:p>
        </w:tc>
      </w:tr>
      <w:tr>
        <w:trPr>
          <w:trHeight w:val="314" w:hRule="atLeast"/>
        </w:trPr>
        <w:tc>
          <w:tcPr>
            <w:tcW w:w="176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294" w:type="dxa"/>
            <w:vAlign w:val="top"/>
          </w:tcPr>
          <w:p>
            <w:pPr>
              <w:spacing w:before="83" w:line="228" w:lineRule="auto"/>
              <w:rPr>
                <w:rFonts w:ascii="SimSun" w:hAnsi="SimSun" w:eastAsia="SimSun" w:cs="SimSun"/>
                <w:sz w:val="15"/>
                <w:szCs w:val="15"/>
              </w:rPr>
            </w:pPr>
            <w:r>
              <w:rPr>
                <w:rFonts w:ascii="SimSun" w:hAnsi="SimSun" w:eastAsia="SimSun" w:cs="SimSun"/>
                <w:sz w:val="15"/>
                <w:szCs w:val="15"/>
                <w:color w:val="212529"/>
                <w:spacing w:val="10"/>
              </w:rPr>
              <w:t>基层医疗卫生机构</w:t>
            </w:r>
          </w:p>
        </w:tc>
        <w:tc>
          <w:tcPr>
            <w:tcW w:w="1404" w:type="dxa"/>
            <w:vAlign w:val="top"/>
          </w:tcPr>
          <w:p>
            <w:pPr>
              <w:ind w:right="2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238.17</w:t>
            </w:r>
          </w:p>
        </w:tc>
        <w:tc>
          <w:tcPr>
            <w:tcW w:w="1339" w:type="dxa"/>
            <w:vAlign w:val="top"/>
          </w:tcPr>
          <w:p>
            <w:pPr>
              <w:pStyle w:val="TableText"/>
              <w:ind w:left="845"/>
              <w:spacing w:before="102" w:line="186" w:lineRule="auto"/>
              <w:rPr>
                <w:sz w:val="13"/>
                <w:szCs w:val="13"/>
              </w:rPr>
            </w:pPr>
            <w:r>
              <w:rPr>
                <w:sz w:val="13"/>
                <w:szCs w:val="13"/>
                <w:color w:val="212529"/>
                <w:spacing w:val="2"/>
              </w:rPr>
              <w:t>133.</w:t>
            </w:r>
            <w:r>
              <w:rPr>
                <w:sz w:val="13"/>
                <w:szCs w:val="13"/>
                <w:color w:val="212529"/>
                <w:spacing w:val="18"/>
                <w:w w:val="101"/>
              </w:rPr>
              <w:t xml:space="preserve"> </w:t>
            </w:r>
            <w:r>
              <w:rPr>
                <w:sz w:val="13"/>
                <w:szCs w:val="13"/>
                <w:color w:val="212529"/>
                <w:spacing w:val="2"/>
              </w:rPr>
              <w:t>90</w:t>
            </w:r>
          </w:p>
        </w:tc>
        <w:tc>
          <w:tcPr>
            <w:tcW w:w="1355" w:type="dxa"/>
            <w:vAlign w:val="top"/>
          </w:tcPr>
          <w:p>
            <w:pPr>
              <w:pStyle w:val="TableText"/>
              <w:ind w:left="854"/>
              <w:spacing w:before="102" w:line="186" w:lineRule="auto"/>
              <w:rPr>
                <w:sz w:val="13"/>
                <w:szCs w:val="13"/>
              </w:rPr>
            </w:pPr>
            <w:r>
              <w:rPr>
                <w:sz w:val="13"/>
                <w:szCs w:val="13"/>
                <w:color w:val="212529"/>
                <w:spacing w:val="2"/>
              </w:rPr>
              <w:t>104.</w:t>
            </w:r>
            <w:r>
              <w:rPr>
                <w:sz w:val="13"/>
                <w:szCs w:val="13"/>
                <w:color w:val="212529"/>
                <w:spacing w:val="17"/>
              </w:rPr>
              <w:t xml:space="preserve"> </w:t>
            </w:r>
            <w:r>
              <w:rPr>
                <w:sz w:val="13"/>
                <w:szCs w:val="13"/>
                <w:color w:val="212529"/>
                <w:spacing w:val="2"/>
              </w:rPr>
              <w:t>27</w:t>
            </w:r>
          </w:p>
        </w:tc>
      </w:tr>
      <w:tr>
        <w:trPr>
          <w:trHeight w:val="314" w:hRule="atLeast"/>
        </w:trPr>
        <w:tc>
          <w:tcPr>
            <w:tcW w:w="176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294" w:type="dxa"/>
            <w:vAlign w:val="top"/>
          </w:tcPr>
          <w:p>
            <w:pPr>
              <w:ind w:left="5"/>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04" w:type="dxa"/>
            <w:vAlign w:val="top"/>
          </w:tcPr>
          <w:p>
            <w:pPr>
              <w:ind w:right="2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218.98</w:t>
            </w:r>
          </w:p>
        </w:tc>
        <w:tc>
          <w:tcPr>
            <w:tcW w:w="1339" w:type="dxa"/>
            <w:vAlign w:val="top"/>
          </w:tcPr>
          <w:p>
            <w:pPr>
              <w:ind w:right="17"/>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133.90</w:t>
            </w:r>
          </w:p>
        </w:tc>
        <w:tc>
          <w:tcPr>
            <w:tcW w:w="1355"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85.08</w:t>
            </w:r>
          </w:p>
        </w:tc>
      </w:tr>
      <w:tr>
        <w:trPr>
          <w:trHeight w:val="314" w:hRule="atLeast"/>
        </w:trPr>
        <w:tc>
          <w:tcPr>
            <w:tcW w:w="176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294" w:type="dxa"/>
            <w:vAlign w:val="top"/>
          </w:tcPr>
          <w:p>
            <w:pPr>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04" w:type="dxa"/>
            <w:vAlign w:val="top"/>
          </w:tcPr>
          <w:p>
            <w:pPr>
              <w:ind w:right="25"/>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19.18</w:t>
            </w:r>
          </w:p>
        </w:tc>
        <w:tc>
          <w:tcPr>
            <w:tcW w:w="1339" w:type="dxa"/>
            <w:vAlign w:val="top"/>
          </w:tcPr>
          <w:p>
            <w:pPr>
              <w:pStyle w:val="TableText"/>
              <w:rPr/>
            </w:pPr>
            <w:r/>
          </w:p>
        </w:tc>
        <w:tc>
          <w:tcPr>
            <w:tcW w:w="1355" w:type="dxa"/>
            <w:vAlign w:val="top"/>
          </w:tcPr>
          <w:p>
            <w:pPr>
              <w:ind w:right="24"/>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19.18</w:t>
            </w:r>
          </w:p>
        </w:tc>
      </w:tr>
      <w:tr>
        <w:trPr>
          <w:trHeight w:val="314" w:hRule="atLeast"/>
        </w:trPr>
        <w:tc>
          <w:tcPr>
            <w:tcW w:w="176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94" w:type="dxa"/>
            <w:vAlign w:val="top"/>
          </w:tcPr>
          <w:p>
            <w:pPr>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25"/>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5.87</w:t>
            </w:r>
          </w:p>
        </w:tc>
        <w:tc>
          <w:tcPr>
            <w:tcW w:w="1339" w:type="dxa"/>
            <w:vAlign w:val="top"/>
          </w:tcPr>
          <w:p>
            <w:pPr>
              <w:pStyle w:val="TableText"/>
              <w:rPr/>
            </w:pPr>
            <w:r/>
          </w:p>
        </w:tc>
        <w:tc>
          <w:tcPr>
            <w:tcW w:w="1355" w:type="dxa"/>
            <w:vAlign w:val="top"/>
          </w:tcPr>
          <w:p>
            <w:pPr>
              <w:pStyle w:val="TableText"/>
              <w:rPr/>
            </w:pPr>
            <w:r/>
          </w:p>
        </w:tc>
      </w:tr>
      <w:tr>
        <w:trPr>
          <w:trHeight w:val="314" w:hRule="atLeast"/>
        </w:trPr>
        <w:tc>
          <w:tcPr>
            <w:tcW w:w="1766"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94" w:type="dxa"/>
            <w:vAlign w:val="top"/>
          </w:tcPr>
          <w:p>
            <w:pPr>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25"/>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5.81</w:t>
            </w:r>
          </w:p>
        </w:tc>
        <w:tc>
          <w:tcPr>
            <w:tcW w:w="1339" w:type="dxa"/>
            <w:vAlign w:val="top"/>
          </w:tcPr>
          <w:p>
            <w:pPr>
              <w:ind w:right="17"/>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5.81</w:t>
            </w:r>
          </w:p>
        </w:tc>
        <w:tc>
          <w:tcPr>
            <w:tcW w:w="1355" w:type="dxa"/>
            <w:vAlign w:val="top"/>
          </w:tcPr>
          <w:p>
            <w:pPr>
              <w:pStyle w:val="TableText"/>
              <w:rPr/>
            </w:pPr>
            <w:r/>
          </w:p>
        </w:tc>
      </w:tr>
      <w:tr>
        <w:trPr>
          <w:trHeight w:val="314" w:hRule="atLeast"/>
        </w:trPr>
        <w:tc>
          <w:tcPr>
            <w:tcW w:w="176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294" w:type="dxa"/>
            <w:vAlign w:val="top"/>
          </w:tcPr>
          <w:p>
            <w:pPr>
              <w:spacing w:before="84"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404" w:type="dxa"/>
            <w:vAlign w:val="top"/>
          </w:tcPr>
          <w:p>
            <w:pPr>
              <w:ind w:right="25"/>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0.06</w:t>
            </w:r>
          </w:p>
        </w:tc>
        <w:tc>
          <w:tcPr>
            <w:tcW w:w="1339" w:type="dxa"/>
            <w:vAlign w:val="top"/>
          </w:tcPr>
          <w:p>
            <w:pPr>
              <w:ind w:right="17"/>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0.06</w:t>
            </w:r>
          </w:p>
        </w:tc>
        <w:tc>
          <w:tcPr>
            <w:tcW w:w="1355" w:type="dxa"/>
            <w:vAlign w:val="top"/>
          </w:tcPr>
          <w:p>
            <w:pPr>
              <w:pStyle w:val="TableText"/>
              <w:rPr/>
            </w:pPr>
            <w:r/>
          </w:p>
        </w:tc>
      </w:tr>
      <w:tr>
        <w:trPr>
          <w:trHeight w:val="314" w:hRule="atLeast"/>
        </w:trPr>
        <w:tc>
          <w:tcPr>
            <w:tcW w:w="1766" w:type="dxa"/>
            <w:vAlign w:val="top"/>
          </w:tcPr>
          <w:p>
            <w:pPr>
              <w:ind w:left="8"/>
              <w:spacing w:before="8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94" w:type="dxa"/>
            <w:vAlign w:val="top"/>
          </w:tcPr>
          <w:p>
            <w:pPr>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25"/>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13.12</w:t>
            </w:r>
          </w:p>
        </w:tc>
        <w:tc>
          <w:tcPr>
            <w:tcW w:w="1339" w:type="dxa"/>
            <w:vAlign w:val="top"/>
          </w:tcPr>
          <w:p>
            <w:pPr>
              <w:pStyle w:val="TableText"/>
              <w:ind w:left="926"/>
              <w:spacing w:before="104" w:line="186" w:lineRule="auto"/>
              <w:rPr>
                <w:sz w:val="13"/>
                <w:szCs w:val="13"/>
              </w:rPr>
            </w:pPr>
            <w:r>
              <w:rPr>
                <w:sz w:val="13"/>
                <w:szCs w:val="13"/>
                <w:color w:val="212529"/>
                <w:spacing w:val="1"/>
              </w:rPr>
              <w:t>13.</w:t>
            </w:r>
            <w:r>
              <w:rPr>
                <w:sz w:val="13"/>
                <w:szCs w:val="13"/>
                <w:color w:val="212529"/>
                <w:spacing w:val="15"/>
                <w:w w:val="101"/>
              </w:rPr>
              <w:t xml:space="preserve"> </w:t>
            </w:r>
            <w:r>
              <w:rPr>
                <w:sz w:val="13"/>
                <w:szCs w:val="13"/>
                <w:color w:val="212529"/>
                <w:spacing w:val="1"/>
              </w:rPr>
              <w:t>12</w:t>
            </w:r>
          </w:p>
        </w:tc>
        <w:tc>
          <w:tcPr>
            <w:tcW w:w="1355" w:type="dxa"/>
            <w:vAlign w:val="top"/>
          </w:tcPr>
          <w:p>
            <w:pPr>
              <w:pStyle w:val="TableText"/>
              <w:rPr/>
            </w:pPr>
            <w:r/>
          </w:p>
        </w:tc>
      </w:tr>
      <w:tr>
        <w:trPr>
          <w:trHeight w:val="314" w:hRule="atLeast"/>
        </w:trPr>
        <w:tc>
          <w:tcPr>
            <w:tcW w:w="176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94" w:type="dxa"/>
            <w:vAlign w:val="top"/>
          </w:tcPr>
          <w:p>
            <w:pPr>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25"/>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13.12</w:t>
            </w:r>
          </w:p>
        </w:tc>
        <w:tc>
          <w:tcPr>
            <w:tcW w:w="1339" w:type="dxa"/>
            <w:vAlign w:val="top"/>
          </w:tcPr>
          <w:p>
            <w:pPr>
              <w:pStyle w:val="TableText"/>
              <w:ind w:left="926"/>
              <w:spacing w:before="104" w:line="186" w:lineRule="auto"/>
              <w:rPr>
                <w:sz w:val="13"/>
                <w:szCs w:val="13"/>
              </w:rPr>
            </w:pPr>
            <w:r>
              <w:rPr>
                <w:sz w:val="13"/>
                <w:szCs w:val="13"/>
                <w:color w:val="212529"/>
                <w:spacing w:val="1"/>
              </w:rPr>
              <w:t>13.</w:t>
            </w:r>
            <w:r>
              <w:rPr>
                <w:sz w:val="13"/>
                <w:szCs w:val="13"/>
                <w:color w:val="212529"/>
                <w:spacing w:val="15"/>
                <w:w w:val="101"/>
              </w:rPr>
              <w:t xml:space="preserve"> </w:t>
            </w:r>
            <w:r>
              <w:rPr>
                <w:sz w:val="13"/>
                <w:szCs w:val="13"/>
                <w:color w:val="212529"/>
                <w:spacing w:val="1"/>
              </w:rPr>
              <w:t>12</w:t>
            </w:r>
          </w:p>
        </w:tc>
        <w:tc>
          <w:tcPr>
            <w:tcW w:w="1355" w:type="dxa"/>
            <w:vAlign w:val="top"/>
          </w:tcPr>
          <w:p>
            <w:pPr>
              <w:pStyle w:val="TableText"/>
              <w:rPr/>
            </w:pPr>
            <w:r/>
          </w:p>
        </w:tc>
      </w:tr>
      <w:tr>
        <w:trPr>
          <w:trHeight w:val="319" w:hRule="atLeast"/>
        </w:trPr>
        <w:tc>
          <w:tcPr>
            <w:tcW w:w="1766"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94" w:type="dxa"/>
            <w:vAlign w:val="top"/>
          </w:tcPr>
          <w:p>
            <w:pPr>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25"/>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13.12</w:t>
            </w:r>
          </w:p>
        </w:tc>
        <w:tc>
          <w:tcPr>
            <w:tcW w:w="1339" w:type="dxa"/>
            <w:vAlign w:val="top"/>
          </w:tcPr>
          <w:p>
            <w:pPr>
              <w:ind w:right="17"/>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13.12</w:t>
            </w:r>
          </w:p>
        </w:tc>
        <w:tc>
          <w:tcPr>
            <w:tcW w:w="1355" w:type="dxa"/>
            <w:vAlign w:val="top"/>
          </w:tcPr>
          <w:p>
            <w:pPr>
              <w:pStyle w:val="TableText"/>
              <w:rPr/>
            </w:pPr>
            <w:r/>
          </w:p>
        </w:tc>
      </w:tr>
    </w:tbl>
    <w:p>
      <w:pPr>
        <w:pStyle w:val="BodyText"/>
        <w:rPr/>
      </w:pPr>
      <w:r/>
    </w:p>
    <w:p>
      <w:pPr>
        <w:sectPr>
          <w:headerReference w:type="default" r:id="rId12"/>
          <w:footerReference w:type="default" r:id="rId13"/>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单位名称：兴县高家村镇中心卫生院</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272.99</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15.84</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.84</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244.04</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244.04</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13.12</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13.12</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3"/>
              <w:spacing w:before="138" w:line="172" w:lineRule="auto"/>
              <w:rPr>
                <w:sz w:val="14"/>
                <w:szCs w:val="14"/>
              </w:rPr>
            </w:pPr>
            <w:r>
              <w:rPr>
                <w:sz w:val="14"/>
                <w:szCs w:val="14"/>
                <w:color w:val="212529"/>
              </w:rPr>
              <w:t>272.</w:t>
            </w:r>
            <w:r>
              <w:rPr>
                <w:sz w:val="14"/>
                <w:szCs w:val="14"/>
                <w:color w:val="212529"/>
                <w:spacing w:val="6"/>
              </w:rPr>
              <w:t xml:space="preserve"> </w:t>
            </w:r>
            <w:r>
              <w:rPr>
                <w:sz w:val="14"/>
                <w:szCs w:val="14"/>
                <w:color w:val="212529"/>
              </w:rPr>
              <w:t>99</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71"/>
              <w:spacing w:before="138" w:line="172" w:lineRule="auto"/>
              <w:rPr>
                <w:sz w:val="14"/>
                <w:szCs w:val="14"/>
              </w:rPr>
            </w:pPr>
            <w:r>
              <w:rPr>
                <w:sz w:val="14"/>
                <w:szCs w:val="14"/>
                <w:color w:val="212529"/>
              </w:rPr>
              <w:t>272.</w:t>
            </w:r>
            <w:r>
              <w:rPr>
                <w:sz w:val="14"/>
                <w:szCs w:val="14"/>
                <w:color w:val="212529"/>
                <w:spacing w:val="6"/>
              </w:rPr>
              <w:t xml:space="preserve"> </w:t>
            </w:r>
            <w:r>
              <w:rPr>
                <w:sz w:val="14"/>
                <w:szCs w:val="14"/>
                <w:color w:val="212529"/>
              </w:rPr>
              <w:t>99</w:t>
            </w:r>
          </w:p>
        </w:tc>
        <w:tc>
          <w:tcPr>
            <w:tcW w:w="1069" w:type="dxa"/>
            <w:vAlign w:val="top"/>
          </w:tcPr>
          <w:p>
            <w:pPr>
              <w:pStyle w:val="TableText"/>
              <w:ind w:left="286"/>
              <w:spacing w:before="138" w:line="172" w:lineRule="auto"/>
              <w:rPr>
                <w:sz w:val="14"/>
                <w:szCs w:val="14"/>
              </w:rPr>
            </w:pPr>
            <w:r>
              <w:rPr>
                <w:sz w:val="14"/>
                <w:szCs w:val="14"/>
                <w:color w:val="212529"/>
              </w:rPr>
              <w:t>272.</w:t>
            </w:r>
            <w:r>
              <w:rPr>
                <w:sz w:val="14"/>
                <w:szCs w:val="14"/>
                <w:color w:val="212529"/>
                <w:spacing w:val="6"/>
              </w:rPr>
              <w:t xml:space="preserve"> </w:t>
            </w:r>
            <w:r>
              <w:rPr>
                <w:sz w:val="14"/>
                <w:szCs w:val="14"/>
                <w:color w:val="212529"/>
              </w:rPr>
              <w:t>99</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4"/>
          <w:footerReference w:type="default" r:id="rId15"/>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3"/>
              <w:spacing w:before="136" w:line="172" w:lineRule="auto"/>
              <w:rPr>
                <w:sz w:val="14"/>
                <w:szCs w:val="14"/>
              </w:rPr>
            </w:pPr>
            <w:r>
              <w:rPr>
                <w:sz w:val="14"/>
                <w:szCs w:val="14"/>
                <w:color w:val="212529"/>
              </w:rPr>
              <w:t>272.</w:t>
            </w:r>
            <w:r>
              <w:rPr>
                <w:sz w:val="14"/>
                <w:szCs w:val="14"/>
                <w:color w:val="212529"/>
                <w:spacing w:val="6"/>
              </w:rPr>
              <w:t xml:space="preserve"> </w:t>
            </w:r>
            <w:r>
              <w:rPr>
                <w:sz w:val="14"/>
                <w:szCs w:val="14"/>
                <w:color w:val="212529"/>
              </w:rPr>
              <w:t>99</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71"/>
              <w:spacing w:before="136" w:line="186" w:lineRule="auto"/>
              <w:rPr>
                <w:sz w:val="13"/>
                <w:szCs w:val="13"/>
              </w:rPr>
            </w:pPr>
            <w:r>
              <w:rPr>
                <w:sz w:val="13"/>
                <w:szCs w:val="13"/>
                <w:color w:val="212529"/>
                <w:spacing w:val="4"/>
              </w:rPr>
              <w:t>272.</w:t>
            </w:r>
            <w:r>
              <w:rPr>
                <w:sz w:val="13"/>
                <w:szCs w:val="13"/>
                <w:color w:val="212529"/>
                <w:spacing w:val="15"/>
                <w:w w:val="102"/>
              </w:rPr>
              <w:t xml:space="preserve"> </w:t>
            </w:r>
            <w:r>
              <w:rPr>
                <w:sz w:val="13"/>
                <w:szCs w:val="13"/>
                <w:color w:val="212529"/>
                <w:spacing w:val="4"/>
              </w:rPr>
              <w:t>99</w:t>
            </w:r>
          </w:p>
        </w:tc>
        <w:tc>
          <w:tcPr>
            <w:tcW w:w="1069" w:type="dxa"/>
            <w:vAlign w:val="top"/>
          </w:tcPr>
          <w:p>
            <w:pPr>
              <w:pStyle w:val="TableText"/>
              <w:ind w:left="286"/>
              <w:spacing w:before="136" w:line="172" w:lineRule="auto"/>
              <w:rPr>
                <w:sz w:val="14"/>
                <w:szCs w:val="14"/>
              </w:rPr>
            </w:pPr>
            <w:r>
              <w:rPr>
                <w:sz w:val="14"/>
                <w:szCs w:val="14"/>
                <w:color w:val="212529"/>
              </w:rPr>
              <w:t>272.</w:t>
            </w:r>
            <w:r>
              <w:rPr>
                <w:sz w:val="14"/>
                <w:szCs w:val="14"/>
                <w:color w:val="212529"/>
                <w:spacing w:val="6"/>
              </w:rPr>
              <w:t xml:space="preserve"> </w:t>
            </w:r>
            <w:r>
              <w:rPr>
                <w:sz w:val="14"/>
                <w:szCs w:val="14"/>
                <w:color w:val="212529"/>
              </w:rPr>
              <w:t>99</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6"/>
          <w:footerReference w:type="default" r:id="rId17"/>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8"/>
        <w:gridCol w:w="3121"/>
        <w:gridCol w:w="1533"/>
        <w:gridCol w:w="1393"/>
        <w:gridCol w:w="1453"/>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05"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单位名称：兴县高家村镇中心卫生院</w:t>
            </w:r>
          </w:p>
        </w:tc>
        <w:tc>
          <w:tcPr>
            <w:tcW w:w="1453" w:type="dxa"/>
            <w:vAlign w:val="top"/>
            <w:tcBorders>
              <w:top w:val="single" w:color="FFFFFF" w:sz="4" w:space="0"/>
              <w:left w:val="single" w:color="FFFFFF" w:sz="2" w:space="0"/>
              <w:right w:val="single" w:color="FFFFFF" w:sz="2" w:space="0"/>
            </w:tcBorders>
          </w:tcPr>
          <w:p>
            <w:pPr>
              <w:ind w:left="780"/>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779" w:type="dxa"/>
            <w:vAlign w:val="top"/>
            <w:gridSpan w:val="2"/>
          </w:tcPr>
          <w:p>
            <w:pPr>
              <w:ind w:left="2216"/>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79" w:type="dxa"/>
            <w:vAlign w:val="top"/>
            <w:gridSpan w:val="3"/>
          </w:tcPr>
          <w:p>
            <w:pPr>
              <w:ind w:left="169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58" w:type="dxa"/>
            <w:vAlign w:val="top"/>
          </w:tcPr>
          <w:p>
            <w:pPr>
              <w:ind w:left="49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21" w:type="dxa"/>
            <w:vAlign w:val="top"/>
          </w:tcPr>
          <w:p>
            <w:pPr>
              <w:ind w:left="122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33" w:type="dxa"/>
            <w:vAlign w:val="top"/>
          </w:tcPr>
          <w:p>
            <w:pPr>
              <w:ind w:left="59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35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53" w:type="dxa"/>
            <w:vAlign w:val="top"/>
          </w:tcPr>
          <w:p>
            <w:pPr>
              <w:ind w:left="39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779" w:type="dxa"/>
            <w:vAlign w:val="top"/>
            <w:gridSpan w:val="2"/>
          </w:tcPr>
          <w:p>
            <w:pPr>
              <w:ind w:left="2218"/>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33" w:type="dxa"/>
            <w:vAlign w:val="top"/>
          </w:tcPr>
          <w:p>
            <w:pPr>
              <w:pStyle w:val="TableText"/>
              <w:ind w:left="1019"/>
              <w:spacing w:before="87" w:line="172" w:lineRule="auto"/>
              <w:rPr>
                <w:sz w:val="14"/>
                <w:szCs w:val="14"/>
              </w:rPr>
            </w:pPr>
            <w:r>
              <w:rPr>
                <w:sz w:val="14"/>
                <w:szCs w:val="14"/>
                <w:color w:val="212529"/>
              </w:rPr>
              <w:t>272.</w:t>
            </w:r>
            <w:r>
              <w:rPr>
                <w:sz w:val="14"/>
                <w:szCs w:val="14"/>
                <w:color w:val="212529"/>
                <w:spacing w:val="6"/>
              </w:rPr>
              <w:t xml:space="preserve"> </w:t>
            </w:r>
            <w:r>
              <w:rPr>
                <w:sz w:val="14"/>
                <w:szCs w:val="14"/>
                <w:color w:val="212529"/>
              </w:rPr>
              <w:t>99</w:t>
            </w:r>
          </w:p>
        </w:tc>
        <w:tc>
          <w:tcPr>
            <w:tcW w:w="1393" w:type="dxa"/>
            <w:vAlign w:val="top"/>
          </w:tcPr>
          <w:p>
            <w:pPr>
              <w:pStyle w:val="TableText"/>
              <w:ind w:left="899"/>
              <w:spacing w:before="87" w:line="186" w:lineRule="auto"/>
              <w:rPr>
                <w:sz w:val="13"/>
                <w:szCs w:val="13"/>
              </w:rPr>
            </w:pPr>
            <w:r>
              <w:rPr>
                <w:sz w:val="13"/>
                <w:szCs w:val="13"/>
                <w:color w:val="212529"/>
                <w:spacing w:val="2"/>
              </w:rPr>
              <w:t>168.</w:t>
            </w:r>
            <w:r>
              <w:rPr>
                <w:sz w:val="13"/>
                <w:szCs w:val="13"/>
                <w:color w:val="212529"/>
                <w:spacing w:val="17"/>
              </w:rPr>
              <w:t xml:space="preserve"> </w:t>
            </w:r>
            <w:r>
              <w:rPr>
                <w:sz w:val="13"/>
                <w:szCs w:val="13"/>
                <w:color w:val="212529"/>
                <w:spacing w:val="2"/>
              </w:rPr>
              <w:t>72</w:t>
            </w:r>
          </w:p>
        </w:tc>
        <w:tc>
          <w:tcPr>
            <w:tcW w:w="1453" w:type="dxa"/>
            <w:vAlign w:val="top"/>
          </w:tcPr>
          <w:p>
            <w:pPr>
              <w:pStyle w:val="TableText"/>
              <w:ind w:left="952"/>
              <w:spacing w:before="87" w:line="186" w:lineRule="auto"/>
              <w:rPr>
                <w:sz w:val="13"/>
                <w:szCs w:val="13"/>
              </w:rPr>
            </w:pPr>
            <w:r>
              <w:rPr>
                <w:sz w:val="13"/>
                <w:szCs w:val="13"/>
                <w:color w:val="212529"/>
                <w:spacing w:val="2"/>
              </w:rPr>
              <w:t>104.</w:t>
            </w:r>
            <w:r>
              <w:rPr>
                <w:sz w:val="13"/>
                <w:szCs w:val="13"/>
                <w:color w:val="212529"/>
                <w:spacing w:val="17"/>
              </w:rPr>
              <w:t xml:space="preserve"> </w:t>
            </w:r>
            <w:r>
              <w:rPr>
                <w:sz w:val="13"/>
                <w:szCs w:val="13"/>
                <w:color w:val="212529"/>
                <w:spacing w:val="2"/>
              </w:rPr>
              <w:t>27</w:t>
            </w:r>
          </w:p>
        </w:tc>
      </w:tr>
      <w:tr>
        <w:trPr>
          <w:trHeight w:val="292" w:hRule="atLeast"/>
        </w:trPr>
        <w:tc>
          <w:tcPr>
            <w:tcW w:w="1658"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21" w:type="dxa"/>
            <w:vAlign w:val="top"/>
          </w:tcPr>
          <w:p>
            <w:pPr>
              <w:ind w:left="8"/>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33" w:type="dxa"/>
            <w:vAlign w:val="top"/>
          </w:tcPr>
          <w:p>
            <w:pPr>
              <w:ind w:right="2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15.84</w:t>
            </w:r>
          </w:p>
        </w:tc>
        <w:tc>
          <w:tcPr>
            <w:tcW w:w="1393"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15.84</w:t>
            </w:r>
          </w:p>
        </w:tc>
        <w:tc>
          <w:tcPr>
            <w:tcW w:w="1453" w:type="dxa"/>
            <w:vAlign w:val="top"/>
          </w:tcPr>
          <w:p>
            <w:pPr>
              <w:pStyle w:val="TableText"/>
              <w:rPr/>
            </w:pPr>
            <w:r/>
          </w:p>
        </w:tc>
      </w:tr>
      <w:tr>
        <w:trPr>
          <w:trHeight w:val="292" w:hRule="atLeast"/>
        </w:trPr>
        <w:tc>
          <w:tcPr>
            <w:tcW w:w="1658"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21" w:type="dxa"/>
            <w:vAlign w:val="top"/>
          </w:tcPr>
          <w:p>
            <w:pPr>
              <w:ind w:left="7"/>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33" w:type="dxa"/>
            <w:vAlign w:val="top"/>
          </w:tcPr>
          <w:p>
            <w:pPr>
              <w:ind w:right="2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15.84</w:t>
            </w:r>
          </w:p>
        </w:tc>
        <w:tc>
          <w:tcPr>
            <w:tcW w:w="1393"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15.84</w:t>
            </w:r>
          </w:p>
        </w:tc>
        <w:tc>
          <w:tcPr>
            <w:tcW w:w="1453" w:type="dxa"/>
            <w:vAlign w:val="top"/>
          </w:tcPr>
          <w:p>
            <w:pPr>
              <w:pStyle w:val="TableText"/>
              <w:rPr/>
            </w:pPr>
            <w:r/>
          </w:p>
        </w:tc>
      </w:tr>
      <w:tr>
        <w:trPr>
          <w:trHeight w:val="292" w:hRule="atLeast"/>
        </w:trPr>
        <w:tc>
          <w:tcPr>
            <w:tcW w:w="1658"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121" w:type="dxa"/>
            <w:vAlign w:val="top"/>
          </w:tcPr>
          <w:p>
            <w:pPr>
              <w:ind w:left="8"/>
              <w:spacing w:before="70"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1.55</w:t>
            </w:r>
          </w:p>
        </w:tc>
        <w:tc>
          <w:tcPr>
            <w:tcW w:w="1393"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1.55</w:t>
            </w:r>
          </w:p>
        </w:tc>
        <w:tc>
          <w:tcPr>
            <w:tcW w:w="1453" w:type="dxa"/>
            <w:vAlign w:val="top"/>
          </w:tcPr>
          <w:p>
            <w:pPr>
              <w:pStyle w:val="TableText"/>
              <w:rPr/>
            </w:pPr>
            <w:r/>
          </w:p>
        </w:tc>
      </w:tr>
      <w:tr>
        <w:trPr>
          <w:trHeight w:val="292" w:hRule="atLeast"/>
        </w:trPr>
        <w:tc>
          <w:tcPr>
            <w:tcW w:w="1658"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21" w:type="dxa"/>
            <w:vAlign w:val="top"/>
          </w:tcPr>
          <w:p>
            <w:pPr>
              <w:ind w:left="6"/>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14.29</w:t>
            </w:r>
          </w:p>
        </w:tc>
        <w:tc>
          <w:tcPr>
            <w:tcW w:w="1393"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14.29</w:t>
            </w:r>
          </w:p>
        </w:tc>
        <w:tc>
          <w:tcPr>
            <w:tcW w:w="1453" w:type="dxa"/>
            <w:vAlign w:val="top"/>
          </w:tcPr>
          <w:p>
            <w:pPr>
              <w:pStyle w:val="TableText"/>
              <w:rPr/>
            </w:pPr>
            <w:r/>
          </w:p>
        </w:tc>
      </w:tr>
      <w:tr>
        <w:trPr>
          <w:trHeight w:val="292" w:hRule="atLeast"/>
        </w:trPr>
        <w:tc>
          <w:tcPr>
            <w:tcW w:w="1658"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21" w:type="dxa"/>
            <w:vAlign w:val="top"/>
          </w:tcPr>
          <w:p>
            <w:pPr>
              <w:ind w:left="8"/>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244.04</w:t>
            </w:r>
          </w:p>
        </w:tc>
        <w:tc>
          <w:tcPr>
            <w:tcW w:w="1393"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139.77</w:t>
            </w:r>
          </w:p>
        </w:tc>
        <w:tc>
          <w:tcPr>
            <w:tcW w:w="145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104.27</w:t>
            </w:r>
          </w:p>
        </w:tc>
      </w:tr>
      <w:tr>
        <w:trPr>
          <w:trHeight w:val="292" w:hRule="atLeast"/>
        </w:trPr>
        <w:tc>
          <w:tcPr>
            <w:tcW w:w="1658"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121" w:type="dxa"/>
            <w:vAlign w:val="top"/>
          </w:tcPr>
          <w:p>
            <w:pPr>
              <w:ind w:left="6"/>
              <w:spacing w:before="72"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533" w:type="dxa"/>
            <w:vAlign w:val="top"/>
          </w:tcPr>
          <w:p>
            <w:pPr>
              <w:ind w:right="2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238.17</w:t>
            </w:r>
          </w:p>
        </w:tc>
        <w:tc>
          <w:tcPr>
            <w:tcW w:w="1393"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133.90</w:t>
            </w:r>
          </w:p>
        </w:tc>
        <w:tc>
          <w:tcPr>
            <w:tcW w:w="1453"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104.27</w:t>
            </w:r>
          </w:p>
        </w:tc>
      </w:tr>
      <w:tr>
        <w:trPr>
          <w:trHeight w:val="292" w:hRule="atLeast"/>
        </w:trPr>
        <w:tc>
          <w:tcPr>
            <w:tcW w:w="1658"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121" w:type="dxa"/>
            <w:vAlign w:val="top"/>
          </w:tcPr>
          <w:p>
            <w:pPr>
              <w:ind w:left="14"/>
              <w:spacing w:before="7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33" w:type="dxa"/>
            <w:vAlign w:val="top"/>
          </w:tcPr>
          <w:p>
            <w:pPr>
              <w:ind w:right="2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218.98</w:t>
            </w:r>
          </w:p>
        </w:tc>
        <w:tc>
          <w:tcPr>
            <w:tcW w:w="1393"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133.90</w:t>
            </w:r>
          </w:p>
        </w:tc>
        <w:tc>
          <w:tcPr>
            <w:tcW w:w="1453"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85.08</w:t>
            </w:r>
          </w:p>
        </w:tc>
      </w:tr>
      <w:tr>
        <w:trPr>
          <w:trHeight w:val="292"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121" w:type="dxa"/>
            <w:vAlign w:val="top"/>
          </w:tcPr>
          <w:p>
            <w:pPr>
              <w:ind w:left="6"/>
              <w:spacing w:before="74"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33" w:type="dxa"/>
            <w:vAlign w:val="top"/>
          </w:tcPr>
          <w:p>
            <w:pPr>
              <w:ind w:right="2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19.18</w:t>
            </w:r>
          </w:p>
        </w:tc>
        <w:tc>
          <w:tcPr>
            <w:tcW w:w="1393" w:type="dxa"/>
            <w:vAlign w:val="top"/>
          </w:tcPr>
          <w:p>
            <w:pPr>
              <w:pStyle w:val="TableText"/>
              <w:rPr/>
            </w:pPr>
            <w:r/>
          </w:p>
        </w:tc>
        <w:tc>
          <w:tcPr>
            <w:tcW w:w="1453"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9.18</w:t>
            </w:r>
          </w:p>
        </w:tc>
      </w:tr>
      <w:tr>
        <w:trPr>
          <w:trHeight w:val="292" w:hRule="atLeast"/>
        </w:trPr>
        <w:tc>
          <w:tcPr>
            <w:tcW w:w="1658" w:type="dxa"/>
            <w:vAlign w:val="top"/>
          </w:tcPr>
          <w:p>
            <w:pPr>
              <w:ind w:left="261"/>
              <w:spacing w:before="74" w:line="204" w:lineRule="exact"/>
              <w:rPr>
                <w:rFonts w:ascii="SimSun" w:hAnsi="SimSun" w:eastAsia="SimSun" w:cs="SimSun"/>
                <w:sz w:val="15"/>
                <w:szCs w:val="15"/>
              </w:rPr>
            </w:pPr>
            <w:r>
              <w:rPr>
                <w:rFonts w:ascii="SimSun" w:hAnsi="SimSun" w:eastAsia="SimSun" w:cs="SimSun"/>
                <w:sz w:val="15"/>
                <w:szCs w:val="15"/>
                <w:color w:val="212529"/>
                <w:spacing w:val="-4"/>
                <w:position w:val="1"/>
              </w:rPr>
              <w:t>11</w:t>
            </w:r>
          </w:p>
        </w:tc>
        <w:tc>
          <w:tcPr>
            <w:tcW w:w="3121" w:type="dxa"/>
            <w:vAlign w:val="top"/>
          </w:tcPr>
          <w:p>
            <w:pPr>
              <w:ind w:left="7"/>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5.87</w:t>
            </w:r>
          </w:p>
        </w:tc>
        <w:tc>
          <w:tcPr>
            <w:tcW w:w="1393" w:type="dxa"/>
            <w:vAlign w:val="top"/>
          </w:tcPr>
          <w:p>
            <w:pPr>
              <w:ind w:left="1053"/>
              <w:spacing w:before="74" w:line="202" w:lineRule="exact"/>
              <w:rPr>
                <w:rFonts w:ascii="SimSun" w:hAnsi="SimSun" w:eastAsia="SimSun" w:cs="SimSun"/>
                <w:sz w:val="15"/>
                <w:szCs w:val="15"/>
              </w:rPr>
            </w:pPr>
            <w:r>
              <w:rPr>
                <w:rFonts w:ascii="SimSun" w:hAnsi="SimSun" w:eastAsia="SimSun" w:cs="SimSun"/>
                <w:sz w:val="15"/>
                <w:szCs w:val="15"/>
                <w:color w:val="212529"/>
                <w:spacing w:val="2"/>
                <w:position w:val="1"/>
              </w:rPr>
              <w:t>5.8</w:t>
            </w:r>
          </w:p>
        </w:tc>
        <w:tc>
          <w:tcPr>
            <w:tcW w:w="1453" w:type="dxa"/>
            <w:vAlign w:val="top"/>
          </w:tcPr>
          <w:p>
            <w:pPr>
              <w:pStyle w:val="TableText"/>
              <w:rPr/>
            </w:pPr>
            <w:r/>
          </w:p>
        </w:tc>
      </w:tr>
      <w:tr>
        <w:trPr>
          <w:trHeight w:val="293" w:hRule="atLeast"/>
        </w:trPr>
        <w:tc>
          <w:tcPr>
            <w:tcW w:w="1658"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21" w:type="dxa"/>
            <w:vAlign w:val="top"/>
          </w:tcPr>
          <w:p>
            <w:pPr>
              <w:ind w:left="8"/>
              <w:spacing w:before="75"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5.81</w:t>
            </w:r>
          </w:p>
        </w:tc>
        <w:tc>
          <w:tcPr>
            <w:tcW w:w="1393" w:type="dxa"/>
            <w:vAlign w:val="top"/>
          </w:tcPr>
          <w:p>
            <w:pPr>
              <w:ind w:left="1135"/>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453" w:type="dxa"/>
            <w:vAlign w:val="top"/>
          </w:tcPr>
          <w:p>
            <w:pPr>
              <w:pStyle w:val="TableText"/>
              <w:rPr/>
            </w:pPr>
            <w:r/>
          </w:p>
        </w:tc>
      </w:tr>
      <w:tr>
        <w:trPr>
          <w:trHeight w:val="293" w:hRule="atLeast"/>
        </w:trPr>
        <w:tc>
          <w:tcPr>
            <w:tcW w:w="1658"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121" w:type="dxa"/>
            <w:vAlign w:val="top"/>
          </w:tcPr>
          <w:p>
            <w:pPr>
              <w:ind w:left="6"/>
              <w:spacing w:before="75"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0.06</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.06</w:t>
            </w:r>
          </w:p>
        </w:tc>
        <w:tc>
          <w:tcPr>
            <w:tcW w:w="1453" w:type="dxa"/>
            <w:vAlign w:val="top"/>
          </w:tcPr>
          <w:p>
            <w:pPr>
              <w:pStyle w:val="TableText"/>
              <w:rPr/>
            </w:pPr>
            <w:r/>
          </w:p>
        </w:tc>
      </w:tr>
      <w:tr>
        <w:trPr>
          <w:trHeight w:val="292" w:hRule="atLeast"/>
        </w:trPr>
        <w:tc>
          <w:tcPr>
            <w:tcW w:w="1658" w:type="dxa"/>
            <w:vAlign w:val="top"/>
          </w:tcPr>
          <w:p>
            <w:pPr>
              <w:ind w:left="8"/>
              <w:spacing w:before="7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21" w:type="dxa"/>
            <w:vAlign w:val="top"/>
          </w:tcPr>
          <w:p>
            <w:pPr>
              <w:ind w:left="8"/>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13.12</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13.12</w:t>
            </w:r>
          </w:p>
        </w:tc>
        <w:tc>
          <w:tcPr>
            <w:tcW w:w="1453" w:type="dxa"/>
            <w:vAlign w:val="top"/>
          </w:tcPr>
          <w:p>
            <w:pPr>
              <w:pStyle w:val="TableText"/>
              <w:rPr/>
            </w:pPr>
            <w:r/>
          </w:p>
        </w:tc>
      </w:tr>
      <w:tr>
        <w:trPr>
          <w:trHeight w:val="293" w:hRule="atLeast"/>
        </w:trPr>
        <w:tc>
          <w:tcPr>
            <w:tcW w:w="1658"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21" w:type="dxa"/>
            <w:vAlign w:val="top"/>
          </w:tcPr>
          <w:p>
            <w:pPr>
              <w:ind w:left="8"/>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13.12</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13.12</w:t>
            </w:r>
          </w:p>
        </w:tc>
        <w:tc>
          <w:tcPr>
            <w:tcW w:w="1453" w:type="dxa"/>
            <w:vAlign w:val="top"/>
          </w:tcPr>
          <w:p>
            <w:pPr>
              <w:pStyle w:val="TableText"/>
              <w:rPr/>
            </w:pPr>
            <w:r/>
          </w:p>
        </w:tc>
      </w:tr>
      <w:tr>
        <w:trPr>
          <w:trHeight w:val="298" w:hRule="atLeast"/>
        </w:trPr>
        <w:tc>
          <w:tcPr>
            <w:tcW w:w="1658"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21" w:type="dxa"/>
            <w:vAlign w:val="top"/>
          </w:tcPr>
          <w:p>
            <w:pPr>
              <w:ind w:left="8"/>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13.12</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13.12</w:t>
            </w:r>
          </w:p>
        </w:tc>
        <w:tc>
          <w:tcPr>
            <w:tcW w:w="1453" w:type="dxa"/>
            <w:vAlign w:val="top"/>
          </w:tcPr>
          <w:p>
            <w:pPr>
              <w:pStyle w:val="TableText"/>
              <w:rPr/>
            </w:pPr>
            <w:r/>
          </w:p>
        </w:tc>
      </w:tr>
    </w:tbl>
    <w:p>
      <w:pPr>
        <w:pStyle w:val="BodyText"/>
        <w:rPr/>
      </w:pPr>
      <w:r/>
    </w:p>
    <w:p>
      <w:pPr>
        <w:sectPr>
          <w:headerReference w:type="default" r:id="rId18"/>
          <w:footerReference w:type="default" r:id="rId19"/>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42"/>
        <w:gridCol w:w="2300"/>
        <w:gridCol w:w="1199"/>
        <w:gridCol w:w="1199"/>
        <w:gridCol w:w="1042"/>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841"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单位名称：兴县高家村镇中心卫生院</w:t>
            </w:r>
          </w:p>
        </w:tc>
        <w:tc>
          <w:tcPr>
            <w:tcW w:w="1199" w:type="dxa"/>
            <w:vAlign w:val="top"/>
            <w:tcBorders>
              <w:top w:val="single" w:color="FFFFFF" w:sz="4" w:space="0"/>
              <w:left w:val="single" w:color="FFFFFF" w:sz="2" w:space="0"/>
              <w:right w:val="single" w:color="FFFFFF" w:sz="2" w:space="0"/>
            </w:tcBorders>
          </w:tcPr>
          <w:p>
            <w:pPr>
              <w:pStyle w:val="TableText"/>
              <w:rPr/>
            </w:pPr>
            <w:r/>
          </w:p>
        </w:tc>
        <w:tc>
          <w:tcPr>
            <w:tcW w:w="1042" w:type="dxa"/>
            <w:vAlign w:val="top"/>
            <w:tcBorders>
              <w:top w:val="single" w:color="FFFFFF" w:sz="4" w:space="0"/>
              <w:left w:val="single" w:color="FFFFFF" w:sz="2" w:space="0"/>
              <w:right w:val="single" w:color="FFFFFF" w:sz="2" w:space="0"/>
            </w:tcBorders>
          </w:tcPr>
          <w:p>
            <w:pPr>
              <w:ind w:left="371"/>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42" w:type="dxa"/>
            <w:vAlign w:val="top"/>
            <w:vMerge w:val="restart"/>
            <w:tcBorders>
              <w:bottom w:val="nil"/>
            </w:tcBorders>
          </w:tcPr>
          <w:p>
            <w:pPr>
              <w:ind w:left="684"/>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00" w:type="dxa"/>
            <w:vAlign w:val="top"/>
            <w:vMerge w:val="restart"/>
            <w:tcBorders>
              <w:bottom w:val="nil"/>
            </w:tcBorders>
          </w:tcPr>
          <w:p>
            <w:pPr>
              <w:ind w:left="165"/>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40" w:type="dxa"/>
            <w:vAlign w:val="top"/>
            <w:gridSpan w:val="3"/>
          </w:tcPr>
          <w:p>
            <w:pPr>
              <w:ind w:left="1227"/>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42" w:type="dxa"/>
            <w:vAlign w:val="top"/>
            <w:vMerge w:val="continue"/>
            <w:tcBorders>
              <w:top w:val="nil"/>
            </w:tcBorders>
          </w:tcPr>
          <w:p>
            <w:pPr>
              <w:pStyle w:val="TableText"/>
              <w:rPr/>
            </w:pPr>
            <w:r/>
          </w:p>
        </w:tc>
        <w:tc>
          <w:tcPr>
            <w:tcW w:w="2300" w:type="dxa"/>
            <w:vAlign w:val="top"/>
            <w:vMerge w:val="continue"/>
            <w:tcBorders>
              <w:top w:val="nil"/>
            </w:tcBorders>
          </w:tcPr>
          <w:p>
            <w:pPr>
              <w:pStyle w:val="TableText"/>
              <w:rPr/>
            </w:pPr>
            <w:r/>
          </w:p>
        </w:tc>
        <w:tc>
          <w:tcPr>
            <w:tcW w:w="1199" w:type="dxa"/>
            <w:vAlign w:val="top"/>
          </w:tcPr>
          <w:p>
            <w:pPr>
              <w:ind w:left="429"/>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99" w:type="dxa"/>
            <w:vAlign w:val="top"/>
          </w:tcPr>
          <w:p>
            <w:pPr>
              <w:ind w:left="26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42" w:type="dxa"/>
            <w:vAlign w:val="top"/>
          </w:tcPr>
          <w:p>
            <w:pPr>
              <w:ind w:left="192"/>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642" w:type="dxa"/>
            <w:vAlign w:val="top"/>
            <w:gridSpan w:val="2"/>
          </w:tcPr>
          <w:p>
            <w:pPr>
              <w:ind w:left="2662"/>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99" w:type="dxa"/>
            <w:vAlign w:val="top"/>
          </w:tcPr>
          <w:p>
            <w:pPr>
              <w:pStyle w:val="TableText"/>
              <w:ind w:left="700"/>
              <w:spacing w:before="87" w:line="186" w:lineRule="auto"/>
              <w:rPr>
                <w:sz w:val="13"/>
                <w:szCs w:val="13"/>
              </w:rPr>
            </w:pPr>
            <w:r>
              <w:rPr>
                <w:sz w:val="13"/>
                <w:szCs w:val="13"/>
                <w:color w:val="212529"/>
                <w:spacing w:val="2"/>
              </w:rPr>
              <w:t>168.</w:t>
            </w:r>
            <w:r>
              <w:rPr>
                <w:sz w:val="13"/>
                <w:szCs w:val="13"/>
                <w:color w:val="212529"/>
                <w:spacing w:val="17"/>
              </w:rPr>
              <w:t xml:space="preserve"> </w:t>
            </w:r>
            <w:r>
              <w:rPr>
                <w:sz w:val="13"/>
                <w:szCs w:val="13"/>
                <w:color w:val="212529"/>
                <w:spacing w:val="2"/>
              </w:rPr>
              <w:t>72</w:t>
            </w:r>
          </w:p>
        </w:tc>
        <w:tc>
          <w:tcPr>
            <w:tcW w:w="1199" w:type="dxa"/>
            <w:vAlign w:val="top"/>
          </w:tcPr>
          <w:p>
            <w:pPr>
              <w:pStyle w:val="TableText"/>
              <w:ind w:left="700"/>
              <w:spacing w:before="87" w:line="186" w:lineRule="auto"/>
              <w:rPr>
                <w:sz w:val="13"/>
                <w:szCs w:val="13"/>
              </w:rPr>
            </w:pPr>
            <w:r>
              <w:rPr>
                <w:sz w:val="13"/>
                <w:szCs w:val="13"/>
                <w:color w:val="212529"/>
                <w:spacing w:val="4"/>
              </w:rPr>
              <w:t>159.</w:t>
            </w:r>
            <w:r>
              <w:rPr>
                <w:sz w:val="13"/>
                <w:szCs w:val="13"/>
                <w:color w:val="212529"/>
                <w:spacing w:val="9"/>
              </w:rPr>
              <w:t xml:space="preserve"> </w:t>
            </w:r>
            <w:r>
              <w:rPr>
                <w:sz w:val="13"/>
                <w:szCs w:val="13"/>
                <w:color w:val="212529"/>
                <w:spacing w:val="4"/>
              </w:rPr>
              <w:t>44</w:t>
            </w:r>
          </w:p>
        </w:tc>
        <w:tc>
          <w:tcPr>
            <w:tcW w:w="1042" w:type="dxa"/>
            <w:vAlign w:val="top"/>
          </w:tcPr>
          <w:p>
            <w:pPr>
              <w:pStyle w:val="TableText"/>
              <w:ind w:left="693"/>
              <w:spacing w:before="87" w:line="186" w:lineRule="auto"/>
              <w:rPr>
                <w:sz w:val="13"/>
                <w:szCs w:val="13"/>
              </w:rPr>
            </w:pPr>
            <w:r>
              <w:rPr>
                <w:sz w:val="13"/>
                <w:szCs w:val="13"/>
                <w:color w:val="212529"/>
                <w:spacing w:val="3"/>
              </w:rPr>
              <w:t>9.</w:t>
            </w:r>
            <w:r>
              <w:rPr>
                <w:sz w:val="13"/>
                <w:szCs w:val="13"/>
                <w:color w:val="212529"/>
                <w:spacing w:val="11"/>
                <w:w w:val="101"/>
              </w:rPr>
              <w:t xml:space="preserve"> </w:t>
            </w:r>
            <w:r>
              <w:rPr>
                <w:sz w:val="13"/>
                <w:szCs w:val="13"/>
                <w:color w:val="212529"/>
                <w:spacing w:val="3"/>
              </w:rPr>
              <w:t>29</w:t>
            </w:r>
          </w:p>
        </w:tc>
      </w:tr>
      <w:tr>
        <w:trPr>
          <w:trHeight w:val="292" w:hRule="atLeast"/>
        </w:trPr>
        <w:tc>
          <w:tcPr>
            <w:tcW w:w="3342"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00" w:type="dxa"/>
            <w:vAlign w:val="top"/>
          </w:tcPr>
          <w:p>
            <w:pPr>
              <w:pStyle w:val="TableText"/>
              <w:rPr/>
            </w:pPr>
            <w:r/>
          </w:p>
        </w:tc>
        <w:tc>
          <w:tcPr>
            <w:tcW w:w="119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157.89</w:t>
            </w:r>
          </w:p>
        </w:tc>
        <w:tc>
          <w:tcPr>
            <w:tcW w:w="119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157.89</w:t>
            </w:r>
          </w:p>
        </w:tc>
        <w:tc>
          <w:tcPr>
            <w:tcW w:w="1042" w:type="dxa"/>
            <w:vAlign w:val="top"/>
          </w:tcPr>
          <w:p>
            <w:pPr>
              <w:pStyle w:val="TableText"/>
              <w:rPr/>
            </w:pPr>
            <w:r/>
          </w:p>
        </w:tc>
      </w:tr>
      <w:tr>
        <w:trPr>
          <w:trHeight w:val="292" w:hRule="atLeast"/>
        </w:trPr>
        <w:tc>
          <w:tcPr>
            <w:tcW w:w="334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00" w:type="dxa"/>
            <w:vAlign w:val="top"/>
          </w:tcPr>
          <w:p>
            <w:pPr>
              <w:ind w:left="329"/>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50.42</w:t>
            </w:r>
          </w:p>
        </w:tc>
        <w:tc>
          <w:tcPr>
            <w:tcW w:w="119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50.42</w:t>
            </w:r>
          </w:p>
        </w:tc>
        <w:tc>
          <w:tcPr>
            <w:tcW w:w="1042" w:type="dxa"/>
            <w:vAlign w:val="top"/>
          </w:tcPr>
          <w:p>
            <w:pPr>
              <w:pStyle w:val="TableText"/>
              <w:rPr/>
            </w:pPr>
            <w:r/>
          </w:p>
        </w:tc>
      </w:tr>
      <w:tr>
        <w:trPr>
          <w:trHeight w:val="292" w:hRule="atLeast"/>
        </w:trPr>
        <w:tc>
          <w:tcPr>
            <w:tcW w:w="3342"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00" w:type="dxa"/>
            <w:vAlign w:val="top"/>
          </w:tcPr>
          <w:p>
            <w:pPr>
              <w:ind w:left="329"/>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25.07</w:t>
            </w:r>
          </w:p>
        </w:tc>
        <w:tc>
          <w:tcPr>
            <w:tcW w:w="119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25.07</w:t>
            </w:r>
          </w:p>
        </w:tc>
        <w:tc>
          <w:tcPr>
            <w:tcW w:w="1042" w:type="dxa"/>
            <w:vAlign w:val="top"/>
          </w:tcPr>
          <w:p>
            <w:pPr>
              <w:pStyle w:val="TableText"/>
              <w:rPr/>
            </w:pPr>
            <w:r/>
          </w:p>
        </w:tc>
      </w:tr>
      <w:tr>
        <w:trPr>
          <w:trHeight w:val="292" w:hRule="atLeast"/>
        </w:trPr>
        <w:tc>
          <w:tcPr>
            <w:tcW w:w="3342"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300" w:type="dxa"/>
            <w:vAlign w:val="top"/>
          </w:tcPr>
          <w:p>
            <w:pPr>
              <w:ind w:left="329"/>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36.93</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36.93</w:t>
            </w:r>
          </w:p>
        </w:tc>
        <w:tc>
          <w:tcPr>
            <w:tcW w:w="1042" w:type="dxa"/>
            <w:vAlign w:val="top"/>
          </w:tcPr>
          <w:p>
            <w:pPr>
              <w:pStyle w:val="TableText"/>
              <w:rPr/>
            </w:pPr>
            <w:r/>
          </w:p>
        </w:tc>
      </w:tr>
      <w:tr>
        <w:trPr>
          <w:trHeight w:val="292" w:hRule="atLeast"/>
        </w:trPr>
        <w:tc>
          <w:tcPr>
            <w:tcW w:w="3342"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00" w:type="dxa"/>
            <w:vAlign w:val="top"/>
          </w:tcPr>
          <w:p>
            <w:pPr>
              <w:ind w:left="329"/>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14.29</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14.29</w:t>
            </w:r>
          </w:p>
        </w:tc>
        <w:tc>
          <w:tcPr>
            <w:tcW w:w="1042" w:type="dxa"/>
            <w:vAlign w:val="top"/>
          </w:tcPr>
          <w:p>
            <w:pPr>
              <w:pStyle w:val="TableText"/>
              <w:rPr/>
            </w:pPr>
            <w:r/>
          </w:p>
        </w:tc>
      </w:tr>
      <w:tr>
        <w:trPr>
          <w:trHeight w:val="292" w:hRule="atLeast"/>
        </w:trPr>
        <w:tc>
          <w:tcPr>
            <w:tcW w:w="3342"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00" w:type="dxa"/>
            <w:vAlign w:val="top"/>
          </w:tcPr>
          <w:p>
            <w:pPr>
              <w:ind w:left="329"/>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5.81</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5.81</w:t>
            </w:r>
          </w:p>
        </w:tc>
        <w:tc>
          <w:tcPr>
            <w:tcW w:w="1042" w:type="dxa"/>
            <w:vAlign w:val="top"/>
          </w:tcPr>
          <w:p>
            <w:pPr>
              <w:pStyle w:val="TableText"/>
              <w:rPr/>
            </w:pPr>
            <w:r/>
          </w:p>
        </w:tc>
      </w:tr>
      <w:tr>
        <w:trPr>
          <w:trHeight w:val="292" w:hRule="atLeast"/>
        </w:trPr>
        <w:tc>
          <w:tcPr>
            <w:tcW w:w="3342"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00" w:type="dxa"/>
            <w:vAlign w:val="top"/>
          </w:tcPr>
          <w:p>
            <w:pPr>
              <w:ind w:left="329"/>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0.33</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0.33</w:t>
            </w:r>
          </w:p>
        </w:tc>
        <w:tc>
          <w:tcPr>
            <w:tcW w:w="1042" w:type="dxa"/>
            <w:vAlign w:val="top"/>
          </w:tcPr>
          <w:p>
            <w:pPr>
              <w:pStyle w:val="TableText"/>
              <w:rPr/>
            </w:pPr>
            <w:r/>
          </w:p>
        </w:tc>
      </w:tr>
      <w:tr>
        <w:trPr>
          <w:trHeight w:val="292" w:hRule="atLeast"/>
        </w:trPr>
        <w:tc>
          <w:tcPr>
            <w:tcW w:w="3342" w:type="dxa"/>
            <w:vAlign w:val="top"/>
          </w:tcPr>
          <w:p>
            <w:pPr>
              <w:ind w:left="660"/>
              <w:spacing w:before="73" w:line="230" w:lineRule="auto"/>
              <w:rPr>
                <w:rFonts w:ascii="SimSun" w:hAnsi="SimSun" w:eastAsia="SimSun" w:cs="SimSun"/>
                <w:sz w:val="15"/>
                <w:szCs w:val="15"/>
              </w:rPr>
            </w:pPr>
            <w:r>
              <w:rPr>
                <w:rFonts w:ascii="SimSun" w:hAnsi="SimSun" w:eastAsia="SimSun" w:cs="SimSun"/>
                <w:sz w:val="15"/>
                <w:szCs w:val="15"/>
                <w:color w:val="212529"/>
                <w:spacing w:val="7"/>
              </w:rPr>
              <w:t>公积金</w:t>
            </w:r>
          </w:p>
        </w:tc>
        <w:tc>
          <w:tcPr>
            <w:tcW w:w="2300" w:type="dxa"/>
            <w:vAlign w:val="top"/>
          </w:tcPr>
          <w:p>
            <w:pPr>
              <w:ind w:left="329"/>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13.12</w:t>
            </w:r>
          </w:p>
        </w:tc>
        <w:tc>
          <w:tcPr>
            <w:tcW w:w="1199"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13.12</w:t>
            </w:r>
          </w:p>
        </w:tc>
        <w:tc>
          <w:tcPr>
            <w:tcW w:w="1042" w:type="dxa"/>
            <w:vAlign w:val="top"/>
          </w:tcPr>
          <w:p>
            <w:pPr>
              <w:pStyle w:val="TableText"/>
              <w:rPr/>
            </w:pPr>
            <w:r/>
          </w:p>
        </w:tc>
      </w:tr>
      <w:tr>
        <w:trPr>
          <w:trHeight w:val="292" w:hRule="atLeast"/>
        </w:trPr>
        <w:tc>
          <w:tcPr>
            <w:tcW w:w="3342"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300" w:type="dxa"/>
            <w:vAlign w:val="top"/>
          </w:tcPr>
          <w:p>
            <w:pPr>
              <w:ind w:left="329"/>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11.92</w:t>
            </w:r>
          </w:p>
        </w:tc>
        <w:tc>
          <w:tcPr>
            <w:tcW w:w="1199" w:type="dxa"/>
            <w:vAlign w:val="top"/>
          </w:tcPr>
          <w:p>
            <w:pPr>
              <w:ind w:left="936"/>
              <w:spacing w:before="191"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042" w:type="dxa"/>
            <w:vAlign w:val="top"/>
          </w:tcPr>
          <w:p>
            <w:pPr>
              <w:pStyle w:val="TableText"/>
              <w:rPr/>
            </w:pPr>
            <w:r/>
          </w:p>
        </w:tc>
      </w:tr>
      <w:tr>
        <w:trPr>
          <w:trHeight w:val="293" w:hRule="atLeast"/>
        </w:trPr>
        <w:tc>
          <w:tcPr>
            <w:tcW w:w="3342"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300" w:type="dxa"/>
            <w:vAlign w:val="top"/>
          </w:tcPr>
          <w:p>
            <w:pPr>
              <w:pStyle w:val="TableText"/>
              <w:rPr/>
            </w:pPr>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9.29</w:t>
            </w:r>
          </w:p>
        </w:tc>
        <w:tc>
          <w:tcPr>
            <w:tcW w:w="1199" w:type="dxa"/>
            <w:vAlign w:val="top"/>
          </w:tcPr>
          <w:p>
            <w:pPr>
              <w:pStyle w:val="TableText"/>
              <w:rPr/>
            </w:pPr>
            <w:r/>
          </w:p>
        </w:tc>
        <w:tc>
          <w:tcPr>
            <w:tcW w:w="104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9.29</w:t>
            </w:r>
          </w:p>
        </w:tc>
      </w:tr>
      <w:tr>
        <w:trPr>
          <w:trHeight w:val="293" w:hRule="atLeast"/>
        </w:trPr>
        <w:tc>
          <w:tcPr>
            <w:tcW w:w="3342"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30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left="854"/>
              <w:spacing w:before="75" w:line="202" w:lineRule="exact"/>
              <w:rPr>
                <w:rFonts w:ascii="SimSun" w:hAnsi="SimSun" w:eastAsia="SimSun" w:cs="SimSun"/>
                <w:sz w:val="15"/>
                <w:szCs w:val="15"/>
              </w:rPr>
            </w:pPr>
            <w:r>
              <w:rPr>
                <w:rFonts w:ascii="SimSun" w:hAnsi="SimSun" w:eastAsia="SimSun" w:cs="SimSun"/>
                <w:sz w:val="15"/>
                <w:szCs w:val="15"/>
                <w:color w:val="212529"/>
                <w:position w:val="1"/>
              </w:rPr>
              <w:t>7.</w:t>
            </w:r>
          </w:p>
        </w:tc>
        <w:tc>
          <w:tcPr>
            <w:tcW w:w="1199" w:type="dxa"/>
            <w:vAlign w:val="top"/>
          </w:tcPr>
          <w:p>
            <w:pPr>
              <w:pStyle w:val="TableText"/>
              <w:rPr/>
            </w:pPr>
            <w:r/>
          </w:p>
        </w:tc>
        <w:tc>
          <w:tcPr>
            <w:tcW w:w="104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7.50</w:t>
            </w:r>
          </w:p>
        </w:tc>
      </w:tr>
      <w:tr>
        <w:trPr>
          <w:trHeight w:val="292" w:hRule="atLeast"/>
        </w:trPr>
        <w:tc>
          <w:tcPr>
            <w:tcW w:w="3342"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30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left="862"/>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1.</w:t>
            </w:r>
          </w:p>
        </w:tc>
        <w:tc>
          <w:tcPr>
            <w:tcW w:w="1199" w:type="dxa"/>
            <w:vAlign w:val="top"/>
          </w:tcPr>
          <w:p>
            <w:pPr>
              <w:pStyle w:val="TableText"/>
              <w:rPr/>
            </w:pPr>
            <w:r/>
          </w:p>
        </w:tc>
        <w:tc>
          <w:tcPr>
            <w:tcW w:w="104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1.79</w:t>
            </w:r>
          </w:p>
        </w:tc>
      </w:tr>
      <w:tr>
        <w:trPr>
          <w:trHeight w:val="293" w:hRule="atLeast"/>
        </w:trPr>
        <w:tc>
          <w:tcPr>
            <w:tcW w:w="3342"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300" w:type="dxa"/>
            <w:vAlign w:val="top"/>
          </w:tcPr>
          <w:p>
            <w:pPr>
              <w:pStyle w:val="TableText"/>
              <w:rPr/>
            </w:pPr>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042" w:type="dxa"/>
            <w:vAlign w:val="top"/>
          </w:tcPr>
          <w:p>
            <w:pPr>
              <w:pStyle w:val="TableText"/>
              <w:rPr/>
            </w:pPr>
            <w:r/>
          </w:p>
        </w:tc>
      </w:tr>
      <w:tr>
        <w:trPr>
          <w:trHeight w:val="298" w:hRule="atLeast"/>
        </w:trPr>
        <w:tc>
          <w:tcPr>
            <w:tcW w:w="3342" w:type="dxa"/>
            <w:vAlign w:val="top"/>
          </w:tcPr>
          <w:p>
            <w:pPr>
              <w:ind w:left="331"/>
              <w:spacing w:before="75"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30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042" w:type="dxa"/>
            <w:vAlign w:val="top"/>
          </w:tcPr>
          <w:p>
            <w:pPr>
              <w:pStyle w:val="TableText"/>
              <w:rPr/>
            </w:pPr>
            <w:r/>
          </w:p>
        </w:tc>
      </w:tr>
    </w:tbl>
    <w:p>
      <w:pPr>
        <w:pStyle w:val="BodyText"/>
        <w:rPr/>
      </w:pPr>
      <w:r/>
    </w:p>
    <w:p>
      <w:pPr>
        <w:sectPr>
          <w:headerReference w:type="default" r:id="rId20"/>
          <w:footerReference w:type="default" r:id="rId21"/>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单位名称：兴县高家村镇中心卫生院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2"/>
          <w:footerReference w:type="default" r:id="rId23"/>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单位名称：兴县高家村镇中心卫生院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4"/>
          <w:footerReference w:type="default" r:id="rId25"/>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单位名称：兴县高家村镇中心卫生院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单位名称：兴县高家村镇中心卫生院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6"/>
          <w:footerReference w:type="default" r:id="rId27"/>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5" w:line="233" w:lineRule="auto"/>
              <w:rPr>
                <w:rFonts w:ascii="SimSun" w:hAnsi="SimSun" w:eastAsia="SimSun" w:cs="SimSun"/>
                <w:sz w:val="12"/>
                <w:szCs w:val="12"/>
              </w:rPr>
            </w:pPr>
            <w:r>
              <w:rPr>
                <w:rFonts w:ascii="SimSun" w:hAnsi="SimSun" w:eastAsia="SimSun" w:cs="SimSun"/>
                <w:sz w:val="12"/>
                <w:szCs w:val="12"/>
                <w:color w:val="212529"/>
                <w:spacing w:val="9"/>
              </w:rPr>
              <w:t>单位名称：兴县高家村镇中心卫生院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8"/>
          <w:footerReference w:type="default" r:id="rId29"/>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4"/>
        <w:gridCol w:w="1145"/>
        <w:gridCol w:w="1134"/>
        <w:gridCol w:w="821"/>
        <w:gridCol w:w="1220"/>
        <w:gridCol w:w="1047"/>
        <w:gridCol w:w="837"/>
      </w:tblGrid>
      <w:tr>
        <w:trPr>
          <w:trHeight w:val="384" w:hRule="atLeast"/>
        </w:trPr>
        <w:tc>
          <w:tcPr>
            <w:tcW w:w="295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84"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74"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单位名称：兴县高家村镇中心卫生院</w:t>
            </w:r>
          </w:p>
        </w:tc>
        <w:tc>
          <w:tcPr>
            <w:tcW w:w="1884" w:type="dxa"/>
            <w:vAlign w:val="top"/>
            <w:gridSpan w:val="2"/>
            <w:tcBorders>
              <w:top w:val="single" w:color="FFFFFF" w:sz="4" w:space="0"/>
              <w:left w:val="single" w:color="FFFFFF" w:sz="2" w:space="0"/>
              <w:right w:val="single" w:color="FFFFFF" w:sz="2" w:space="0"/>
            </w:tcBorders>
          </w:tcPr>
          <w:p>
            <w:pPr>
              <w:ind w:left="1211"/>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954" w:type="dxa"/>
            <w:vAlign w:val="top"/>
            <w:vMerge w:val="restart"/>
            <w:tcBorders>
              <w:bottom w:val="nil"/>
            </w:tcBorders>
          </w:tcPr>
          <w:p>
            <w:pPr>
              <w:ind w:left="1141"/>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45" w:type="dxa"/>
            <w:vAlign w:val="top"/>
            <w:vMerge w:val="restart"/>
            <w:tcBorders>
              <w:bottom w:val="nil"/>
            </w:tcBorders>
          </w:tcPr>
          <w:p>
            <w:pPr>
              <w:ind w:left="399"/>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75" w:type="dxa"/>
            <w:vAlign w:val="top"/>
            <w:gridSpan w:val="3"/>
          </w:tcPr>
          <w:p>
            <w:pPr>
              <w:ind w:left="1011"/>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47" w:type="dxa"/>
            <w:vAlign w:val="top"/>
            <w:vMerge w:val="restart"/>
            <w:tcBorders>
              <w:bottom w:val="nil"/>
            </w:tcBorders>
          </w:tcPr>
          <w:p>
            <w:pPr>
              <w:ind w:left="32"/>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61"/>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37" w:type="dxa"/>
            <w:vAlign w:val="top"/>
            <w:vMerge w:val="restart"/>
            <w:tcBorders>
              <w:bottom w:val="nil"/>
            </w:tcBorders>
          </w:tcPr>
          <w:p>
            <w:pPr>
              <w:ind w:left="84"/>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954" w:type="dxa"/>
            <w:vAlign w:val="top"/>
            <w:vMerge w:val="continue"/>
            <w:tcBorders>
              <w:top w:val="nil"/>
            </w:tcBorders>
          </w:tcPr>
          <w:p>
            <w:pPr>
              <w:pStyle w:val="TableText"/>
              <w:rPr/>
            </w:pPr>
            <w:r/>
          </w:p>
        </w:tc>
        <w:tc>
          <w:tcPr>
            <w:tcW w:w="1145" w:type="dxa"/>
            <w:vAlign w:val="top"/>
            <w:vMerge w:val="continue"/>
            <w:tcBorders>
              <w:top w:val="nil"/>
            </w:tcBorders>
          </w:tcPr>
          <w:p>
            <w:pPr>
              <w:pStyle w:val="TableText"/>
              <w:rPr/>
            </w:pPr>
            <w:r/>
          </w:p>
        </w:tc>
        <w:tc>
          <w:tcPr>
            <w:tcW w:w="1134" w:type="dxa"/>
            <w:vAlign w:val="top"/>
          </w:tcPr>
          <w:p>
            <w:pPr>
              <w:ind w:left="69"/>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21" w:type="dxa"/>
            <w:vAlign w:val="top"/>
          </w:tcPr>
          <w:p>
            <w:pPr>
              <w:ind w:left="156" w:right="90"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20" w:type="dxa"/>
            <w:vAlign w:val="top"/>
          </w:tcPr>
          <w:p>
            <w:pPr>
              <w:ind w:left="48"/>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14"/>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47" w:type="dxa"/>
            <w:vAlign w:val="top"/>
            <w:vMerge w:val="continue"/>
            <w:tcBorders>
              <w:top w:val="nil"/>
            </w:tcBorders>
          </w:tcPr>
          <w:p>
            <w:pPr>
              <w:pStyle w:val="TableText"/>
              <w:rPr/>
            </w:pPr>
            <w:r/>
          </w:p>
        </w:tc>
        <w:tc>
          <w:tcPr>
            <w:tcW w:w="837" w:type="dxa"/>
            <w:vAlign w:val="top"/>
            <w:vMerge w:val="continue"/>
            <w:tcBorders>
              <w:top w:val="nil"/>
            </w:tcBorders>
          </w:tcPr>
          <w:p>
            <w:pPr>
              <w:pStyle w:val="TableText"/>
              <w:rPr/>
            </w:pPr>
            <w:r/>
          </w:p>
        </w:tc>
      </w:tr>
      <w:tr>
        <w:trPr>
          <w:trHeight w:val="378" w:hRule="atLeast"/>
        </w:trPr>
        <w:tc>
          <w:tcPr>
            <w:tcW w:w="2954" w:type="dxa"/>
            <w:vAlign w:val="top"/>
          </w:tcPr>
          <w:p>
            <w:pPr>
              <w:ind w:left="1438"/>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45" w:type="dxa"/>
            <w:vAlign w:val="top"/>
          </w:tcPr>
          <w:p>
            <w:pPr>
              <w:ind w:left="522"/>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34" w:type="dxa"/>
            <w:vAlign w:val="top"/>
          </w:tcPr>
          <w:p>
            <w:pPr>
              <w:ind w:left="521"/>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21" w:type="dxa"/>
            <w:vAlign w:val="top"/>
          </w:tcPr>
          <w:p>
            <w:pPr>
              <w:ind w:left="361"/>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20" w:type="dxa"/>
            <w:vAlign w:val="top"/>
          </w:tcPr>
          <w:p>
            <w:pPr>
              <w:ind w:left="563"/>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47" w:type="dxa"/>
            <w:vAlign w:val="top"/>
          </w:tcPr>
          <w:p>
            <w:pPr>
              <w:ind w:left="479"/>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37" w:type="dxa"/>
            <w:vAlign w:val="top"/>
          </w:tcPr>
          <w:p>
            <w:pPr>
              <w:ind w:left="375"/>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2954" w:type="dxa"/>
            <w:vAlign w:val="top"/>
          </w:tcPr>
          <w:p>
            <w:pPr>
              <w:ind w:left="91"/>
              <w:spacing w:before="115" w:line="228" w:lineRule="auto"/>
              <w:rPr>
                <w:rFonts w:ascii="SimSun" w:hAnsi="SimSun" w:eastAsia="SimSun" w:cs="SimSun"/>
                <w:sz w:val="15"/>
                <w:szCs w:val="15"/>
              </w:rPr>
            </w:pPr>
            <w:r>
              <w:rPr>
                <w:rFonts w:ascii="SimSun" w:hAnsi="SimSun" w:eastAsia="SimSun" w:cs="SimSun"/>
                <w:sz w:val="15"/>
                <w:szCs w:val="15"/>
                <w:color w:val="212529"/>
                <w:spacing w:val="10"/>
              </w:rPr>
              <w:t>兴县高家村镇中心卫生院</w:t>
            </w:r>
          </w:p>
        </w:tc>
        <w:tc>
          <w:tcPr>
            <w:tcW w:w="1145"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104.27</w:t>
            </w:r>
          </w:p>
        </w:tc>
        <w:tc>
          <w:tcPr>
            <w:tcW w:w="1134"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104.27</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6" w:right="27" w:firstLine="164"/>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疗卫生机构）晋财社[2024]208号</w:t>
            </w:r>
          </w:p>
        </w:tc>
        <w:tc>
          <w:tcPr>
            <w:tcW w:w="1145"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2.23</w:t>
            </w:r>
          </w:p>
        </w:tc>
        <w:tc>
          <w:tcPr>
            <w:tcW w:w="1134"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2.23</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9" w:right="27" w:firstLine="161"/>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2025年中央财政基本药物制度（村卫生</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7"/>
              </w:rPr>
              <w:t>室）晋财社[2024 208号</w:t>
            </w:r>
          </w:p>
        </w:tc>
        <w:tc>
          <w:tcPr>
            <w:tcW w:w="1145"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3.49</w:t>
            </w:r>
          </w:p>
        </w:tc>
        <w:tc>
          <w:tcPr>
            <w:tcW w:w="1134"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3.49</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24" w:right="27" w:firstLine="146"/>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2025年省级财政卫生健康人才培养（在</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岗村医岗位补助）晋财社[2024]218号</w:t>
            </w:r>
          </w:p>
        </w:tc>
        <w:tc>
          <w:tcPr>
            <w:tcW w:w="1145"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10.80</w:t>
            </w:r>
          </w:p>
        </w:tc>
        <w:tc>
          <w:tcPr>
            <w:tcW w:w="1134"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10.80</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658" w:right="108" w:firstLine="19"/>
              <w:spacing w:before="31" w:line="208" w:lineRule="auto"/>
              <w:rPr>
                <w:rFonts w:ascii="SimSun" w:hAnsi="SimSun" w:eastAsia="SimSun" w:cs="SimSun"/>
                <w:sz w:val="15"/>
                <w:szCs w:val="15"/>
              </w:rPr>
            </w:pPr>
            <w:r>
              <w:rPr>
                <w:rFonts w:ascii="SimSun" w:hAnsi="SimSun" w:eastAsia="SimSun" w:cs="SimSun"/>
                <w:sz w:val="15"/>
                <w:szCs w:val="15"/>
                <w:color w:val="212529"/>
                <w:spacing w:val="7"/>
              </w:rPr>
              <w:t>〔2025〕6号预拨2025年驻村医</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10"/>
              </w:rPr>
              <w:t>贴市级补助资金</w:t>
            </w:r>
          </w:p>
        </w:tc>
        <w:tc>
          <w:tcPr>
            <w:tcW w:w="1145" w:type="dxa"/>
            <w:vAlign w:val="top"/>
          </w:tcPr>
          <w:p>
            <w:pPr>
              <w:ind w:right="26"/>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1.62</w:t>
            </w:r>
          </w:p>
        </w:tc>
        <w:tc>
          <w:tcPr>
            <w:tcW w:w="1134" w:type="dxa"/>
            <w:vAlign w:val="top"/>
          </w:tcPr>
          <w:p>
            <w:pPr>
              <w:ind w:right="18"/>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1.62</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7" w:right="108" w:firstLine="324"/>
              <w:spacing w:before="31" w:line="208" w:lineRule="auto"/>
              <w:rPr>
                <w:rFonts w:ascii="SimSun" w:hAnsi="SimSun" w:eastAsia="SimSun" w:cs="SimSun"/>
                <w:sz w:val="15"/>
                <w:szCs w:val="15"/>
              </w:rPr>
            </w:pPr>
            <w:r>
              <w:rPr>
                <w:rFonts w:ascii="SimSun" w:hAnsi="SimSun" w:eastAsia="SimSun" w:cs="SimSun"/>
                <w:sz w:val="15"/>
                <w:szCs w:val="15"/>
                <w:color w:val="212529"/>
                <w:spacing w:val="8"/>
              </w:rPr>
              <w:t>财社〔2025〕8号关于预拨2025年行</w:t>
            </w:r>
            <w:r>
              <w:rPr>
                <w:rFonts w:ascii="SimSun" w:hAnsi="SimSun" w:eastAsia="SimSun" w:cs="SimSun"/>
                <w:sz w:val="15"/>
                <w:szCs w:val="15"/>
                <w:color w:val="212529"/>
                <w:spacing w:val="17"/>
              </w:rPr>
              <w:t xml:space="preserve"> </w:t>
            </w:r>
            <w:r>
              <w:rPr>
                <w:rFonts w:ascii="SimSun" w:hAnsi="SimSun" w:eastAsia="SimSun" w:cs="SimSun"/>
                <w:sz w:val="15"/>
                <w:szCs w:val="15"/>
                <w:color w:val="212529"/>
                <w:spacing w:val="11"/>
              </w:rPr>
              <w:t>政村卫生室运行经费市级配套资金</w:t>
            </w:r>
          </w:p>
        </w:tc>
        <w:tc>
          <w:tcPr>
            <w:tcW w:w="1145"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1.05</w:t>
            </w:r>
          </w:p>
        </w:tc>
        <w:tc>
          <w:tcPr>
            <w:tcW w:w="1134"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1.05</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8" w:hRule="atLeast"/>
        </w:trPr>
        <w:tc>
          <w:tcPr>
            <w:tcW w:w="2954" w:type="dxa"/>
            <w:vAlign w:val="top"/>
          </w:tcPr>
          <w:p>
            <w:pPr>
              <w:ind w:left="173"/>
              <w:spacing w:before="117" w:line="228" w:lineRule="auto"/>
              <w:rPr>
                <w:rFonts w:ascii="SimSun" w:hAnsi="SimSun" w:eastAsia="SimSun" w:cs="SimSun"/>
                <w:sz w:val="15"/>
                <w:szCs w:val="15"/>
              </w:rPr>
            </w:pPr>
            <w:r>
              <w:rPr>
                <w:rFonts w:ascii="SimSun" w:hAnsi="SimSun" w:eastAsia="SimSun" w:cs="SimSun"/>
                <w:sz w:val="15"/>
                <w:szCs w:val="15"/>
                <w:color w:val="212529"/>
                <w:spacing w:val="11"/>
              </w:rPr>
              <w:t>高家村镇卫生院建设项目工程款</w:t>
            </w:r>
          </w:p>
        </w:tc>
        <w:tc>
          <w:tcPr>
            <w:tcW w:w="1145"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77.17</w:t>
            </w:r>
          </w:p>
        </w:tc>
        <w:tc>
          <w:tcPr>
            <w:tcW w:w="1134"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77.17</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84" w:hRule="atLeast"/>
        </w:trPr>
        <w:tc>
          <w:tcPr>
            <w:tcW w:w="2954" w:type="dxa"/>
            <w:vAlign w:val="top"/>
          </w:tcPr>
          <w:p>
            <w:pPr>
              <w:ind w:left="10" w:right="27" w:firstLine="161"/>
              <w:spacing w:before="32" w:line="210" w:lineRule="auto"/>
              <w:rPr>
                <w:rFonts w:ascii="SimSun" w:hAnsi="SimSun" w:eastAsia="SimSun" w:cs="SimSun"/>
                <w:sz w:val="15"/>
                <w:szCs w:val="15"/>
              </w:rPr>
            </w:pPr>
            <w:r>
              <w:rPr>
                <w:rFonts w:ascii="SimSun" w:hAnsi="SimSun" w:eastAsia="SimSun" w:cs="SimSun"/>
                <w:sz w:val="15"/>
                <w:szCs w:val="15"/>
                <w:color w:val="212529"/>
                <w:spacing w:val="11"/>
              </w:rPr>
              <w:t>设施设备维修维护资金（精神障碍患者</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8"/>
              </w:rPr>
              <w:t>管理局部维修）</w:t>
            </w:r>
          </w:p>
        </w:tc>
        <w:tc>
          <w:tcPr>
            <w:tcW w:w="1145"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7.91</w:t>
            </w:r>
          </w:p>
        </w:tc>
        <w:tc>
          <w:tcPr>
            <w:tcW w:w="1134"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7.91</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bl>
    <w:p>
      <w:pPr>
        <w:pStyle w:val="BodyText"/>
        <w:rPr/>
      </w:pPr>
      <w:r/>
    </w:p>
    <w:p>
      <w:pPr>
        <w:sectPr>
          <w:headerReference w:type="default" r:id="rId30"/>
          <w:footerReference w:type="default" r:id="rId31"/>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单位名称：兴县高家村镇中心卫生院</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26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1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32"/>
          <w:footerReference w:type="default" r:id="rId33"/>
          <w:pgSz w:w="11900" w:h="16840"/>
          <w:pgMar w:top="642" w:right="0" w:bottom="340" w:left="0" w:header="326" w:footer="111" w:gutter="0"/>
        </w:sectPr>
        <w:rPr/>
      </w:pPr>
    </w:p>
    <w:p>
      <w:pPr>
        <w:pStyle w:val="BodyText"/>
        <w:spacing w:line="334" w:lineRule="auto"/>
        <w:rPr/>
      </w:pPr>
      <w:r/>
    </w:p>
    <w:p>
      <w:pPr>
        <w:pStyle w:val="BodyText"/>
        <w:spacing w:line="335" w:lineRule="auto"/>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4" w:right="1223" w:firstLine="455"/>
        <w:spacing w:before="188" w:line="322" w:lineRule="auto"/>
        <w:rPr>
          <w:rFonts w:ascii="FangSong" w:hAnsi="FangSong" w:eastAsia="FangSong" w:cs="FangSong"/>
          <w:sz w:val="23"/>
          <w:szCs w:val="23"/>
        </w:rPr>
      </w:pPr>
      <w:r>
        <w:rPr>
          <w:rFonts w:ascii="FangSong" w:hAnsi="FangSong" w:eastAsia="FangSong" w:cs="FangSong"/>
          <w:sz w:val="23"/>
          <w:szCs w:val="23"/>
          <w:spacing w:val="5"/>
        </w:rPr>
        <w:t>2025年度兴县高家村镇中心卫生院预算收入总计272.99万</w:t>
      </w:r>
      <w:r>
        <w:rPr>
          <w:rFonts w:ascii="FangSong" w:hAnsi="FangSong" w:eastAsia="FangSong" w:cs="FangSong"/>
          <w:sz w:val="23"/>
          <w:szCs w:val="23"/>
          <w:spacing w:val="4"/>
        </w:rPr>
        <w:t>元，其中：本年收入272.99万</w:t>
      </w:r>
      <w:r>
        <w:rPr>
          <w:rFonts w:ascii="FangSong" w:hAnsi="FangSong" w:eastAsia="FangSong" w:cs="FangSong"/>
          <w:sz w:val="23"/>
          <w:szCs w:val="23"/>
        </w:rPr>
        <w:t xml:space="preserve"> </w:t>
      </w:r>
      <w:r>
        <w:rPr>
          <w:rFonts w:ascii="FangSong" w:hAnsi="FangSong" w:eastAsia="FangSong" w:cs="FangSong"/>
          <w:sz w:val="23"/>
          <w:szCs w:val="23"/>
          <w:spacing w:val="2"/>
        </w:rPr>
        <w:t>元，上年结转0万元，比上年减少17.95万元，下降6.17%，主要原因是公卫减少，基药减少；</w:t>
      </w:r>
      <w:r>
        <w:rPr>
          <w:rFonts w:ascii="FangSong" w:hAnsi="FangSong" w:eastAsia="FangSong" w:cs="FangSong"/>
          <w:sz w:val="23"/>
          <w:szCs w:val="23"/>
          <w:spacing w:val="3"/>
        </w:rPr>
        <w:t xml:space="preserve"> </w:t>
      </w:r>
      <w:r>
        <w:rPr>
          <w:rFonts w:ascii="FangSong" w:hAnsi="FangSong" w:eastAsia="FangSong" w:cs="FangSong"/>
          <w:sz w:val="23"/>
          <w:szCs w:val="23"/>
          <w:spacing w:val="2"/>
        </w:rPr>
        <w:t>本年单位预算支出总计272.99万元，其中：本年预算安排272.99万元，上年结转0万元，比上</w:t>
      </w:r>
      <w:r>
        <w:rPr>
          <w:rFonts w:ascii="FangSong" w:hAnsi="FangSong" w:eastAsia="FangSong" w:cs="FangSong"/>
          <w:sz w:val="23"/>
          <w:szCs w:val="23"/>
          <w:spacing w:val="1"/>
        </w:rPr>
        <w:t xml:space="preserve"> </w:t>
      </w:r>
      <w:r>
        <w:rPr>
          <w:rFonts w:ascii="FangSong" w:hAnsi="FangSong" w:eastAsia="FangSong" w:cs="FangSong"/>
          <w:sz w:val="23"/>
          <w:szCs w:val="23"/>
        </w:rPr>
        <w:t>年减少17.95万元，下降6.17%，主要原因是公卫减少，基药减少</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63" w:right="1223" w:firstLine="456"/>
        <w:spacing w:before="174" w:line="324" w:lineRule="auto"/>
        <w:jc w:val="both"/>
        <w:rPr>
          <w:rFonts w:ascii="FangSong" w:hAnsi="FangSong" w:eastAsia="FangSong" w:cs="FangSong"/>
          <w:sz w:val="23"/>
          <w:szCs w:val="23"/>
        </w:rPr>
      </w:pPr>
      <w:r>
        <w:rPr>
          <w:rFonts w:ascii="FangSong" w:hAnsi="FangSong" w:eastAsia="FangSong" w:cs="FangSong"/>
          <w:sz w:val="23"/>
          <w:szCs w:val="23"/>
          <w:spacing w:val="5"/>
        </w:rPr>
        <w:t>2025年度兴县高家村镇中心卫生院预算收入272.99万元，主要包括一般公共预算拨款收</w:t>
      </w:r>
      <w:r>
        <w:rPr>
          <w:rFonts w:ascii="FangSong" w:hAnsi="FangSong" w:eastAsia="FangSong" w:cs="FangSong"/>
          <w:sz w:val="23"/>
          <w:szCs w:val="23"/>
        </w:rPr>
        <w:t xml:space="preserve"> </w:t>
      </w:r>
      <w:r>
        <w:rPr>
          <w:rFonts w:ascii="FangSong" w:hAnsi="FangSong" w:eastAsia="FangSong" w:cs="FangSong"/>
          <w:sz w:val="23"/>
          <w:szCs w:val="23"/>
          <w:spacing w:val="1"/>
        </w:rPr>
        <w:t>入272.99万元，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w:t>
      </w:r>
      <w:r>
        <w:rPr>
          <w:rFonts w:ascii="FangSong" w:hAnsi="FangSong" w:eastAsia="FangSong" w:cs="FangSong"/>
          <w:sz w:val="23"/>
          <w:szCs w:val="23"/>
          <w:spacing w:val="-66"/>
        </w:rPr>
        <w:t xml:space="preserve"> </w:t>
      </w:r>
      <w:r>
        <w:rPr>
          <w:rFonts w:ascii="FangSong" w:hAnsi="FangSong" w:eastAsia="FangSong" w:cs="FangSong"/>
          <w:sz w:val="23"/>
          <w:szCs w:val="23"/>
          <w:spacing w:val="1"/>
        </w:rPr>
        <w:t>国有</w:t>
      </w:r>
      <w:r>
        <w:rPr>
          <w:rFonts w:ascii="FangSong" w:hAnsi="FangSong" w:eastAsia="FangSong" w:cs="FangSong"/>
          <w:sz w:val="23"/>
          <w:szCs w:val="23"/>
        </w:rPr>
        <w:t>资本经营预算拨款</w:t>
      </w:r>
      <w:r>
        <w:rPr>
          <w:rFonts w:ascii="FangSong" w:hAnsi="FangSong" w:eastAsia="FangSong" w:cs="FangSong"/>
          <w:sz w:val="23"/>
          <w:szCs w:val="23"/>
        </w:rPr>
        <w:t xml:space="preserve"> </w:t>
      </w:r>
      <w:r>
        <w:rPr>
          <w:rFonts w:ascii="FangSong" w:hAnsi="FangSong" w:eastAsia="FangSong" w:cs="FangSong"/>
          <w:sz w:val="23"/>
          <w:szCs w:val="23"/>
          <w:spacing w:val="1"/>
        </w:rPr>
        <w:t>收入</w:t>
      </w:r>
      <w:r>
        <w:rPr>
          <w:rFonts w:ascii="FangSong" w:hAnsi="FangSong" w:eastAsia="FangSong" w:cs="FangSong"/>
          <w:sz w:val="23"/>
          <w:szCs w:val="23"/>
          <w:spacing w:val="1"/>
        </w:rPr>
        <w:t xml:space="preserve">   </w:t>
      </w:r>
      <w:r>
        <w:rPr>
          <w:rFonts w:ascii="FangSong" w:hAnsi="FangSong" w:eastAsia="FangSong" w:cs="FangSong"/>
          <w:sz w:val="23"/>
          <w:szCs w:val="23"/>
          <w:spacing w:val="1"/>
        </w:rPr>
        <w:t>元，</w:t>
      </w:r>
      <w:r>
        <w:rPr>
          <w:rFonts w:ascii="FangSong" w:hAnsi="FangSong" w:eastAsia="FangSong" w:cs="FangSong"/>
          <w:sz w:val="23"/>
          <w:szCs w:val="23"/>
          <w:spacing w:val="-55"/>
        </w:rPr>
        <w:t xml:space="preserve"> </w:t>
      </w:r>
      <w:r>
        <w:rPr>
          <w:rFonts w:ascii="FangSong" w:hAnsi="FangSong" w:eastAsia="FangSong" w:cs="FangSong"/>
          <w:sz w:val="23"/>
          <w:szCs w:val="23"/>
          <w:spacing w:val="1"/>
        </w:rPr>
        <w:t>占0%；财政专户管理资金收入0万元，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w:t>
      </w:r>
      <w:r>
        <w:rPr>
          <w:rFonts w:ascii="FangSong" w:hAnsi="FangSong" w:eastAsia="FangSong" w:cs="FangSong"/>
          <w:sz w:val="23"/>
          <w:szCs w:val="23"/>
        </w:rPr>
        <w:t>单位资金0万元，</w:t>
      </w:r>
      <w:r>
        <w:rPr>
          <w:rFonts w:ascii="FangSong" w:hAnsi="FangSong" w:eastAsia="FangSong" w:cs="FangSong"/>
          <w:sz w:val="23"/>
          <w:szCs w:val="23"/>
          <w:spacing w:val="-54"/>
        </w:rPr>
        <w:t xml:space="preserve"> </w:t>
      </w:r>
      <w:r>
        <w:rPr>
          <w:rFonts w:ascii="FangSong" w:hAnsi="FangSong" w:eastAsia="FangSong" w:cs="FangSong"/>
          <w:sz w:val="23"/>
          <w:szCs w:val="23"/>
        </w:rPr>
        <w:t>占0%；</w:t>
      </w:r>
      <w:r>
        <w:rPr>
          <w:rFonts w:ascii="FangSong" w:hAnsi="FangSong" w:eastAsia="FangSong" w:cs="FangSong"/>
          <w:sz w:val="23"/>
          <w:szCs w:val="23"/>
        </w:rPr>
        <w:t xml:space="preserve">    </w:t>
      </w:r>
      <w:r>
        <w:rPr>
          <w:rFonts w:ascii="FangSong" w:hAnsi="FangSong" w:eastAsia="FangSong" w:cs="FangSong"/>
          <w:sz w:val="23"/>
          <w:szCs w:val="23"/>
        </w:rPr>
        <w:t>结转0</w:t>
      </w:r>
    </w:p>
    <w:p>
      <w:pPr>
        <w:ind w:left="1741"/>
        <w:spacing w:before="1" w:line="223" w:lineRule="auto"/>
        <w:rPr>
          <w:rFonts w:ascii="FangSong" w:hAnsi="FangSong" w:eastAsia="FangSong" w:cs="FangSong"/>
          <w:sz w:val="23"/>
          <w:szCs w:val="23"/>
        </w:rPr>
      </w:pPr>
      <w:r>
        <w:rPr>
          <w:rFonts w:ascii="FangSong" w:hAnsi="FangSong" w:eastAsia="FangSong" w:cs="FangSong"/>
          <w:sz w:val="23"/>
          <w:szCs w:val="23"/>
          <w:spacing w:val="-27"/>
        </w:rPr>
        <w:t>,</w:t>
      </w:r>
      <w:r>
        <w:rPr>
          <w:rFonts w:ascii="FangSong" w:hAnsi="FangSong" w:eastAsia="FangSong" w:cs="FangSong"/>
          <w:sz w:val="23"/>
          <w:szCs w:val="23"/>
          <w:spacing w:val="104"/>
        </w:rPr>
        <w:t xml:space="preserve"> </w:t>
      </w:r>
      <w:r>
        <w:rPr>
          <w:rFonts w:ascii="FangSong" w:hAnsi="FangSong" w:eastAsia="FangSong" w:cs="FangSong"/>
          <w:sz w:val="23"/>
          <w:szCs w:val="23"/>
          <w:spacing w:val="-27"/>
        </w:rPr>
        <w:t>占0%。</w:t>
      </w:r>
    </w:p>
    <w:p>
      <w:pPr>
        <w:pStyle w:val="BodyText"/>
        <w:spacing w:line="247" w:lineRule="auto"/>
        <w:rPr/>
      </w:pPr>
      <w:r/>
    </w:p>
    <w:p>
      <w:pPr>
        <w:pStyle w:val="BodyText"/>
        <w:spacing w:line="248" w:lineRule="auto"/>
        <w:rPr/>
      </w:pPr>
      <w:r/>
    </w:p>
    <w:p>
      <w:pPr>
        <w:ind w:firstLine="3705"/>
        <w:spacing w:line="2856" w:lineRule="exact"/>
        <w:rPr/>
      </w:pPr>
      <w:r>
        <w:rPr>
          <w:position w:val="-57"/>
        </w:rPr>
        <w:drawing>
          <wp:inline distT="0" distB="0" distL="0" distR="0">
            <wp:extent cx="2333735" cy="1813292"/>
            <wp:effectExtent l="0" t="0" r="0" b="0"/>
            <wp:docPr id="4" name="IM 4"/>
            <wp:cNvGraphicFramePr/>
            <a:graphic>
              <a:graphicData uri="http://schemas.openxmlformats.org/drawingml/2006/picture">
                <pic:pic>
                  <pic:nvPicPr>
                    <pic:cNvPr id="4" name="IM 4"/>
                    <pic:cNvPicPr/>
                  </pic:nvPicPr>
                  <pic:blipFill>
                    <a:blip r:embed="rId36"/>
                    <a:stretch>
                      <a:fillRect/>
                    </a:stretch>
                  </pic:blipFill>
                  <pic:spPr>
                    <a:xfrm rot="0">
                      <a:off x="0" y="0"/>
                      <a:ext cx="2333735" cy="1813292"/>
                    </a:xfrm>
                    <a:prstGeom prst="rect">
                      <a:avLst/>
                    </a:prstGeom>
                  </pic:spPr>
                </pic:pic>
              </a:graphicData>
            </a:graphic>
          </wp:inline>
        </w:drawing>
      </w:r>
    </w:p>
    <w:p>
      <w:pPr>
        <w:pStyle w:val="BodyText"/>
        <w:spacing w:line="284" w:lineRule="auto"/>
        <w:rPr/>
      </w:pPr>
      <w:r/>
    </w:p>
    <w:p>
      <w:pPr>
        <w:pStyle w:val="BodyText"/>
        <w:spacing w:line="284"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spacing w:val="4"/>
        </w:rPr>
        <w:t>2025年度兴县</w:t>
      </w:r>
      <w:r>
        <w:rPr>
          <w:rFonts w:ascii="FangSong" w:hAnsi="FangSong" w:eastAsia="FangSong" w:cs="FangSong"/>
          <w:sz w:val="23"/>
          <w:szCs w:val="23"/>
          <w:spacing w:val="4"/>
        </w:rPr>
        <w:t xml:space="preserve">        </w:t>
      </w:r>
      <w:r>
        <w:rPr>
          <w:rFonts w:ascii="FangSong" w:hAnsi="FangSong" w:eastAsia="FangSong" w:cs="FangSong"/>
          <w:sz w:val="23"/>
          <w:szCs w:val="23"/>
          <w:spacing w:val="4"/>
        </w:rPr>
        <w:t>中心卫生院支出预算272.99万元，其中：基本支出168.72万元，</w:t>
      </w:r>
    </w:p>
    <w:p>
      <w:pPr>
        <w:ind w:left="1303"/>
        <w:spacing w:before="123" w:line="223" w:lineRule="auto"/>
        <w:rPr>
          <w:rFonts w:ascii="FangSong" w:hAnsi="FangSong" w:eastAsia="FangSong" w:cs="FangSong"/>
          <w:sz w:val="23"/>
          <w:szCs w:val="23"/>
        </w:rPr>
      </w:pPr>
      <w:r>
        <w:rPr>
          <w:rFonts w:ascii="FangSong" w:hAnsi="FangSong" w:eastAsia="FangSong" w:cs="FangSong"/>
          <w:sz w:val="23"/>
          <w:szCs w:val="23"/>
          <w:spacing w:val="-3"/>
        </w:rPr>
        <w:t>占61.80%；项</w:t>
      </w:r>
      <w:r>
        <w:rPr>
          <w:rFonts w:ascii="FangSong" w:hAnsi="FangSong" w:eastAsia="FangSong" w:cs="FangSong"/>
          <w:sz w:val="23"/>
          <w:szCs w:val="23"/>
          <w:spacing w:val="-3"/>
        </w:rPr>
        <w:t xml:space="preserve">        </w:t>
      </w:r>
      <w:r>
        <w:rPr>
          <w:rFonts w:ascii="FangSong" w:hAnsi="FangSong" w:eastAsia="FangSong" w:cs="FangSong"/>
          <w:sz w:val="23"/>
          <w:szCs w:val="23"/>
          <w:spacing w:val="-3"/>
        </w:rPr>
        <w:t>4.27万元，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占38.</w:t>
      </w:r>
      <w:r>
        <w:rPr>
          <w:rFonts w:ascii="FangSong" w:hAnsi="FangSong" w:eastAsia="FangSong" w:cs="FangSong"/>
          <w:sz w:val="23"/>
          <w:szCs w:val="23"/>
          <w:spacing w:val="-4"/>
        </w:rPr>
        <w:t>20%。</w:t>
      </w:r>
    </w:p>
    <w:p>
      <w:pPr>
        <w:ind w:left="1271"/>
        <w:spacing w:before="129"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3" w:right="1223" w:firstLine="456"/>
        <w:spacing w:before="176"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2025年度兴县高家村镇中心卫生院财政拨款收支总预算272.99万元。其中：一般公共预</w:t>
      </w:r>
      <w:r>
        <w:rPr>
          <w:rFonts w:ascii="FangSong" w:hAnsi="FangSong" w:eastAsia="FangSong" w:cs="FangSong"/>
          <w:sz w:val="23"/>
          <w:szCs w:val="23"/>
        </w:rPr>
        <w:t xml:space="preserve"> </w:t>
      </w:r>
      <w:r>
        <w:rPr>
          <w:rFonts w:ascii="FangSong" w:hAnsi="FangSong" w:eastAsia="FangSong" w:cs="FangSong"/>
          <w:sz w:val="23"/>
          <w:szCs w:val="23"/>
          <w:spacing w:val="3"/>
        </w:rPr>
        <w:t>算拨款272.99万元，政府性基金预算拨款0万元，</w:t>
      </w:r>
      <w:r>
        <w:rPr>
          <w:rFonts w:ascii="FangSong" w:hAnsi="FangSong" w:eastAsia="FangSong" w:cs="FangSong"/>
          <w:sz w:val="23"/>
          <w:szCs w:val="23"/>
          <w:spacing w:val="-68"/>
        </w:rPr>
        <w:t xml:space="preserve"> </w:t>
      </w:r>
      <w:r>
        <w:rPr>
          <w:rFonts w:ascii="FangSong" w:hAnsi="FangSong" w:eastAsia="FangSong" w:cs="FangSong"/>
          <w:sz w:val="23"/>
          <w:szCs w:val="23"/>
          <w:spacing w:val="2"/>
        </w:rPr>
        <w:t>国有资本经营预算拨款0万元。其中：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w:t>
      </w:r>
      <w:r>
        <w:rPr>
          <w:rFonts w:ascii="FangSong" w:hAnsi="FangSong" w:eastAsia="FangSong" w:cs="FangSong"/>
          <w:sz w:val="23"/>
          <w:szCs w:val="23"/>
        </w:rPr>
        <w:t xml:space="preserve"> </w:t>
      </w:r>
      <w:r>
        <w:rPr>
          <w:rFonts w:ascii="FangSong" w:hAnsi="FangSong" w:eastAsia="FangSong" w:cs="FangSong"/>
          <w:sz w:val="23"/>
          <w:szCs w:val="23"/>
          <w:spacing w:val="5"/>
        </w:rPr>
        <w:t>拨款收入272.99万元，上年结转收入0万元。支出包括</w:t>
      </w:r>
      <w:r>
        <w:rPr>
          <w:rFonts w:ascii="FangSong" w:hAnsi="FangSong" w:eastAsia="FangSong" w:cs="FangSong"/>
          <w:sz w:val="23"/>
          <w:szCs w:val="23"/>
          <w:spacing w:val="4"/>
        </w:rPr>
        <w:t>：社会保障和就业支出15.84万元、卫</w:t>
      </w:r>
      <w:r>
        <w:rPr>
          <w:rFonts w:ascii="FangSong" w:hAnsi="FangSong" w:eastAsia="FangSong" w:cs="FangSong"/>
          <w:sz w:val="23"/>
          <w:szCs w:val="23"/>
        </w:rPr>
        <w:t xml:space="preserve"> </w:t>
      </w:r>
      <w:r>
        <w:rPr>
          <w:rFonts w:ascii="FangSong" w:hAnsi="FangSong" w:eastAsia="FangSong" w:cs="FangSong"/>
          <w:sz w:val="23"/>
          <w:szCs w:val="23"/>
        </w:rPr>
        <w:t>生健康支出244.04万元、住房保障支出13.12万</w:t>
      </w:r>
      <w:r>
        <w:rPr>
          <w:rFonts w:ascii="FangSong" w:hAnsi="FangSong" w:eastAsia="FangSong" w:cs="FangSong"/>
          <w:sz w:val="23"/>
          <w:szCs w:val="23"/>
          <w:spacing w:val="-1"/>
        </w:rPr>
        <w:t>元等。</w:t>
      </w:r>
    </w:p>
    <w:p>
      <w:pPr>
        <w:ind w:left="1264"/>
        <w:spacing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86"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5" w:right="1223" w:firstLine="454"/>
        <w:spacing w:before="123" w:line="322" w:lineRule="auto"/>
        <w:rPr>
          <w:rFonts w:ascii="FangSong" w:hAnsi="FangSong" w:eastAsia="FangSong" w:cs="FangSong"/>
          <w:sz w:val="23"/>
          <w:szCs w:val="23"/>
        </w:rPr>
      </w:pPr>
      <w:r>
        <w:rPr>
          <w:rFonts w:ascii="FangSong" w:hAnsi="FangSong" w:eastAsia="FangSong" w:cs="FangSong"/>
          <w:sz w:val="23"/>
          <w:szCs w:val="23"/>
          <w:spacing w:val="4"/>
        </w:rPr>
        <w:t>2025年度兴县高家村镇中心卫生院一般公共预算当年支出27</w:t>
      </w:r>
      <w:r>
        <w:rPr>
          <w:rFonts w:ascii="FangSong" w:hAnsi="FangSong" w:eastAsia="FangSong" w:cs="FangSong"/>
          <w:sz w:val="23"/>
          <w:szCs w:val="23"/>
          <w:spacing w:val="3"/>
        </w:rPr>
        <w:t>2.99万元,</w:t>
      </w:r>
      <w:r>
        <w:rPr>
          <w:rFonts w:ascii="FangSong" w:hAnsi="FangSong" w:eastAsia="FangSong" w:cs="FangSong"/>
          <w:sz w:val="23"/>
          <w:szCs w:val="23"/>
          <w:spacing w:val="-68"/>
        </w:rPr>
        <w:t xml:space="preserve"> </w:t>
      </w:r>
      <w:r>
        <w:rPr>
          <w:rFonts w:ascii="FangSong" w:hAnsi="FangSong" w:eastAsia="FangSong" w:cs="FangSong"/>
          <w:sz w:val="23"/>
          <w:szCs w:val="23"/>
          <w:spacing w:val="3"/>
        </w:rPr>
        <w:t>比上年减少17.75</w:t>
      </w:r>
      <w:r>
        <w:rPr>
          <w:rFonts w:ascii="FangSong" w:hAnsi="FangSong" w:eastAsia="FangSong" w:cs="FangSong"/>
          <w:sz w:val="23"/>
          <w:szCs w:val="23"/>
        </w:rPr>
        <w:t xml:space="preserve"> </w:t>
      </w:r>
      <w:r>
        <w:rPr>
          <w:rFonts w:ascii="FangSong" w:hAnsi="FangSong" w:eastAsia="FangSong" w:cs="FangSong"/>
          <w:sz w:val="23"/>
          <w:szCs w:val="23"/>
          <w:spacing w:val="-2"/>
        </w:rPr>
        <w:t>万元，下降6.11%。</w:t>
      </w:r>
    </w:p>
    <w:p>
      <w:pPr>
        <w:ind w:left="1725"/>
        <w:spacing w:before="9"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2200"/>
        <w:spacing w:before="123" w:line="222" w:lineRule="auto"/>
        <w:rPr>
          <w:rFonts w:ascii="FangSong" w:hAnsi="FangSong" w:eastAsia="FangSong" w:cs="FangSong"/>
          <w:sz w:val="23"/>
          <w:szCs w:val="23"/>
        </w:rPr>
      </w:pPr>
      <w:r>
        <w:rPr>
          <w:rFonts w:ascii="FangSong" w:hAnsi="FangSong" w:eastAsia="FangSong" w:cs="FangSong"/>
          <w:sz w:val="23"/>
          <w:szCs w:val="23"/>
          <w:spacing w:val="7"/>
        </w:rPr>
        <w:t>年度兴县高家村镇中心卫生院一般公共预算当年支出272.99万元,主要</w:t>
      </w:r>
      <w:r>
        <w:rPr>
          <w:rFonts w:ascii="FangSong" w:hAnsi="FangSong" w:eastAsia="FangSong" w:cs="FangSong"/>
          <w:sz w:val="23"/>
          <w:szCs w:val="23"/>
          <w:spacing w:val="7"/>
        </w:rPr>
        <w:t xml:space="preserve">      </w:t>
      </w:r>
      <w:r>
        <w:rPr>
          <w:rFonts w:ascii="FangSong" w:hAnsi="FangSong" w:eastAsia="FangSong" w:cs="FangSong"/>
          <w:sz w:val="23"/>
          <w:szCs w:val="23"/>
          <w:spacing w:val="7"/>
        </w:rPr>
        <w:t>下方</w:t>
      </w:r>
    </w:p>
    <w:p>
      <w:pPr>
        <w:ind w:left="1518"/>
        <w:spacing w:before="124" w:line="221" w:lineRule="auto"/>
        <w:rPr>
          <w:rFonts w:ascii="FangSong" w:hAnsi="FangSong" w:eastAsia="FangSong" w:cs="FangSong"/>
          <w:sz w:val="23"/>
          <w:szCs w:val="23"/>
        </w:rPr>
      </w:pPr>
      <w:r>
        <w:rPr>
          <w:rFonts w:ascii="FangSong" w:hAnsi="FangSong" w:eastAsia="FangSong" w:cs="FangSong"/>
          <w:sz w:val="23"/>
          <w:szCs w:val="23"/>
          <w:spacing w:val="3"/>
        </w:rPr>
        <w:t>：社会保障和就业支出15.84万元，</w:t>
      </w:r>
      <w:r>
        <w:rPr>
          <w:rFonts w:ascii="FangSong" w:hAnsi="FangSong" w:eastAsia="FangSong" w:cs="FangSong"/>
          <w:sz w:val="23"/>
          <w:szCs w:val="23"/>
          <w:spacing w:val="-53"/>
        </w:rPr>
        <w:t xml:space="preserve"> </w:t>
      </w:r>
      <w:r>
        <w:rPr>
          <w:rFonts w:ascii="FangSong" w:hAnsi="FangSong" w:eastAsia="FangSong" w:cs="FangSong"/>
          <w:sz w:val="23"/>
          <w:szCs w:val="23"/>
          <w:spacing w:val="3"/>
        </w:rPr>
        <w:t>占5</w:t>
      </w:r>
      <w:r>
        <w:rPr>
          <w:rFonts w:ascii="FangSong" w:hAnsi="FangSong" w:eastAsia="FangSong" w:cs="FangSong"/>
          <w:sz w:val="23"/>
          <w:szCs w:val="23"/>
          <w:spacing w:val="2"/>
        </w:rPr>
        <w:t>.80%；卫生健康支出244.04万</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r>
        <w:rPr>
          <w:rFonts w:ascii="FangSong" w:hAnsi="FangSong" w:eastAsia="FangSong" w:cs="FangSong"/>
          <w:sz w:val="23"/>
          <w:szCs w:val="23"/>
          <w:spacing w:val="2"/>
        </w:rPr>
        <w:t xml:space="preserve">    </w:t>
      </w:r>
      <w:r>
        <w:rPr>
          <w:rFonts w:ascii="FangSong" w:hAnsi="FangSong" w:eastAsia="FangSong" w:cs="FangSong"/>
          <w:sz w:val="23"/>
          <w:szCs w:val="23"/>
          <w:spacing w:val="2"/>
        </w:rPr>
        <w:t>.40%；住房</w:t>
      </w:r>
    </w:p>
    <w:p>
      <w:pPr>
        <w:ind w:left="1264"/>
        <w:spacing w:before="135" w:line="221" w:lineRule="auto"/>
        <w:rPr>
          <w:rFonts w:ascii="FangSong" w:hAnsi="FangSong" w:eastAsia="FangSong" w:cs="FangSong"/>
          <w:sz w:val="23"/>
          <w:szCs w:val="23"/>
        </w:rPr>
      </w:pPr>
      <w:r>
        <w:rPr>
          <w:rFonts w:ascii="FangSong" w:hAnsi="FangSong" w:eastAsia="FangSong" w:cs="FangSong"/>
          <w:sz w:val="23"/>
          <w:szCs w:val="23"/>
          <w:spacing w:val="-4"/>
        </w:rPr>
        <w:t>保障支出13.12万元，</w:t>
      </w:r>
      <w:r>
        <w:rPr>
          <w:rFonts w:ascii="FangSong" w:hAnsi="FangSong" w:eastAsia="FangSong" w:cs="FangSong"/>
          <w:sz w:val="23"/>
          <w:szCs w:val="23"/>
          <w:spacing w:val="-44"/>
        </w:rPr>
        <w:t xml:space="preserve"> </w:t>
      </w:r>
      <w:r>
        <w:rPr>
          <w:rFonts w:ascii="FangSong" w:hAnsi="FangSong" w:eastAsia="FangSong" w:cs="FangSong"/>
          <w:sz w:val="23"/>
          <w:szCs w:val="23"/>
          <w:spacing w:val="-4"/>
        </w:rPr>
        <w:t>占4.81%等。</w:t>
      </w:r>
    </w:p>
    <w:p>
      <w:pPr>
        <w:spacing w:line="221" w:lineRule="auto"/>
        <w:sectPr>
          <w:headerReference w:type="default" r:id="rId34"/>
          <w:footerReference w:type="default" r:id="rId35"/>
          <w:pgSz w:w="11900" w:h="16840"/>
          <w:pgMar w:top="642" w:right="0" w:bottom="340" w:left="0" w:header="326" w:footer="111" w:gutter="0"/>
        </w:sectPr>
        <w:rPr>
          <w:rFonts w:ascii="FangSong" w:hAnsi="FangSong" w:eastAsia="FangSong" w:cs="FangSong"/>
          <w:sz w:val="23"/>
          <w:szCs w:val="23"/>
        </w:rPr>
      </w:pPr>
    </w:p>
    <w:p>
      <w:pPr>
        <w:pStyle w:val="BodyText"/>
        <w:spacing w:line="261" w:lineRule="auto"/>
        <w:rPr/>
      </w:pPr>
      <w:r/>
    </w:p>
    <w:p>
      <w:pPr>
        <w:pStyle w:val="BodyText"/>
        <w:spacing w:line="262" w:lineRule="auto"/>
        <w:rPr/>
      </w:pPr>
      <w:r/>
    </w:p>
    <w:p>
      <w:pPr>
        <w:pStyle w:val="BodyText"/>
        <w:spacing w:line="262" w:lineRule="auto"/>
        <w:rPr/>
      </w:pPr>
      <w:r/>
    </w:p>
    <w:p>
      <w:pPr>
        <w:ind w:firstLine="4724"/>
        <w:spacing w:line="2463" w:lineRule="exact"/>
        <w:rPr/>
      </w:pPr>
      <w:r>
        <w:rPr>
          <w:position w:val="-49"/>
        </w:rPr>
        <w:drawing>
          <wp:inline distT="0" distB="0" distL="0" distR="0">
            <wp:extent cx="1839085" cy="1564258"/>
            <wp:effectExtent l="0" t="0" r="0" b="0"/>
            <wp:docPr id="6" name="IM 6"/>
            <wp:cNvGraphicFramePr/>
            <a:graphic>
              <a:graphicData uri="http://schemas.openxmlformats.org/drawingml/2006/picture">
                <pic:pic>
                  <pic:nvPicPr>
                    <pic:cNvPr id="6" name="IM 6"/>
                    <pic:cNvPicPr/>
                  </pic:nvPicPr>
                  <pic:blipFill>
                    <a:blip r:embed="rId39"/>
                    <a:stretch>
                      <a:fillRect/>
                    </a:stretch>
                  </pic:blipFill>
                  <pic:spPr>
                    <a:xfrm rot="0">
                      <a:off x="0" y="0"/>
                      <a:ext cx="1839085" cy="1564258"/>
                    </a:xfrm>
                    <a:prstGeom prst="rect">
                      <a:avLst/>
                    </a:prstGeom>
                  </pic:spPr>
                </pic:pic>
              </a:graphicData>
            </a:graphic>
          </wp:inline>
        </w:drawing>
      </w:r>
    </w:p>
    <w:p>
      <w:pPr>
        <w:pStyle w:val="BodyText"/>
        <w:spacing w:line="265" w:lineRule="auto"/>
        <w:rPr/>
      </w:pPr>
      <w:r/>
    </w:p>
    <w:p>
      <w:pPr>
        <w:pStyle w:val="BodyText"/>
        <w:spacing w:line="265"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rPr>
        <w:t>2025年度兴县高家村镇中心卫生院一般公共预算安排基本支出168.72万元，其中：</w:t>
      </w:r>
    </w:p>
    <w:p>
      <w:pPr>
        <w:ind w:left="1979"/>
        <w:spacing w:before="134" w:line="221" w:lineRule="auto"/>
        <w:rPr>
          <w:rFonts w:ascii="FangSong" w:hAnsi="FangSong" w:eastAsia="FangSong" w:cs="FangSong"/>
          <w:sz w:val="23"/>
          <w:szCs w:val="23"/>
        </w:rPr>
      </w:pPr>
      <w:r>
        <w:rPr>
          <w:rFonts w:ascii="FangSong" w:hAnsi="FangSong" w:eastAsia="FangSong" w:cs="FangSong"/>
          <w:sz w:val="23"/>
          <w:szCs w:val="23"/>
          <w:spacing w:val="4"/>
        </w:rPr>
        <w:t>员经费159.44万元，主要包括：其他工资福利支出、其他社会保障缴费、</w:t>
      </w:r>
      <w:r>
        <w:rPr>
          <w:rFonts w:ascii="FangSong" w:hAnsi="FangSong" w:eastAsia="FangSong" w:cs="FangSong"/>
          <w:sz w:val="23"/>
          <w:szCs w:val="23"/>
          <w:spacing w:val="4"/>
        </w:rPr>
        <w:t xml:space="preserve">      </w:t>
      </w:r>
      <w:r>
        <w:rPr>
          <w:rFonts w:ascii="FangSong" w:hAnsi="FangSong" w:eastAsia="FangSong" w:cs="FangSong"/>
          <w:sz w:val="23"/>
          <w:szCs w:val="23"/>
          <w:spacing w:val="4"/>
        </w:rPr>
        <w:t>资、</w:t>
      </w:r>
    </w:p>
    <w:p>
      <w:pPr>
        <w:ind w:left="1753"/>
        <w:spacing w:before="124" w:line="221" w:lineRule="auto"/>
        <w:rPr>
          <w:rFonts w:ascii="FangSong" w:hAnsi="FangSong" w:eastAsia="FangSong" w:cs="FangSong"/>
          <w:sz w:val="23"/>
          <w:szCs w:val="23"/>
        </w:rPr>
      </w:pPr>
      <w:r>
        <w:rPr>
          <w:rFonts w:ascii="FangSong" w:hAnsi="FangSong" w:eastAsia="FangSong" w:cs="FangSong"/>
          <w:sz w:val="23"/>
          <w:szCs w:val="23"/>
          <w:spacing w:val="10"/>
        </w:rPr>
        <w:t>工资、住房公积金、机关事业单位基本养老保险缴费、退休费、职</w:t>
      </w:r>
      <w:r>
        <w:rPr>
          <w:rFonts w:ascii="FangSong" w:hAnsi="FangSong" w:eastAsia="FangSong" w:cs="FangSong"/>
          <w:sz w:val="23"/>
          <w:szCs w:val="23"/>
          <w:spacing w:val="10"/>
        </w:rPr>
        <w:t xml:space="preserve">        </w:t>
      </w:r>
      <w:r>
        <w:rPr>
          <w:rFonts w:ascii="FangSong" w:hAnsi="FangSong" w:eastAsia="FangSong" w:cs="FangSong"/>
          <w:sz w:val="23"/>
          <w:szCs w:val="23"/>
          <w:spacing w:val="10"/>
        </w:rPr>
        <w:t>疗保险缴</w:t>
      </w:r>
    </w:p>
    <w:p>
      <w:pPr>
        <w:ind w:left="1271"/>
        <w:spacing w:before="125" w:line="222" w:lineRule="auto"/>
        <w:rPr>
          <w:rFonts w:ascii="FangSong" w:hAnsi="FangSong" w:eastAsia="FangSong" w:cs="FangSong"/>
          <w:sz w:val="23"/>
          <w:szCs w:val="23"/>
        </w:rPr>
      </w:pPr>
      <w:r>
        <w:rPr>
          <w:rFonts w:ascii="FangSong" w:hAnsi="FangSong" w:eastAsia="FangSong" w:cs="FangSong"/>
          <w:sz w:val="23"/>
          <w:szCs w:val="23"/>
          <w:spacing w:val="-3"/>
        </w:rPr>
        <w:t>费、津贴补贴等；</w:t>
      </w:r>
    </w:p>
    <w:p>
      <w:pPr>
        <w:ind w:left="1729"/>
        <w:spacing w:before="134" w:line="223" w:lineRule="auto"/>
        <w:rPr>
          <w:rFonts w:ascii="FangSong" w:hAnsi="FangSong" w:eastAsia="FangSong" w:cs="FangSong"/>
          <w:sz w:val="23"/>
          <w:szCs w:val="23"/>
        </w:rPr>
      </w:pPr>
      <w:r>
        <w:rPr>
          <w:rFonts w:ascii="FangSong" w:hAnsi="FangSong" w:eastAsia="FangSong" w:cs="FangSong"/>
          <w:sz w:val="23"/>
          <w:szCs w:val="23"/>
          <w:spacing w:val="-1"/>
        </w:rPr>
        <w:t>公用经费9.29万元，主要包括：工会经费、取暖费等。</w:t>
      </w:r>
    </w:p>
    <w:p>
      <w:pPr>
        <w:ind w:left="1255"/>
        <w:spacing w:before="119"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30" w:line="231"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4"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left="1258"/>
        <w:spacing w:before="122"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7" w:right="1223" w:firstLine="453"/>
        <w:spacing w:before="189" w:line="319" w:lineRule="auto"/>
        <w:rPr>
          <w:rFonts w:ascii="FangSong" w:hAnsi="FangSong" w:eastAsia="FangSong" w:cs="FangSong"/>
          <w:sz w:val="23"/>
          <w:szCs w:val="23"/>
        </w:rPr>
      </w:pPr>
      <w:r>
        <w:rPr>
          <w:rFonts w:ascii="FangSong" w:hAnsi="FangSong" w:eastAsia="FangSong" w:cs="FangSong"/>
          <w:sz w:val="23"/>
          <w:szCs w:val="23"/>
          <w:spacing w:val="5"/>
        </w:rPr>
        <w:t>2025年兴县高家村镇中心卫生院政府采购预算总额0万元。其中：政府采购货物预算0万</w:t>
      </w:r>
      <w:r>
        <w:rPr>
          <w:rFonts w:ascii="FangSong" w:hAnsi="FangSong" w:eastAsia="FangSong" w:cs="FangSong"/>
          <w:sz w:val="23"/>
          <w:szCs w:val="23"/>
          <w:spacing w:val="9"/>
        </w:rPr>
        <w:t xml:space="preserve"> </w:t>
      </w:r>
      <w:r>
        <w:rPr>
          <w:rFonts w:ascii="FangSong" w:hAnsi="FangSong" w:eastAsia="FangSong" w:cs="FangSong"/>
          <w:sz w:val="23"/>
          <w:szCs w:val="23"/>
        </w:rPr>
        <w:t>元、政府采购工程预算0万元、政府采购服务</w:t>
      </w:r>
      <w:r>
        <w:rPr>
          <w:rFonts w:ascii="FangSong" w:hAnsi="FangSong" w:eastAsia="FangSong" w:cs="FangSong"/>
          <w:sz w:val="23"/>
          <w:szCs w:val="23"/>
          <w:spacing w:val="-1"/>
        </w:rPr>
        <w:t>预算0万元。</w:t>
      </w:r>
    </w:p>
    <w:p>
      <w:pPr>
        <w:ind w:left="1260"/>
        <w:spacing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85" w:line="223" w:lineRule="auto"/>
        <w:rPr>
          <w:rFonts w:ascii="FangSong" w:hAnsi="FangSong" w:eastAsia="FangSong" w:cs="FangSong"/>
          <w:sz w:val="23"/>
          <w:szCs w:val="23"/>
        </w:rPr>
      </w:pPr>
      <w:r>
        <w:rPr>
          <w:rFonts w:ascii="FangSong" w:hAnsi="FangSong" w:eastAsia="FangSong" w:cs="FangSong"/>
          <w:sz w:val="23"/>
          <w:szCs w:val="23"/>
          <w:spacing w:val="-4"/>
        </w:rPr>
        <w:t>1、整体绩效</w:t>
      </w:r>
    </w:p>
    <w:p>
      <w:pPr>
        <w:ind w:left="1259"/>
        <w:spacing w:before="123" w:line="221" w:lineRule="auto"/>
        <w:rPr>
          <w:rFonts w:ascii="FangSong" w:hAnsi="FangSong" w:eastAsia="FangSong" w:cs="FangSong"/>
          <w:sz w:val="23"/>
          <w:szCs w:val="23"/>
        </w:rPr>
      </w:pPr>
      <w:r>
        <w:rPr>
          <w:rFonts w:ascii="FangSong" w:hAnsi="FangSong" w:eastAsia="FangSong" w:cs="FangSong"/>
          <w:sz w:val="23"/>
          <w:szCs w:val="23"/>
        </w:rPr>
        <w:t>2025年编报单</w:t>
      </w:r>
      <w:r>
        <w:rPr>
          <w:rFonts w:ascii="FangSong" w:hAnsi="FangSong" w:eastAsia="FangSong" w:cs="FangSong"/>
          <w:sz w:val="23"/>
          <w:szCs w:val="23"/>
        </w:rPr>
        <w:t xml:space="preserve">        </w:t>
      </w:r>
      <w:r>
        <w:rPr>
          <w:rFonts w:ascii="FangSong" w:hAnsi="FangSong" w:eastAsia="FangSong" w:cs="FangSong"/>
          <w:sz w:val="23"/>
          <w:szCs w:val="23"/>
        </w:rPr>
        <w:t>效目标,涉及资金104.27万元。</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7"/>
        </w:rPr>
        <w:t>2、</w:t>
      </w:r>
      <w:r>
        <w:rPr>
          <w:rFonts w:ascii="FangSong" w:hAnsi="FangSong" w:eastAsia="FangSong" w:cs="FangSong"/>
          <w:sz w:val="23"/>
          <w:szCs w:val="23"/>
          <w:spacing w:val="7"/>
        </w:rPr>
        <w:t xml:space="preserve">        </w:t>
      </w:r>
      <w:r>
        <w:rPr>
          <w:rFonts w:ascii="FangSong" w:hAnsi="FangSong" w:eastAsia="FangSong" w:cs="FangSong"/>
          <w:sz w:val="23"/>
          <w:szCs w:val="23"/>
          <w:spacing w:val="-17"/>
        </w:rPr>
        <w:t>目标</w:t>
      </w:r>
    </w:p>
    <w:p>
      <w:pPr>
        <w:ind w:left="1263" w:right="1223" w:firstLine="456"/>
        <w:spacing w:before="135" w:line="323" w:lineRule="auto"/>
        <w:rPr>
          <w:rFonts w:ascii="FangSong" w:hAnsi="FangSong" w:eastAsia="FangSong" w:cs="FangSong"/>
          <w:sz w:val="23"/>
          <w:szCs w:val="23"/>
        </w:rPr>
      </w:pPr>
      <w:r>
        <w:rPr>
          <w:rFonts w:ascii="FangSong" w:hAnsi="FangSong" w:eastAsia="FangSong" w:cs="FangSong"/>
          <w:sz w:val="23"/>
          <w:szCs w:val="23"/>
          <w:spacing w:val="8"/>
        </w:rPr>
        <w:t>20</w:t>
      </w:r>
      <w:r>
        <w:rPr>
          <w:rFonts w:ascii="FangSong" w:hAnsi="FangSong" w:eastAsia="FangSong" w:cs="FangSong"/>
          <w:sz w:val="23"/>
          <w:szCs w:val="23"/>
          <w:spacing w:val="8"/>
        </w:rPr>
        <w:t xml:space="preserve">  </w:t>
      </w:r>
      <w:r>
        <w:rPr>
          <w:rFonts w:ascii="FangSong" w:hAnsi="FangSong" w:eastAsia="FangSong" w:cs="FangSong"/>
          <w:sz w:val="23"/>
          <w:szCs w:val="23"/>
          <w:spacing w:val="8"/>
        </w:rPr>
        <w:t>年兴县高家村镇中心卫生院纳入绩效目标管理的二级项</w:t>
      </w:r>
      <w:r>
        <w:rPr>
          <w:rFonts w:ascii="FangSong" w:hAnsi="FangSong" w:eastAsia="FangSong" w:cs="FangSong"/>
          <w:sz w:val="23"/>
          <w:szCs w:val="23"/>
          <w:spacing w:val="7"/>
        </w:rPr>
        <w:t>目7个，共计金额104.27万</w:t>
      </w:r>
      <w:r>
        <w:rPr>
          <w:rFonts w:ascii="FangSong" w:hAnsi="FangSong" w:eastAsia="FangSong" w:cs="FangSong"/>
          <w:sz w:val="23"/>
          <w:szCs w:val="23"/>
        </w:rPr>
        <w:t xml:space="preserve"> </w:t>
      </w:r>
      <w:r>
        <w:rPr>
          <w:rFonts w:ascii="FangSong" w:hAnsi="FangSong" w:eastAsia="FangSong" w:cs="FangSong"/>
          <w:sz w:val="23"/>
          <w:szCs w:val="23"/>
          <w:spacing w:val="5"/>
        </w:rPr>
        <w:t>元。其中：其他运转类项目0个，涉及金额0万元；特定目标类项目0个，涉及金额0万元。公</w:t>
      </w:r>
      <w:r>
        <w:rPr>
          <w:rFonts w:ascii="FangSong" w:hAnsi="FangSong" w:eastAsia="FangSong" w:cs="FangSong"/>
          <w:sz w:val="23"/>
          <w:szCs w:val="23"/>
          <w:spacing w:val="1"/>
        </w:rPr>
        <w:t xml:space="preserve"> </w:t>
      </w:r>
      <w:r>
        <w:rPr>
          <w:rFonts w:ascii="FangSong" w:hAnsi="FangSong" w:eastAsia="FangSong" w:cs="FangSong"/>
          <w:sz w:val="23"/>
          <w:szCs w:val="23"/>
          <w:spacing w:val="6"/>
        </w:rPr>
        <w:t>开项目绩效目标7个，涉及项目金额104.27万元，</w:t>
      </w:r>
      <w:r>
        <w:rPr>
          <w:rFonts w:ascii="FangSong" w:hAnsi="FangSong" w:eastAsia="FangSong" w:cs="FangSong"/>
          <w:sz w:val="23"/>
          <w:szCs w:val="23"/>
          <w:spacing w:val="-51"/>
        </w:rPr>
        <w:t xml:space="preserve"> </w:t>
      </w:r>
      <w:r>
        <w:rPr>
          <w:rFonts w:ascii="FangSong" w:hAnsi="FangSong" w:eastAsia="FangSong" w:cs="FangSong"/>
          <w:sz w:val="23"/>
          <w:szCs w:val="23"/>
          <w:spacing w:val="6"/>
        </w:rPr>
        <w:t>占部门（单位）项目支出总</w:t>
      </w:r>
      <w:r>
        <w:rPr>
          <w:rFonts w:ascii="FangSong" w:hAnsi="FangSong" w:eastAsia="FangSong" w:cs="FangSong"/>
          <w:sz w:val="23"/>
          <w:szCs w:val="23"/>
          <w:spacing w:val="5"/>
        </w:rPr>
        <w:t>额的100%。其</w:t>
      </w:r>
      <w:r>
        <w:rPr>
          <w:rFonts w:ascii="FangSong" w:hAnsi="FangSong" w:eastAsia="FangSong" w:cs="FangSong"/>
          <w:sz w:val="23"/>
          <w:szCs w:val="23"/>
        </w:rPr>
        <w:t xml:space="preserve"> </w:t>
      </w:r>
      <w:r>
        <w:rPr>
          <w:rFonts w:ascii="FangSong" w:hAnsi="FangSong" w:eastAsia="FangSong" w:cs="FangSong"/>
          <w:sz w:val="23"/>
          <w:szCs w:val="23"/>
        </w:rPr>
        <w:t>中：其他运转类项目0个，涉及项目金额0万元；特定目标类项目0个，涉及项目金额0万元。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37"/>
          <w:footerReference w:type="default" r:id="rId38"/>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254"/>
        <w:spacing w:line="12282" w:lineRule="exact"/>
        <w:rPr/>
      </w:pPr>
      <w:r>
        <w:pict>
          <v:shape id="_x0000_s430" style="position:absolute;margin-left:86.92pt;margin-top:472.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432" style="position:absolute;margin-left:391.92pt;margin-top:228.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709593" cy="7798977"/>
            <wp:effectExtent l="0" t="0" r="0" b="0"/>
            <wp:docPr id="8" name="IM 8"/>
            <wp:cNvGraphicFramePr/>
            <a:graphic>
              <a:graphicData uri="http://schemas.openxmlformats.org/drawingml/2006/picture">
                <pic:pic>
                  <pic:nvPicPr>
                    <pic:cNvPr id="8" name="IM 8"/>
                    <pic:cNvPicPr/>
                  </pic:nvPicPr>
                  <pic:blipFill>
                    <a:blip r:embed="rId42"/>
                    <a:stretch>
                      <a:fillRect/>
                    </a:stretch>
                  </pic:blipFill>
                  <pic:spPr>
                    <a:xfrm rot="0">
                      <a:off x="0" y="0"/>
                      <a:ext cx="4709593" cy="7798977"/>
                    </a:xfrm>
                    <a:prstGeom prst="rect">
                      <a:avLst/>
                    </a:prstGeom>
                  </pic:spPr>
                </pic:pic>
              </a:graphicData>
            </a:graphic>
          </wp:inline>
        </w:drawing>
      </w:r>
    </w:p>
    <w:p>
      <w:pPr>
        <w:spacing w:line="12282" w:lineRule="exact"/>
        <w:sectPr>
          <w:headerReference w:type="default" r:id="rId40"/>
          <w:footerReference w:type="default" r:id="rId4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19"/>
        <w:spacing w:line="12217" w:lineRule="exact"/>
        <w:rPr/>
      </w:pPr>
      <w:r>
        <w:pict>
          <v:shape id="_x0000_s434" style="position:absolute;margin-left:86.92pt;margin-top:472.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436" style="position:absolute;margin-left:391.92pt;margin-top:228.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4627211" cy="7757785"/>
            <wp:effectExtent l="0" t="0" r="0" b="0"/>
            <wp:docPr id="10" name="IM 10"/>
            <wp:cNvGraphicFramePr/>
            <a:graphic>
              <a:graphicData uri="http://schemas.openxmlformats.org/drawingml/2006/picture">
                <pic:pic>
                  <pic:nvPicPr>
                    <pic:cNvPr id="10" name="IM 10"/>
                    <pic:cNvPicPr/>
                  </pic:nvPicPr>
                  <pic:blipFill>
                    <a:blip r:embed="rId44"/>
                    <a:stretch>
                      <a:fillRect/>
                    </a:stretch>
                  </pic:blipFill>
                  <pic:spPr>
                    <a:xfrm rot="0">
                      <a:off x="0" y="0"/>
                      <a:ext cx="4627211" cy="7757785"/>
                    </a:xfrm>
                    <a:prstGeom prst="rect">
                      <a:avLst/>
                    </a:prstGeom>
                  </pic:spPr>
                </pic:pic>
              </a:graphicData>
            </a:graphic>
          </wp:inline>
        </w:drawing>
      </w:r>
    </w:p>
    <w:p>
      <w:pPr>
        <w:spacing w:line="12217" w:lineRule="exact"/>
        <w:sectPr>
          <w:footerReference w:type="default" r:id="rId4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54"/>
        <w:spacing w:line="12001" w:lineRule="exact"/>
        <w:rPr/>
      </w:pPr>
      <w:r>
        <w:pict>
          <v:shape id="_x0000_s438" style="position:absolute;margin-left:86.92pt;margin-top:472.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440" style="position:absolute;margin-left:391.92pt;margin-top:228.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40"/>
        </w:rPr>
        <w:drawing>
          <wp:inline distT="0" distB="0" distL="0" distR="0">
            <wp:extent cx="4709593" cy="7620480"/>
            <wp:effectExtent l="0" t="0" r="0" b="0"/>
            <wp:docPr id="12" name="IM 12"/>
            <wp:cNvGraphicFramePr/>
            <a:graphic>
              <a:graphicData uri="http://schemas.openxmlformats.org/drawingml/2006/picture">
                <pic:pic>
                  <pic:nvPicPr>
                    <pic:cNvPr id="12" name="IM 12"/>
                    <pic:cNvPicPr/>
                  </pic:nvPicPr>
                  <pic:blipFill>
                    <a:blip r:embed="rId46"/>
                    <a:stretch>
                      <a:fillRect/>
                    </a:stretch>
                  </pic:blipFill>
                  <pic:spPr>
                    <a:xfrm rot="0">
                      <a:off x="0" y="0"/>
                      <a:ext cx="4709593" cy="7620480"/>
                    </a:xfrm>
                    <a:prstGeom prst="rect">
                      <a:avLst/>
                    </a:prstGeom>
                  </pic:spPr>
                </pic:pic>
              </a:graphicData>
            </a:graphic>
          </wp:inline>
        </w:drawing>
      </w:r>
    </w:p>
    <w:p>
      <w:pPr>
        <w:spacing w:line="12001" w:lineRule="exact"/>
        <w:sectPr>
          <w:footerReference w:type="default" r:id="rId4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19"/>
        <w:spacing w:line="12282" w:lineRule="exact"/>
        <w:rPr/>
      </w:pPr>
      <w:r>
        <w:pict>
          <v:shape id="_x0000_s442" style="position:absolute;margin-left:86.92pt;margin-top:472.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444" style="position:absolute;margin-left:391.92pt;margin-top:228.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627211" cy="7798977"/>
            <wp:effectExtent l="0" t="0" r="0" b="0"/>
            <wp:docPr id="14" name="IM 14"/>
            <wp:cNvGraphicFramePr/>
            <a:graphic>
              <a:graphicData uri="http://schemas.openxmlformats.org/drawingml/2006/picture">
                <pic:pic>
                  <pic:nvPicPr>
                    <pic:cNvPr id="14" name="IM 14"/>
                    <pic:cNvPicPr/>
                  </pic:nvPicPr>
                  <pic:blipFill>
                    <a:blip r:embed="rId48"/>
                    <a:stretch>
                      <a:fillRect/>
                    </a:stretch>
                  </pic:blipFill>
                  <pic:spPr>
                    <a:xfrm rot="0">
                      <a:off x="0" y="0"/>
                      <a:ext cx="4627211" cy="7798977"/>
                    </a:xfrm>
                    <a:prstGeom prst="rect">
                      <a:avLst/>
                    </a:prstGeom>
                  </pic:spPr>
                </pic:pic>
              </a:graphicData>
            </a:graphic>
          </wp:inline>
        </w:drawing>
      </w:r>
    </w:p>
    <w:p>
      <w:pPr>
        <w:spacing w:line="12282" w:lineRule="exact"/>
        <w:sectPr>
          <w:footerReference w:type="default" r:id="rId47"/>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319"/>
        <w:spacing w:line="12261" w:lineRule="exact"/>
        <w:rPr/>
      </w:pPr>
      <w:r>
        <w:pict>
          <v:shape id="_x0000_s446" style="position:absolute;margin-left:86.92pt;margin-top:472.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448" style="position:absolute;margin-left:391.92pt;margin-top:228.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627211" cy="7785246"/>
            <wp:effectExtent l="0" t="0" r="0" b="0"/>
            <wp:docPr id="16" name="IM 16"/>
            <wp:cNvGraphicFramePr/>
            <a:graphic>
              <a:graphicData uri="http://schemas.openxmlformats.org/drawingml/2006/picture">
                <pic:pic>
                  <pic:nvPicPr>
                    <pic:cNvPr id="16" name="IM 16"/>
                    <pic:cNvPicPr/>
                  </pic:nvPicPr>
                  <pic:blipFill>
                    <a:blip r:embed="rId50"/>
                    <a:stretch>
                      <a:fillRect/>
                    </a:stretch>
                  </pic:blipFill>
                  <pic:spPr>
                    <a:xfrm rot="0">
                      <a:off x="0" y="0"/>
                      <a:ext cx="4627211" cy="7785246"/>
                    </a:xfrm>
                    <a:prstGeom prst="rect">
                      <a:avLst/>
                    </a:prstGeom>
                  </pic:spPr>
                </pic:pic>
              </a:graphicData>
            </a:graphic>
          </wp:inline>
        </w:drawing>
      </w:r>
    </w:p>
    <w:p>
      <w:pPr>
        <w:spacing w:line="12261" w:lineRule="exact"/>
        <w:sectPr>
          <w:footerReference w:type="default" r:id="rId49"/>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319"/>
        <w:spacing w:line="11969" w:lineRule="exact"/>
        <w:rPr/>
      </w:pPr>
      <w:r>
        <w:pict>
          <v:shape id="_x0000_s450" style="position:absolute;margin-left:86.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452"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39"/>
        </w:rPr>
        <w:drawing>
          <wp:inline distT="0" distB="0" distL="0" distR="0">
            <wp:extent cx="4627211" cy="7599884"/>
            <wp:effectExtent l="0" t="0" r="0" b="0"/>
            <wp:docPr id="18" name="IM 18"/>
            <wp:cNvGraphicFramePr/>
            <a:graphic>
              <a:graphicData uri="http://schemas.openxmlformats.org/drawingml/2006/picture">
                <pic:pic>
                  <pic:nvPicPr>
                    <pic:cNvPr id="18" name="IM 18"/>
                    <pic:cNvPicPr/>
                  </pic:nvPicPr>
                  <pic:blipFill>
                    <a:blip r:embed="rId52"/>
                    <a:stretch>
                      <a:fillRect/>
                    </a:stretch>
                  </pic:blipFill>
                  <pic:spPr>
                    <a:xfrm rot="0">
                      <a:off x="0" y="0"/>
                      <a:ext cx="4627211" cy="7599884"/>
                    </a:xfrm>
                    <a:prstGeom prst="rect">
                      <a:avLst/>
                    </a:prstGeom>
                  </pic:spPr>
                </pic:pic>
              </a:graphicData>
            </a:graphic>
          </wp:inline>
        </w:drawing>
      </w:r>
    </w:p>
    <w:p>
      <w:pPr>
        <w:spacing w:line="11969" w:lineRule="exact"/>
        <w:sectPr>
          <w:footerReference w:type="default" r:id="rId5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19"/>
        <w:spacing w:line="12282" w:lineRule="exact"/>
        <w:rPr/>
      </w:pPr>
      <w:r>
        <w:pict>
          <v:shape id="_x0000_s454"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456" style="position:absolute;margin-left:391.92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627211" cy="7798977"/>
            <wp:effectExtent l="0" t="0" r="0" b="0"/>
            <wp:docPr id="20" name="IM 20"/>
            <wp:cNvGraphicFramePr/>
            <a:graphic>
              <a:graphicData uri="http://schemas.openxmlformats.org/drawingml/2006/picture">
                <pic:pic>
                  <pic:nvPicPr>
                    <pic:cNvPr id="20" name="IM 20"/>
                    <pic:cNvPicPr/>
                  </pic:nvPicPr>
                  <pic:blipFill>
                    <a:blip r:embed="rId54"/>
                    <a:stretch>
                      <a:fillRect/>
                    </a:stretch>
                  </pic:blipFill>
                  <pic:spPr>
                    <a:xfrm rot="0">
                      <a:off x="0" y="0"/>
                      <a:ext cx="4627211" cy="7798977"/>
                    </a:xfrm>
                    <a:prstGeom prst="rect">
                      <a:avLst/>
                    </a:prstGeom>
                  </pic:spPr>
                </pic:pic>
              </a:graphicData>
            </a:graphic>
          </wp:inline>
        </w:drawing>
      </w:r>
    </w:p>
    <w:p>
      <w:pPr>
        <w:spacing w:line="12282" w:lineRule="exact"/>
        <w:sectPr>
          <w:footerReference w:type="default" r:id="rId53"/>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319"/>
        <w:spacing w:line="12217" w:lineRule="exact"/>
        <w:rPr/>
      </w:pPr>
      <w:r>
        <w:pict>
          <v:shape id="_x0000_s458" style="position:absolute;margin-left:391.92pt;margin-top:228.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460" style="position:absolute;margin-left:86.92pt;margin-top:472.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4627211" cy="7757785"/>
            <wp:effectExtent l="0" t="0" r="0" b="0"/>
            <wp:docPr id="22" name="IM 22"/>
            <wp:cNvGraphicFramePr/>
            <a:graphic>
              <a:graphicData uri="http://schemas.openxmlformats.org/drawingml/2006/picture">
                <pic:pic>
                  <pic:nvPicPr>
                    <pic:cNvPr id="22" name="IM 22"/>
                    <pic:cNvPicPr/>
                  </pic:nvPicPr>
                  <pic:blipFill>
                    <a:blip r:embed="rId56"/>
                    <a:stretch>
                      <a:fillRect/>
                    </a:stretch>
                  </pic:blipFill>
                  <pic:spPr>
                    <a:xfrm rot="0">
                      <a:off x="0" y="0"/>
                      <a:ext cx="4627211" cy="7757785"/>
                    </a:xfrm>
                    <a:prstGeom prst="rect">
                      <a:avLst/>
                    </a:prstGeom>
                  </pic:spPr>
                </pic:pic>
              </a:graphicData>
            </a:graphic>
          </wp:inline>
        </w:drawing>
      </w:r>
    </w:p>
    <w:p>
      <w:pPr>
        <w:spacing w:line="12217" w:lineRule="exact"/>
        <w:sectPr>
          <w:footerReference w:type="default" r:id="rId5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19"/>
        <w:spacing w:line="5525" w:lineRule="exact"/>
        <w:rPr/>
      </w:pPr>
      <w:r>
        <w:pict>
          <v:shape id="_x0000_s478" style="position:absolute;margin-left:391.92pt;margin-top:228.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rPr>
          <w:position w:val="-110"/>
        </w:rPr>
        <w:drawing>
          <wp:inline distT="0" distB="0" distL="0" distR="0">
            <wp:extent cx="4627211" cy="3508166"/>
            <wp:effectExtent l="0" t="0" r="0" b="0"/>
            <wp:docPr id="24" name="IM 24"/>
            <wp:cNvGraphicFramePr/>
            <a:graphic>
              <a:graphicData uri="http://schemas.openxmlformats.org/drawingml/2006/picture">
                <pic:pic>
                  <pic:nvPicPr>
                    <pic:cNvPr id="24" name="IM 24"/>
                    <pic:cNvPicPr/>
                  </pic:nvPicPr>
                  <pic:blipFill>
                    <a:blip r:embed="rId59"/>
                    <a:stretch>
                      <a:fillRect/>
                    </a:stretch>
                  </pic:blipFill>
                  <pic:spPr>
                    <a:xfrm rot="0">
                      <a:off x="0" y="0"/>
                      <a:ext cx="4627211" cy="3508166"/>
                    </a:xfrm>
                    <a:prstGeom prst="rect">
                      <a:avLst/>
                    </a:prstGeom>
                  </pic:spPr>
                </pic:pic>
              </a:graphicData>
            </a:graphic>
          </wp:inline>
        </w:drawing>
      </w:r>
    </w:p>
    <w:p>
      <w:pPr>
        <w:spacing w:line="5525" w:lineRule="exact"/>
        <w:sectPr>
          <w:headerReference w:type="default" r:id="rId57"/>
          <w:footerReference w:type="default" r:id="rId58"/>
          <w:pgSz w:w="11900" w:h="16840"/>
          <w:pgMar w:top="642" w:right="0" w:bottom="340" w:left="0" w:header="326" w:footer="11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9"/>
        </w:rPr>
        <w:t>截至2024年12月31</w:t>
      </w:r>
      <w:r>
        <w:rPr>
          <w:rFonts w:ascii="FangSong" w:hAnsi="FangSong" w:eastAsia="FangSong" w:cs="FangSong"/>
          <w:sz w:val="23"/>
          <w:szCs w:val="23"/>
          <w:spacing w:val="-39"/>
        </w:rPr>
        <w:t xml:space="preserve"> </w:t>
      </w:r>
      <w:r>
        <w:rPr>
          <w:rFonts w:ascii="FangSong" w:hAnsi="FangSong" w:eastAsia="FangSong" w:cs="FangSong"/>
          <w:sz w:val="23"/>
          <w:szCs w:val="23"/>
          <w:spacing w:val="9"/>
        </w:rPr>
        <w:t>日，兴县高家村镇中心卫生院共有公</w:t>
      </w:r>
      <w:r>
        <w:rPr>
          <w:rFonts w:ascii="FangSong" w:hAnsi="FangSong" w:eastAsia="FangSong" w:cs="FangSong"/>
          <w:sz w:val="23"/>
          <w:szCs w:val="23"/>
          <w:spacing w:val="8"/>
        </w:rPr>
        <w:t>务用车编制1辆，实有1辆，其</w:t>
      </w:r>
      <w:r>
        <w:rPr>
          <w:rFonts w:ascii="FangSong" w:hAnsi="FangSong" w:eastAsia="FangSong" w:cs="FangSong"/>
          <w:sz w:val="23"/>
          <w:szCs w:val="23"/>
        </w:rPr>
        <w:t xml:space="preserve"> </w:t>
      </w:r>
      <w:r>
        <w:rPr>
          <w:rFonts w:ascii="FangSong" w:hAnsi="FangSong" w:eastAsia="FangSong" w:cs="FangSong"/>
          <w:sz w:val="23"/>
          <w:szCs w:val="23"/>
          <w:spacing w:val="5"/>
        </w:rPr>
        <w:t>中：领导用车0辆，机要通信用车0辆，应急保障用车0辆，执法执勤用车0辆，特种专业技术</w:t>
      </w:r>
      <w:r>
        <w:rPr>
          <w:rFonts w:ascii="FangSong" w:hAnsi="FangSong" w:eastAsia="FangSong" w:cs="FangSong"/>
          <w:sz w:val="23"/>
          <w:szCs w:val="23"/>
          <w:spacing w:val="1"/>
        </w:rPr>
        <w:t xml:space="preserve"> </w:t>
      </w:r>
      <w:r>
        <w:rPr>
          <w:rFonts w:ascii="FangSong" w:hAnsi="FangSong" w:eastAsia="FangSong" w:cs="FangSong"/>
          <w:sz w:val="23"/>
          <w:szCs w:val="23"/>
        </w:rPr>
        <w:t>用车1辆，事业单位业务用车0辆，其他公务用车</w:t>
      </w:r>
      <w:r>
        <w:rPr>
          <w:rFonts w:ascii="FangSong" w:hAnsi="FangSong" w:eastAsia="FangSong" w:cs="FangSong"/>
          <w:sz w:val="23"/>
          <w:szCs w:val="23"/>
          <w:spacing w:val="-1"/>
        </w:rPr>
        <w:t>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66" w:right="1223" w:firstLine="458"/>
        <w:spacing w:before="123" w:line="322" w:lineRule="auto"/>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40"/>
        </w:rPr>
        <w:t xml:space="preserve"> </w:t>
      </w:r>
      <w:r>
        <w:rPr>
          <w:rFonts w:ascii="FangSong" w:hAnsi="FangSong" w:eastAsia="FangSong" w:cs="FangSong"/>
          <w:sz w:val="23"/>
          <w:szCs w:val="23"/>
          <w:spacing w:val="3"/>
        </w:rPr>
        <w:t>日，兴县高家村镇中心卫生院使用的办公用房建筑总面积717.70平方</w:t>
      </w:r>
      <w:r>
        <w:rPr>
          <w:rFonts w:ascii="FangSong" w:hAnsi="FangSong" w:eastAsia="FangSong" w:cs="FangSong"/>
          <w:sz w:val="23"/>
          <w:szCs w:val="23"/>
        </w:rPr>
        <w:t xml:space="preserve"> </w:t>
      </w:r>
      <w:r>
        <w:rPr>
          <w:rFonts w:ascii="FangSong" w:hAnsi="FangSong" w:eastAsia="FangSong" w:cs="FangSong"/>
          <w:sz w:val="23"/>
          <w:szCs w:val="23"/>
          <w:spacing w:val="-9"/>
        </w:rPr>
        <w:t>米。</w:t>
      </w:r>
    </w:p>
    <w:p>
      <w:pPr>
        <w:ind w:left="17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3" w:right="1223" w:firstLine="461"/>
        <w:spacing w:before="125" w:line="323" w:lineRule="auto"/>
        <w:jc w:val="both"/>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1"/>
        </w:rPr>
        <w:t xml:space="preserve"> </w:t>
      </w:r>
      <w:r>
        <w:rPr>
          <w:rFonts w:ascii="FangSong" w:hAnsi="FangSong" w:eastAsia="FangSong" w:cs="FangSong"/>
          <w:sz w:val="23"/>
          <w:szCs w:val="23"/>
          <w:spacing w:val="2"/>
        </w:rPr>
        <w:t>日，兴县高家村镇中心卫生院占有使用价值50万元（原值）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以上的通</w:t>
      </w:r>
      <w:r>
        <w:rPr>
          <w:rFonts w:ascii="FangSong" w:hAnsi="FangSong" w:eastAsia="FangSong" w:cs="FangSong"/>
          <w:sz w:val="23"/>
          <w:szCs w:val="23"/>
        </w:rPr>
        <w:t xml:space="preserve"> </w:t>
      </w:r>
      <w:r>
        <w:rPr>
          <w:rFonts w:ascii="FangSong" w:hAnsi="FangSong" w:eastAsia="FangSong" w:cs="FangSong"/>
          <w:sz w:val="23"/>
          <w:szCs w:val="23"/>
          <w:spacing w:val="2"/>
        </w:rPr>
        <w:t>用设备0台（套</w:t>
      </w:r>
      <w:r>
        <w:rPr>
          <w:rFonts w:ascii="FangSong" w:hAnsi="FangSong" w:eastAsia="FangSong" w:cs="FangSong"/>
          <w:sz w:val="23"/>
          <w:szCs w:val="23"/>
          <w:spacing w:val="14"/>
        </w:rPr>
        <w:t>）；</w:t>
      </w:r>
      <w:r>
        <w:rPr>
          <w:rFonts w:ascii="FangSong" w:hAnsi="FangSong" w:eastAsia="FangSong" w:cs="FangSong"/>
          <w:sz w:val="23"/>
          <w:szCs w:val="23"/>
          <w:spacing w:val="2"/>
        </w:rPr>
        <w:t>兴县高家村镇中心卫生院占有使用价值10</w:t>
      </w:r>
      <w:r>
        <w:rPr>
          <w:rFonts w:ascii="FangSong" w:hAnsi="FangSong" w:eastAsia="FangSong" w:cs="FangSong"/>
          <w:sz w:val="23"/>
          <w:szCs w:val="23"/>
          <w:spacing w:val="1"/>
        </w:rPr>
        <w:t>0万元（原值）以上的通用设备0</w:t>
      </w:r>
      <w:r>
        <w:rPr>
          <w:rFonts w:ascii="FangSong" w:hAnsi="FangSong" w:eastAsia="FangSong" w:cs="FangSong"/>
          <w:sz w:val="23"/>
          <w:szCs w:val="23"/>
          <w:spacing w:val="1"/>
        </w:rPr>
        <w:t xml:space="preserve"> </w:t>
      </w:r>
      <w:r>
        <w:rPr>
          <w:rFonts w:ascii="FangSong" w:hAnsi="FangSong" w:eastAsia="FangSong" w:cs="FangSong"/>
          <w:sz w:val="23"/>
          <w:szCs w:val="23"/>
          <w:spacing w:val="-3"/>
        </w:rPr>
        <w:t>台（套）。</w:t>
      </w:r>
    </w:p>
    <w:p>
      <w:pPr>
        <w:ind w:left="1260"/>
        <w:spacing w:line="228"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6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9"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60"/>
          <w:footerReference w:type="default" r:id="rId61"/>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506" style="position:absolute;margin-left:491.92pt;margin-top:44.1055pt;mso-position-vertical-relative:page;mso-position-horizontal-relative:page;width:119.4pt;height:18.85pt;z-index:25168076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35"/>
        <w:spacing w:line="13461" w:lineRule="exact"/>
        <w:rPr/>
      </w:pPr>
      <w:r>
        <w:pict>
          <v:shape id="_x0000_s508" style="position:absolute;margin-left:86.92pt;margin-top:472.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510" style="position:absolute;margin-left:491.92pt;margin-top:472.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512" style="position:absolute;margin-left:391.92pt;margin-top:228.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514" style="position:absolute;margin-left:-13.08pt;margin-top:228.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26" name="IM 26"/>
            <wp:cNvGraphicFramePr/>
            <a:graphic>
              <a:graphicData uri="http://schemas.openxmlformats.org/drawingml/2006/picture">
                <pic:pic>
                  <pic:nvPicPr>
                    <pic:cNvPr id="26" name="IM 26"/>
                    <pic:cNvPicPr/>
                  </pic:nvPicPr>
                  <pic:blipFill>
                    <a:blip r:embed="rId64"/>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62"/>
          <w:footerReference w:type="default" r:id="rId63"/>
          <w:pgSz w:w="11900" w:h="16840"/>
          <w:pgMar w:top="642" w:right="0" w:bottom="340" w:left="0" w:header="326" w:footer="111" w:gutter="0"/>
        </w:sectPr>
        <w:rPr/>
      </w:pPr>
    </w:p>
    <w:p>
      <w:pPr>
        <w:pStyle w:val="BodyText"/>
        <w:spacing w:line="277" w:lineRule="auto"/>
        <w:rPr/>
      </w:pPr>
      <w:r>
        <w:pict>
          <v:shape id="_x0000_s516" style="position:absolute;margin-left:491.92pt;margin-top:44.1055pt;mso-position-vertical-relative:page;mso-position-horizontal-relative:page;width:119.4pt;height:18.85pt;z-index:2516848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78"/>
        <w:spacing w:line="13461" w:lineRule="exact"/>
        <w:rPr/>
      </w:pPr>
      <w:r>
        <w:pict>
          <v:shape id="_x0000_s518" style="position:absolute;margin-left:-13.08pt;margin-top:228.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520" style="position:absolute;margin-left:86.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522" style="position:absolute;margin-left:391.92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524" style="position:absolute;margin-left:491.92pt;margin-top:472.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28" name="IM 28"/>
            <wp:cNvGraphicFramePr/>
            <a:graphic>
              <a:graphicData uri="http://schemas.openxmlformats.org/drawingml/2006/picture">
                <pic:pic>
                  <pic:nvPicPr>
                    <pic:cNvPr id="28" name="IM 28"/>
                    <pic:cNvPicPr/>
                  </pic:nvPicPr>
                  <pic:blipFill>
                    <a:blip r:embed="rId66"/>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65"/>
          <w:pgSz w:w="11900" w:h="16840"/>
          <w:pgMar w:top="642" w:right="0" w:bottom="340" w:left="0" w:header="326" w:footer="111" w:gutter="0"/>
        </w:sectPr>
        <w:rPr/>
      </w:pPr>
    </w:p>
    <w:p>
      <w:pPr>
        <w:pStyle w:val="BodyText"/>
        <w:spacing w:line="277" w:lineRule="auto"/>
        <w:rPr/>
      </w:pPr>
      <w:r>
        <w:pict>
          <v:shape id="_x0000_s526" style="position:absolute;margin-left:491.92pt;margin-top:44.1055pt;mso-position-vertical-relative:page;mso-position-horizontal-relative:page;width:119.4pt;height:18.85pt;z-index:2516899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528" style="position:absolute;margin-left:86.92pt;margin-top:472.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530" style="position:absolute;margin-left:391.92pt;margin-top:228.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532" style="position:absolute;margin-left:-13.08pt;margin-top:228.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534" style="position:absolute;margin-left:491.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0" name="IM 30"/>
            <wp:cNvGraphicFramePr/>
            <a:graphic>
              <a:graphicData uri="http://schemas.openxmlformats.org/drawingml/2006/picture">
                <pic:pic>
                  <pic:nvPicPr>
                    <pic:cNvPr id="30" name="IM 30"/>
                    <pic:cNvPicPr/>
                  </pic:nvPicPr>
                  <pic:blipFill>
                    <a:blip r:embed="rId68"/>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7"/>
          <w:pgSz w:w="11900" w:h="16840"/>
          <w:pgMar w:top="642" w:right="0" w:bottom="340" w:left="0" w:header="326" w:footer="111" w:gutter="0"/>
        </w:sectPr>
        <w:rPr/>
      </w:pPr>
    </w:p>
    <w:p>
      <w:pPr>
        <w:pStyle w:val="BodyText"/>
        <w:spacing w:line="277" w:lineRule="auto"/>
        <w:rPr/>
      </w:pPr>
      <w:r>
        <w:pict>
          <v:shape id="_x0000_s536" style="position:absolute;margin-left:491.92pt;margin-top:44.1055pt;mso-position-vertical-relative:page;mso-position-horizontal-relative:page;width:119.4pt;height:18.85pt;z-index:25169510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538" style="position:absolute;margin-left:491.92pt;margin-top:472.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540" style="position:absolute;margin-left:86.92pt;margin-top:472.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542" style="position:absolute;margin-left:391.92pt;margin-top:228.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544" style="position:absolute;margin-left:-13.08pt;margin-top:228.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2" name="IM 32"/>
            <wp:cNvGraphicFramePr/>
            <a:graphic>
              <a:graphicData uri="http://schemas.openxmlformats.org/drawingml/2006/picture">
                <pic:pic>
                  <pic:nvPicPr>
                    <pic:cNvPr id="32" name="IM 32"/>
                    <pic:cNvPicPr/>
                  </pic:nvPicPr>
                  <pic:blipFill>
                    <a:blip r:embed="rId70"/>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9"/>
          <w:pgSz w:w="11900" w:h="16840"/>
          <w:pgMar w:top="642" w:right="0" w:bottom="340" w:left="0" w:header="326" w:footer="111" w:gutter="0"/>
        </w:sectPr>
        <w:rPr/>
      </w:pPr>
    </w:p>
    <w:p>
      <w:pPr>
        <w:pStyle w:val="BodyText"/>
        <w:spacing w:line="277" w:lineRule="auto"/>
        <w:rPr/>
      </w:pPr>
      <w:r>
        <w:pict>
          <v:shape id="_x0000_s546" style="position:absolute;margin-left:491.92pt;margin-top:44.1055pt;mso-position-vertical-relative:page;mso-position-horizontal-relative:page;width:119.4pt;height:18.85pt;z-index:25170227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548" style="position:absolute;margin-left:-13.08pt;margin-top:228.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550" style="position:absolute;margin-left:86.92pt;margin-top:472.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552" style="position:absolute;margin-left:391.92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554" style="position:absolute;margin-left:491.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4" name="IM 34"/>
            <wp:cNvGraphicFramePr/>
            <a:graphic>
              <a:graphicData uri="http://schemas.openxmlformats.org/drawingml/2006/picture">
                <pic:pic>
                  <pic:nvPicPr>
                    <pic:cNvPr id="34" name="IM 34"/>
                    <pic:cNvPicPr/>
                  </pic:nvPicPr>
                  <pic:blipFill>
                    <a:blip r:embed="rId72"/>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71"/>
          <w:pgSz w:w="11900" w:h="16840"/>
          <w:pgMar w:top="642" w:right="0" w:bottom="340" w:left="0" w:header="326" w:footer="111" w:gutter="0"/>
        </w:sectPr>
        <w:rPr/>
      </w:pPr>
    </w:p>
    <w:p>
      <w:pPr>
        <w:pStyle w:val="BodyText"/>
        <w:spacing w:line="277" w:lineRule="auto"/>
        <w:rPr/>
      </w:pPr>
      <w:r>
        <w:pict>
          <v:shape id="_x0000_s556" style="position:absolute;margin-left:491.92pt;margin-top:44.1055pt;mso-position-vertical-relative:page;mso-position-horizontal-relative:page;width:119.4pt;height:18.85pt;z-index:25170636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67"/>
        <w:spacing w:line="13461" w:lineRule="exact"/>
        <w:rPr/>
      </w:pPr>
      <w:r>
        <w:pict>
          <v:shape id="_x0000_s558" style="position:absolute;margin-left:86.92pt;margin-top:472.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560" style="position:absolute;margin-left:391.92pt;margin-top:228.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562" style="position:absolute;margin-left:491.92pt;margin-top:472.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564" style="position:absolute;margin-left:-13.08pt;margin-top:228.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6" name="IM 36"/>
            <wp:cNvGraphicFramePr/>
            <a:graphic>
              <a:graphicData uri="http://schemas.openxmlformats.org/drawingml/2006/picture">
                <pic:pic>
                  <pic:nvPicPr>
                    <pic:cNvPr id="36" name="IM 36"/>
                    <pic:cNvPicPr/>
                  </pic:nvPicPr>
                  <pic:blipFill>
                    <a:blip r:embed="rId74"/>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73"/>
          <w:pgSz w:w="11900" w:h="16840"/>
          <w:pgMar w:top="642" w:right="0" w:bottom="340" w:left="0" w:header="326" w:footer="111" w:gutter="0"/>
        </w:sectPr>
        <w:rPr/>
      </w:pPr>
    </w:p>
    <w:p>
      <w:pPr>
        <w:pStyle w:val="BodyText"/>
        <w:spacing w:line="277" w:lineRule="auto"/>
        <w:rPr/>
      </w:pPr>
      <w:r>
        <w:pict>
          <v:shape id="_x0000_s566" style="position:absolute;margin-left:491.92pt;margin-top:44.1055pt;mso-position-vertical-relative:page;mso-position-horizontal-relative:page;width:119.4pt;height:18.85pt;z-index:25171353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89"/>
        <w:spacing w:line="13461" w:lineRule="exact"/>
        <w:rPr/>
      </w:pPr>
      <w:r>
        <w:pict>
          <v:shape id="_x0000_s568" style="position:absolute;margin-left:491.92pt;margin-top:472.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570" style="position:absolute;margin-left:391.92pt;margin-top:228.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572" style="position:absolute;margin-left:-13.08pt;margin-top:228.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574" style="position:absolute;margin-left:86.92pt;margin-top:472.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38" name="IM 38"/>
            <wp:cNvGraphicFramePr/>
            <a:graphic>
              <a:graphicData uri="http://schemas.openxmlformats.org/drawingml/2006/picture">
                <pic:pic>
                  <pic:nvPicPr>
                    <pic:cNvPr id="38" name="IM 38"/>
                    <pic:cNvPicPr/>
                  </pic:nvPicPr>
                  <pic:blipFill>
                    <a:blip r:embed="rId76"/>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75"/>
          <w:pgSz w:w="11900" w:h="16840"/>
          <w:pgMar w:top="642" w:right="0" w:bottom="340" w:left="0" w:header="326" w:footer="111" w:gutter="0"/>
        </w:sectPr>
        <w:rPr/>
      </w:pPr>
    </w:p>
    <w:p>
      <w:pPr>
        <w:pStyle w:val="BodyText"/>
        <w:spacing w:line="277" w:lineRule="auto"/>
        <w:rPr/>
      </w:pPr>
      <w:r>
        <w:pict>
          <v:shape id="_x0000_s576" style="position:absolute;margin-left:491.92pt;margin-top:44.1055pt;mso-position-vertical-relative:page;mso-position-horizontal-relative:page;width:119.4pt;height:18.85pt;z-index:25171660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67"/>
        <w:spacing w:line="13461" w:lineRule="exact"/>
        <w:rPr/>
      </w:pPr>
      <w:r>
        <w:pict>
          <v:shape id="_x0000_s578" style="position:absolute;margin-left:-13.08pt;margin-top:228.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580" style="position:absolute;margin-left:491.92pt;margin-top:472.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582" style="position:absolute;margin-left:391.92pt;margin-top:228.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584" style="position:absolute;margin-left:86.92pt;margin-top:472.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40" name="IM 40"/>
            <wp:cNvGraphicFramePr/>
            <a:graphic>
              <a:graphicData uri="http://schemas.openxmlformats.org/drawingml/2006/picture">
                <pic:pic>
                  <pic:nvPicPr>
                    <pic:cNvPr id="40" name="IM 40"/>
                    <pic:cNvPicPr/>
                  </pic:nvPicPr>
                  <pic:blipFill>
                    <a:blip r:embed="rId78"/>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77"/>
          <w:pgSz w:w="11900" w:h="16840"/>
          <w:pgMar w:top="642" w:right="0" w:bottom="340" w:left="0" w:header="326" w:footer="111"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60"/>
      <w:footerReference w:type="default" r:id="rId79"/>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bookmarkStart w:name="bookmark48" w:id="44"/>
    <w:bookmarkEnd w:id="44"/>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9"/>
    <w:bookmarkEnd w:id="49"/>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62" style="position:absolute;margin-left:86.92pt;margin-top:27.7633pt;mso-position-vertical-relative:text;mso-position-horizontal-relative:text;width:119.4pt;height:18.85pt;z-index:-251560960;rotation:330;" fillcolor="#404040" filled="true" stroked="false" type="#_x0000_t136">
          <v:fill opacity="0.400000"/>
          <v:textpath style="font-family:&quot;SimSun&quot;;font-size:20;v-text-kern:t;mso-text-shadow:auto" string="仅供内部审核"/>
        </v:shape>
      </w:pict>
    </w:r>
    <w:r>
      <w:pict>
        <v:shape id="PowerPlusWaterMarkObject164" style="position:absolute;margin-left:490.282pt;margin-top:71.2915pt;mso-position-vertical-relative:page;mso-position-horizontal-relative:page;width:35.45pt;height:6.5pt;z-index:-251561984;" o:allowincell="f" fillcolor="#212529" filled="true" stroked="false" type="#_x0000_t136">
          <v:textpath style="font-family:&quot;SimSun&quot;;font-size:6;v-text-kern:t;mso-text-shadow:auto" string="预算公开表5"/>
        </v:shape>
      </w:pict>
    </w:r>
    <w:r>
      <w:pict>
        <v:shape id="PowerPlusWaterMarkObject166"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74.4118pt;margin-top:267.372pt;mso-position-vertical-relative:page;mso-position-horizontal-relative:page;width:23.35pt;height:7.9pt;z-index:-251575296;" o:allowincell="f" fillcolor="#212529" filled="true" stroked="false" type="#_x0000_t136">
          <v:textpath style="font-family:&quot;SimSun&quot;;font-size:7.5;v-text-kern:t;mso-text-shadow:auto" string="100399"/>
        </v:shape>
      </w:pict>
    </w:r>
    <w:r>
      <w:pict>
        <v:shape id="PowerPlusWaterMarkObject170" style="position:absolute;margin-left:69.8661pt;margin-top:282.508pt;mso-position-vertical-relative:page;mso-position-horizontal-relative:page;width:11.7pt;height:7.9pt;z-index:-251574272;" o:allowincell="f" fillcolor="#212529" filled="true" stroked="false" type="#_x0000_t136">
          <v:textpath style="font-family:&quot;SimSun&quot;;font-size:7.5;v-text-kern:t;mso-text-shadow:auto" string="210"/>
        </v:shape>
      </w:pict>
    </w:r>
    <w:r>
      <w:pict>
        <v:shape id="PowerPlusWaterMarkObject172" style="position:absolute;margin-left:-13.08pt;margin-top:288.105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506.331pt;margin-top:267.372pt;mso-position-vertical-relative:page;mso-position-horizontal-relative:page;width:3.1pt;height:7.9pt;z-index:-251572224;" o:allowincell="f" fillcolor="#212529" filled="true" stroked="false" type="#_x0000_t136">
          <v:textpath style="font-family:&quot;SimSun&quot;;font-size:7.5;v-text-kern:t;mso-text-shadow:auto" string="1"/>
        </v:shape>
      </w:pict>
    </w:r>
    <w:r>
      <w:pict>
        <v:shape id="PowerPlusWaterMarkObject176" style="position:absolute;margin-left:449.875pt;margin-top:282.508pt;mso-position-vertical-relative:page;mso-position-horizontal-relative:page;width:3.5pt;height:7.9pt;z-index:-251571200;" o:allowincell="f" fillcolor="#212529" filled="true" stroked="false" type="#_x0000_t136">
          <v:textpath style="font-family:&quot;SimSun&quot;;font-size:7.5;v-text-kern:t;mso-text-shadow:auto" string="7"/>
        </v:shape>
      </w:pict>
    </w:r>
    <w:r>
      <w:pict>
        <v:shape id="PowerPlusWaterMarkObject178" style="position:absolute;margin-left:437.681pt;margin-top:297.644pt;mso-position-vertical-relative:page;mso-position-horizontal-relative:page;width:15.7pt;height:7.9pt;z-index:-251570176;" o:allowincell="f" fillcolor="#212529" filled="true" stroked="false" type="#_x0000_t136">
          <v:textpath style="font-family:&quot;SimSun&quot;;font-size:7.5;v-text-kern:t;mso-text-shadow:auto" string="5 81"/>
        </v:shape>
      </w:pict>
    </w:r>
    <w:r>
      <w:pict>
        <v:shape id="PowerPlusWaterMarkObject180" style="position:absolute;margin-left:437.586pt;margin-top:312.78pt;mso-position-vertical-relative:page;mso-position-horizontal-relative:page;width:3.6pt;height:7.9pt;z-index:-251569152;" o:allowincell="f" fillcolor="#212529" filled="true" stroked="false" type="#_x0000_t136">
          <v:textpath style="font-family:&quot;SimSun&quot;;font-size:7.5;v-text-kern:t;mso-text-shadow:auto" string="0"/>
        </v:shape>
      </w:pict>
    </w:r>
    <w:r>
      <w:pict>
        <v:shape id="PowerPlusWaterMarkObject182"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86.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_x0000_s192"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4" style="position:absolute;margin-left:86.02pt;margin-top:267.372pt;mso-position-vertical-relative:page;mso-position-horizontal-relative:page;width:15.7pt;height:7.9pt;z-index:-251558912;" o:allowincell="f" fillcolor="#212529" filled="true" stroked="false" type="#_x0000_t136">
          <v:textpath style="font-family:&quot;SimSun&quot;;font-size:7.5;v-text-kern:t;mso-text-shadow:auto" string="住房"/>
        </v:shape>
      </w:pict>
    </w:r>
    <w:r>
      <w:pict>
        <v:shape id="PowerPlusWaterMarkObject196" style="position:absolute;margin-left:86.92pt;margin-top:27.7633pt;mso-position-vertical-relative:text;mso-position-horizontal-relative:text;width:119.4pt;height:18.85pt;z-index:-251546624;rotation:330;" fillcolor="#404040" filled="true" stroked="false" type="#_x0000_t136">
          <v:fill opacity="0.400000"/>
          <v:textpath style="font-family:&quot;SimSun&quot;;font-size:20;v-text-kern:t;mso-text-shadow:auto" string="仅供内部审核"/>
        </v:shape>
      </w:pict>
    </w:r>
    <w:r>
      <w:pict>
        <v:shape id="PowerPlusWaterMarkObject198" style="position:absolute;margin-left:-13.08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13.08pt;margin-top:776.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486.557pt;margin-top:71.2915pt;mso-position-vertical-relative:page;mso-position-horizontal-relative:page;width:35.45pt;height:6.5pt;z-index:-251547648;" o:allowincell="f" fillcolor="#212529" filled="true" stroked="false" type="#_x0000_t136">
          <v:textpath style="font-family:&quot;SimSun&quot;;font-size:6;v-text-kern:t;mso-text-shadow:auto" string="预算公开表6"/>
        </v:shape>
      </w:pict>
    </w:r>
    <w:r>
      <w:pict>
        <v:shape id="PowerPlusWaterMarkObject206" style="position:absolute;margin-left:450.567pt;margin-top:282.508pt;mso-position-vertical-relative:page;mso-position-horizontal-relative:page;width:19.3pt;height:7.9pt;z-index:-251556864;" o:allowincell="f" fillcolor="#212529" filled="true" stroked="false" type="#_x0000_t136">
          <v:textpath style="font-family:&quot;SimSun&quot;;font-size:7.5;v-text-kern:t;mso-text-shadow:auto" string="11 92"/>
        </v:shape>
      </w:pict>
    </w:r>
    <w:r>
      <w:pict>
        <v:shape id="PowerPlusWaterMarkObject208" style="position:absolute;margin-left:402.341pt;margin-top:312.78pt;mso-position-vertical-relative:page;mso-position-horizontal-relative:page;width:7.55pt;height:7.9pt;z-index:-251555840;" o:allowincell="f" fillcolor="#212529" filled="true" stroked="false" type="#_x0000_t136">
          <v:textpath style="font-family:&quot;SimSun&quot;;font-size:7.5;v-text-kern:t;mso-text-shadow:auto" string="50"/>
        </v:shape>
      </w:pict>
    </w:r>
    <w:r>
      <w:pict>
        <v:shape id="PowerPlusWaterMarkObject210" style="position:absolute;margin-left:402.372pt;margin-top:327.916pt;mso-position-vertical-relative:page;mso-position-horizontal-relative:page;width:7.55pt;height:7.9pt;z-index:-251554816;" o:allowincell="f" fillcolor="#212529" filled="true" stroked="false" type="#_x0000_t136">
          <v:textpath style="font-family:&quot;SimSun&quot;;font-size:7.5;v-text-kern:t;mso-text-shadow:auto" string="79"/>
        </v:shape>
      </w:pict>
    </w:r>
    <w:r>
      <w:pict>
        <v:shape id="PowerPlusWaterMarkObject212" style="position:absolute;margin-left:491.92pt;margin-top:44.1055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391.92pt;margin-top:288.105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491.92pt;margin-top:532.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391.92pt;margin-top:776.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_x0000_s220" style="position:absolute;margin-left:30pt;margin-top:29.5pt;mso-position-vertical-relative:page;mso-position-horizontal-relative:page;width:535pt;height:1pt;z-index:-2515496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22" style="position:absolute;margin-left:86.92pt;margin-top:27.7633pt;mso-position-vertical-relative:text;mso-position-horizontal-relative:text;width:119.4pt;height:18.85pt;z-index:-251536384;rotation:330;" fillcolor="#404040" filled="true" stroked="false" type="#_x0000_t136">
          <v:fill opacity="0.400000"/>
          <v:textpath style="font-family:&quot;SimSun&quot;;font-size:20;v-text-kern:t;mso-text-shadow:auto" string="仅供内部审核"/>
        </v:shape>
      </w:pict>
    </w:r>
    <w:r>
      <w:pict>
        <v:shape id="PowerPlusWaterMarkObject224" style="position:absolute;margin-left:490.334pt;margin-top:73.4279pt;mso-position-vertical-relative:page;mso-position-horizontal-relative:page;width:35.4pt;height:6.5pt;z-index:-251537408;" o:allowincell="f" fillcolor="#212529" filled="true" stroked="false" type="#_x0000_t136">
          <v:textpath style="font-family:&quot;SimSun&quot;;font-size:6;v-text-kern:t;mso-text-shadow:auto" string="预算公开表7"/>
        </v:shape>
      </w:pict>
    </w:r>
    <w:r>
      <w:pict>
        <v:shape id="PowerPlusWaterMarkObject226" style="position:absolute;margin-left:491.92pt;margin-top:44.1055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28" style="position:absolute;margin-left:-13.08pt;margin-top:288.105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391.92pt;margin-top:288.105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86.92pt;margin-top:532.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13.08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491.92pt;margin-top:532.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391.92pt;margin-top:776.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_x0000_s240" style="position:absolute;margin-left:30pt;margin-top:29.5pt;mso-position-vertical-relative:page;mso-position-horizontal-relative:page;width:535pt;height:1pt;z-index:-25153945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42" style="position:absolute;margin-left:86.92pt;margin-top:27.7633pt;mso-position-vertical-relative:text;mso-position-horizontal-relative:text;width:119.4pt;height:18.85pt;z-index:-251526144;rotation:330;" fillcolor="#404040" filled="true" stroked="false" type="#_x0000_t136">
          <v:fill opacity="0.400000"/>
          <v:textpath style="font-family:&quot;SimSun&quot;;font-size:20;v-text-kern:t;mso-text-shadow:auto" string="仅供内部审核"/>
        </v:shape>
      </w:pict>
    </w:r>
    <w:r>
      <w:pict>
        <v:shape id="PowerPlusWaterMarkObject244" style="position:absolute;margin-left:490.282pt;margin-top:73.4538pt;mso-position-vertical-relative:page;mso-position-horizontal-relative:page;width:35.45pt;height:6.5pt;z-index:-251527168;" o:allowincell="f" fillcolor="#212529" filled="true" stroked="false" type="#_x0000_t136">
          <v:textpath style="font-family:&quot;SimSun&quot;;font-size:6;v-text-kern:t;mso-text-shadow:auto" string="预算公开表8"/>
        </v:shape>
      </w:pict>
    </w:r>
    <w:r>
      <w:pict>
        <v:shape id="PowerPlusWaterMarkObject246" style="position:absolute;margin-left:491.92pt;margin-top:44.1055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13.08pt;margin-top:288.105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391.92pt;margin-top:288.105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86.92pt;margin-top:532.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13.08pt;margin-top:776.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491.92pt;margin-top:532.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391.92pt;margin-top:776.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_x0000_s260" style="position:absolute;margin-left:30pt;margin-top:29.5pt;mso-position-vertical-relative:page;mso-position-horizontal-relative:page;width:535pt;height:1pt;z-index:-2515292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62" style="position:absolute;margin-left:86.92pt;margin-top:27.7633pt;mso-position-vertical-relative:text;mso-position-horizontal-relative:text;width:119.4pt;height:18.85pt;z-index:-251515904;rotation:330;" fillcolor="#404040" filled="true" stroked="false" type="#_x0000_t136">
          <v:fill opacity="0.400000"/>
          <v:textpath style="font-family:&quot;SimSun&quot;;font-size:20;v-text-kern:t;mso-text-shadow:auto" string="仅供内部审核"/>
        </v:shape>
      </w:pict>
    </w:r>
    <w:r>
      <w:pict>
        <v:shape id="PowerPlusWaterMarkObject264" style="position:absolute;margin-left:490.36pt;margin-top:78.8596pt;mso-position-vertical-relative:page;mso-position-horizontal-relative:page;width:35.35pt;height:6.5pt;z-index:-251516928;" o:allowincell="f" fillcolor="#212529" filled="true" stroked="false" type="#_x0000_t136">
          <v:textpath style="font-family:&quot;SimSun&quot;;font-size:6;v-text-kern:t;mso-text-shadow:auto" string="部门公开表9"/>
        </v:shape>
      </w:pict>
    </w:r>
    <w:r>
      <w:pict>
        <v:shape id="PowerPlusWaterMarkObject266" style="position:absolute;margin-left:491.92pt;margin-top:44.1055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13.08pt;margin-top:288.105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391.92pt;margin-top:288.105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86.92pt;margin-top:532.106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13.08pt;margin-top:776.106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491.92pt;margin-top:532.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8" style="position:absolute;margin-left:391.92pt;margin-top:776.106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_x0000_s280" style="position:absolute;margin-left:30pt;margin-top:29.5pt;mso-position-vertical-relative:page;mso-position-horizontal-relative:page;width:535pt;height:1pt;z-index:-2515189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82" style="position:absolute;margin-left:86.92pt;margin-top:27.7633pt;mso-position-vertical-relative:text;mso-position-horizontal-relative:text;width:119.4pt;height:18.85pt;z-index:-251505664;rotation:330;" fillcolor="#404040" filled="true" stroked="false" type="#_x0000_t136">
          <v:fill opacity="0.400000"/>
          <v:textpath style="font-family:&quot;SimSun&quot;;font-size:20;v-text-kern:t;mso-text-shadow:auto" string="仅供内部审核"/>
        </v:shape>
      </w:pict>
    </w:r>
    <w:r>
      <w:pict>
        <v:shape id="PowerPlusWaterMarkObject284" style="position:absolute;margin-left:-13.08pt;margin-top:288.105pt;mso-position-vertical-relative:page;mso-position-horizontal-relative:page;width:119.4pt;height:18.85pt;z-index:-251509760;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86.92pt;margin-top:532.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13.08pt;margin-top:776.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487.09pt;margin-top:67.4816pt;mso-position-vertical-relative:page;mso-position-horizontal-relative:page;width:38.65pt;height:6.5pt;z-index:-251506688;" o:allowincell="f" fillcolor="#212529" filled="true" stroked="false" type="#_x0000_t136">
          <v:textpath style="font-family:&quot;SimSun&quot;;font-size:6;v-text-kern:t;mso-text-shadow:auto" string="预算公开表11"/>
        </v:shape>
      </w:pict>
    </w:r>
    <w:r>
      <w:pict>
        <v:shape id="PowerPlusWaterMarkObject292" style="position:absolute;margin-left:491.92pt;margin-top:44.1055pt;mso-position-vertical-relative:page;mso-position-horizontal-relative:page;width:119.4pt;height:18.85pt;z-index:-251507712;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391.92pt;margin-top:288.105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96" style="position:absolute;margin-left:491.92pt;margin-top:532.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98" style="position:absolute;margin-left:391.92pt;margin-top:776.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_x0000_s300" style="position:absolute;margin-left:30pt;margin-top:29.5pt;mso-position-vertical-relative:page;mso-position-horizontal-relative:page;width:535pt;height:1pt;z-index:-25150873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兴县高家村镇中心卫生院2025年单位预算公开报告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02" style="position:absolute;margin-left:86.92pt;margin-top:27.7633pt;mso-position-vertical-relative:text;mso-position-horizontal-relative:text;width:119.4pt;height:18.85pt;z-index:-251491328;rotation:330;" fillcolor="#404040" filled="true" stroked="false" type="#_x0000_t136">
          <v:fill opacity="0.400000"/>
          <v:textpath style="font-family:&quot;SimSun&quot;;font-size:20;v-text-kern:t;mso-text-shadow:auto" string="仅供内部审核"/>
        </v:shape>
      </w:pict>
    </w:r>
    <w:r>
      <w:pict>
        <v:shape id="PowerPlusWaterMarkObject304" style="position:absolute;margin-left:130.8pt;margin-top:233.316pt;mso-position-vertical-relative:page;mso-position-horizontal-relative:page;width:3.45pt;height:7.9pt;z-index:-251499520;" o:allowincell="f" fillcolor="#212529" filled="true" stroked="false" type="#_x0000_t136">
          <v:textpath style="font-family:&quot;SimSun&quot;;font-size:7.5;v-text-kern:t;mso-text-shadow:auto" string="]"/>
        </v:shape>
      </w:pict>
    </w:r>
    <w:r>
      <w:pict>
        <v:shape id="PowerPlusWaterMarkObject306" style="position:absolute;margin-left:79.0842pt;margin-top:263.047pt;mso-position-vertical-relative:page;mso-position-horizontal-relative:page;width:22.65pt;height:7.9pt;z-index:-251503616;" o:allowincell="f" fillcolor="#212529" filled="true" stroked="false" type="#_x0000_t136">
          <v:textpath style="font-family:&quot;SimSun&quot;;font-size:7.5;v-text-kern:t;mso-text-shadow:auto" string="吕财社"/>
        </v:shape>
      </w:pict>
    </w:r>
    <w:r>
      <w:pict>
        <v:shape id="PowerPlusWaterMarkObject308" style="position:absolute;margin-left:70.0167pt;margin-top:272.237pt;mso-position-vertical-relative:page;mso-position-horizontal-relative:page;width:31.7pt;height:7.9pt;z-index:-251502592;" o:allowincell="f" fillcolor="#212529" filled="true" stroked="false" type="#_x0000_t136">
          <v:textpath style="font-family:&quot;SimSun&quot;;font-size:7.5;v-text-kern:t;mso-text-shadow:auto" string="生岗位津"/>
        </v:shape>
      </w:pict>
    </w:r>
    <w:r>
      <w:pict>
        <v:shape id="PowerPlusWaterMarkObject310" style="position:absolute;margin-left:79.0842pt;margin-top:282.508pt;mso-position-vertical-relative:page;mso-position-horizontal-relative:page;width:6.45pt;height:7.9pt;z-index:-251501568;" o:allowincell="f" fillcolor="#212529" filled="true" stroked="false" type="#_x0000_t136">
          <v:textpath style="font-family:&quot;SimSun&quot;;font-size:7.5;v-text-kern:t;mso-text-shadow:auto" string="吕"/>
        </v:shape>
      </w:pict>
    </w:r>
    <w:r>
      <w:pict>
        <v:shape id="PowerPlusWaterMarkObject312" style="position:absolute;margin-left:-13.08pt;margin-top:288.105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86.92pt;margin-top:532.106pt;mso-position-vertical-relative:page;mso-position-horizontal-relative:page;width:119.4pt;height:18.85pt;z-index:-251497472;rotation:330;" o:allowincell="f" fillcolor="#404040" filled="true" stroked="false" type="#_x0000_t136">
          <v:fill opacity="0.400000"/>
          <v:textpath style="font-family:&quot;SimSun&quot;;font-size:20;v-text-kern:t;mso-text-shadow:auto" string="仅供内部审核"/>
        </v:shape>
      </w:pict>
    </w:r>
    <w:r>
      <w:pict>
        <v:shape id="PowerPlusWaterMarkObject316" style="position:absolute;margin-left:-13.08pt;margin-top:776.106pt;mso-position-vertical-relative:page;mso-position-horizontal-relative:page;width:119.4pt;height:18.85pt;z-index:-251495424;rotation:330;" o:allowincell="f" fillcolor="#404040" filled="true" stroked="false" type="#_x0000_t136">
          <v:fill opacity="0.400000"/>
          <v:textpath style="font-family:&quot;SimSun&quot;;font-size:20;v-text-kern:t;mso-text-shadow:auto" string="仅供内部审核"/>
        </v:shape>
      </w:pict>
    </w:r>
    <w:r>
      <w:pict>
        <v:shape id="PowerPlusWaterMarkObject318" style="position:absolute;margin-left:487.09pt;margin-top:73.4279pt;mso-position-vertical-relative:page;mso-position-horizontal-relative:page;width:38.65pt;height:6.5pt;z-index:-251492352;" o:allowincell="f" fillcolor="#212529" filled="true" stroked="false" type="#_x0000_t136">
          <v:textpath style="font-family:&quot;SimSun&quot;;font-size:6;v-text-kern:t;mso-text-shadow:auto" string="预算公开表12"/>
        </v:shape>
      </w:pict>
    </w:r>
    <w:r>
      <w:pict>
        <v:shape id="PowerPlusWaterMarkObject320" style="position:absolute;margin-left:491.92pt;margin-top:44.1055pt;mso-position-vertical-relative:page;mso-position-horizontal-relative:page;width:119.4pt;height:18.85pt;z-index:-251493376;rotation:330;" o:allowincell="f" fillcolor="#404040" filled="true" stroked="false" type="#_x0000_t136">
          <v:fill opacity="0.400000"/>
          <v:textpath style="font-family:&quot;SimSun&quot;;font-size:20;v-text-kern:t;mso-text-shadow:auto" string="仅供内部审核"/>
        </v:shape>
      </w:pict>
    </w:r>
    <w:r>
      <w:pict>
        <v:shape id="PowerPlusWaterMarkObject322" style="position:absolute;margin-left:391.92pt;margin-top:288.105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324" style="position:absolute;margin-left:491.92pt;margin-top:532.106pt;mso-position-vertical-relative:page;mso-position-horizontal-relative:page;width:119.4pt;height:18.85pt;z-index:-251498496;rotation:330;" o:allowincell="f" fillcolor="#404040" filled="true" stroked="false" type="#_x0000_t136">
          <v:fill opacity="0.400000"/>
          <v:textpath style="font-family:&quot;SimSun&quot;;font-size:20;v-text-kern:t;mso-text-shadow:auto" string="仅供内部审核"/>
        </v:shape>
      </w:pict>
    </w:r>
    <w:r>
      <w:pict>
        <v:shape id="PowerPlusWaterMarkObject326" style="position:absolute;margin-left:391.92pt;margin-top:776.106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pict>
        <v:shape id="_x0000_s328" style="position:absolute;margin-left:30pt;margin-top:29.5pt;mso-position-vertical-relative:page;mso-position-horizontal-relative:page;width:535pt;height:1pt;z-index:-2514944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兴县高家村镇中心卫生院2025年单位预算公开报告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30" style="position:absolute;margin-left:86.92pt;margin-top:27.7633pt;mso-position-vertical-relative:text;mso-position-horizontal-relative:text;width:119.4pt;height:18.85pt;z-index:-251481088;rotation:330;" fillcolor="#404040" filled="true" stroked="false" type="#_x0000_t136">
          <v:fill opacity="0.400000"/>
          <v:textpath style="font-family:&quot;SimSun&quot;;font-size:20;v-text-kern:t;mso-text-shadow:auto" string="仅供内部审核"/>
        </v:shape>
      </w:pict>
    </w:r>
    <w:r>
      <w:pict>
        <v:shape id="PowerPlusWaterMarkObject332" style="position:absolute;margin-left:-13.08pt;margin-top:288.105pt;mso-position-vertical-relative:page;mso-position-horizontal-relative:page;width:119.4pt;height:18.85pt;z-index:-251485184;rotation:330;" o:allowincell="f" fillcolor="#404040" filled="true" stroked="false" type="#_x0000_t136">
          <v:fill opacity="0.400000"/>
          <v:textpath style="font-family:&quot;SimSun&quot;;font-size:20;v-text-kern:t;mso-text-shadow:auto" string="仅供内部审核"/>
        </v:shape>
      </w:pict>
    </w:r>
    <w:r>
      <w:pict>
        <v:shape id="PowerPlusWaterMarkObject334" style="position:absolute;margin-left:86.92pt;margin-top:532.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PowerPlusWaterMarkObject336" style="position:absolute;margin-left:-13.08pt;margin-top:776.106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PowerPlusWaterMarkObject338" style="position:absolute;margin-left:487.09pt;margin-top:73.4279pt;mso-position-vertical-relative:page;mso-position-horizontal-relative:page;width:38.65pt;height:6.5pt;z-index:-251482112;" o:allowincell="f" fillcolor="#212529" filled="true" stroked="false" type="#_x0000_t136">
          <v:textpath style="font-family:&quot;SimSun&quot;;font-size:6;v-text-kern:t;mso-text-shadow:auto" string="预算公开表13"/>
        </v:shape>
      </w:pict>
    </w:r>
    <w:r>
      <w:pict>
        <v:shape id="PowerPlusWaterMarkObject340" style="position:absolute;margin-left:491.92pt;margin-top:44.1055pt;mso-position-vertical-relative:page;mso-position-horizontal-relative:page;width:119.4pt;height:18.85pt;z-index:-251483136;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391.92pt;margin-top:288.105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pict>
        <v:shape id="PowerPlusWaterMarkObject344" style="position:absolute;margin-left:491.92pt;margin-top:532.106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346" style="position:absolute;margin-left:391.92pt;margin-top:776.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_x0000_s348" style="position:absolute;margin-left:30pt;margin-top:29.5pt;mso-position-vertical-relative:page;mso-position-horizontal-relative:page;width:535pt;height:1pt;z-index:-25148416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兴县高家村镇中心卫生院2025年单位预算公开报告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50" style="position:absolute;margin-left:86.92pt;margin-top:27.7633pt;mso-position-vertical-relative:text;mso-position-horizontal-relative:text;width:119.4pt;height:18.85pt;z-index:-251464704;rotation:330;" fillcolor="#404040" filled="true" stroked="false" type="#_x0000_t136">
          <v:fill opacity="0.400000"/>
          <v:textpath style="font-family:&quot;SimSun&quot;;font-size:20;v-text-kern:t;mso-text-shadow:auto" string="仅供内部审核"/>
        </v:shape>
      </w:pict>
    </w:r>
    <w:r>
      <w:pict>
        <v:shape id="PowerPlusWaterMarkObject352" style="position:absolute;margin-left:491.92pt;margin-top:44.1055pt;mso-position-vertical-relative:page;mso-position-horizontal-relative:page;width:119.4pt;height:18.85pt;z-index:-251465728;rotation:330;" o:allowincell="f" fillcolor="#404040" filled="true" stroked="false" type="#_x0000_t136">
          <v:fill opacity="0.400000"/>
          <v:textpath style="font-family:&quot;SimSun&quot;;font-size:20;v-text-kern:t;mso-text-shadow:auto" string="仅供内部审核"/>
        </v:shape>
      </w:pict>
    </w:r>
    <w:r>
      <w:pict>
        <v:shape id="PowerPlusWaterMarkObject354" style="position:absolute;margin-left:86.5253pt;margin-top:258.837pt;mso-position-vertical-relative:page;mso-position-horizontal-relative:page;width:17.1pt;height:11.8pt;z-index:-251475968;" o:allowincell="f" fillcolor="#000000" filled="true" stroked="false" type="#_x0000_t136">
          <v:textpath style="font-family:&quot;FangSong&quot;;font-size:11.5;v-text-kern:t;mso-text-shadow:auto" string="0万"/>
        </v:shape>
      </w:pict>
    </w:r>
    <w:r>
      <w:pict>
        <v:shape id="PowerPlusWaterMarkObject356" style="position:absolute;margin-left:63.2877pt;margin-top:278.838pt;mso-position-vertical-relative:page;mso-position-horizontal-relative:page;width:22.25pt;height:11.8pt;z-index:-251476992;" o:allowincell="f" fillcolor="#000000" filled="true" stroked="false" type="#_x0000_t136">
          <v:textpath style="font-family:&quot;FangSong&quot;;font-size:11.5;v-text-kern:t;mso-text-shadow:auto" string="万元"/>
        </v:shape>
      </w:pict>
    </w:r>
    <w:r>
      <w:pict>
        <v:shape id="PowerPlusWaterMarkObject358" style="position:absolute;margin-left:-13.08pt;margin-top:288.105pt;mso-position-vertical-relative:page;mso-position-horizontal-relative:page;width:119.4pt;height:18.85pt;z-index:-251478016;rotation:330;" o:allowincell="f" fillcolor="#404040" filled="true" stroked="false" type="#_x0000_t136">
          <v:fill opacity="0.400000"/>
          <v:textpath style="font-family:&quot;SimSun&quot;;font-size:20;v-text-kern:t;mso-text-shadow:auto" string="仅供内部审核"/>
        </v:shape>
      </w:pict>
    </w:r>
    <w:r>
      <w:pict>
        <v:shape id="PowerPlusWaterMarkObject360" style="position:absolute;margin-left:481.707pt;margin-top:258.837pt;mso-position-vertical-relative:page;mso-position-horizontal-relative:page;width:22.5pt;height:11.8pt;z-index:-251479040;" o:allowincell="f" fillcolor="#000000" filled="true" stroked="false" type="#_x0000_t136">
          <v:textpath style="font-family:&quot;FangSong&quot;;font-size:11.5;v-text-kern:t;mso-text-shadow:auto" string="上年"/>
        </v:shape>
      </w:pict>
    </w:r>
    <w:r>
      <w:pict>
        <v:shape id="PowerPlusWaterMarkObject362" style="position:absolute;margin-left:391.92pt;margin-top:288.105pt;mso-position-vertical-relative:page;mso-position-horizontal-relative:page;width:119.4pt;height:18.85pt;z-index:-251480064;rotation:330;" o:allowincell="f" fillcolor="#404040" filled="true" stroked="false" type="#_x0000_t136">
          <v:fill opacity="0.400000"/>
          <v:textpath style="font-family:&quot;SimSun&quot;;font-size:20;v-text-kern:t;mso-text-shadow:auto" string="仅供内部审核"/>
        </v:shape>
      </w:pict>
    </w:r>
    <w:r>
      <w:pict>
        <v:shape id="PowerPlusWaterMarkObject364" style="position:absolute;margin-left:157.394pt;margin-top:513.988pt;mso-position-vertical-relative:page;mso-position-horizontal-relative:page;width:45.95pt;height:11.8pt;z-index:-251473920;" o:allowincell="f" fillcolor="#000000" filled="true" stroked="false" type="#_x0000_t136">
          <v:textpath style="font-family:&quot;FangSong&quot;;font-size:11.5;v-text-kern:t;mso-text-shadow:auto" string="高家村镇"/>
        </v:shape>
      </w:pict>
    </w:r>
    <w:r>
      <w:pict>
        <v:shape id="PowerPlusWaterMarkObject366" style="position:absolute;margin-left:134.402pt;margin-top:533.99pt;mso-position-vertical-relative:page;mso-position-horizontal-relative:page;width:43.35pt;height:11.8pt;z-index:-251472896;" o:allowincell="f" fillcolor="#000000" filled="true" stroked="false" type="#_x0000_t136">
          <v:textpath style="font-family:&quot;FangSong&quot;;font-size:11.5;v-text-kern:t;mso-text-shadow:auto" string="目支出10"/>
        </v:shape>
      </w:pict>
    </w:r>
    <w:r>
      <w:pict>
        <v:shape id="PowerPlusWaterMarkObject368" style="position:absolute;margin-left:86.92pt;margin-top:532.106pt;mso-position-vertical-relative:page;mso-position-horizontal-relative:page;width:119.4pt;height:18.85pt;z-index:-251474944;rotation:330;" o:allowincell="f" fillcolor="#404040" filled="true" stroked="false" type="#_x0000_t136">
          <v:fill opacity="0.400000"/>
          <v:textpath style="font-family:&quot;SimSun&quot;;font-size:20;v-text-kern:t;mso-text-shadow:auto" string="仅供内部审核"/>
        </v:shape>
      </w:pict>
    </w:r>
    <w:r>
      <w:pict>
        <v:shape id="PowerPlusWaterMarkObject370" style="position:absolute;margin-left:491.92pt;margin-top:532.106pt;mso-position-vertical-relative:page;mso-position-horizontal-relative:page;width:119.4pt;height:18.85pt;z-index:-251471872;rotation:330;" o:allowincell="f" fillcolor="#404040" filled="true" stroked="false" type="#_x0000_t136">
          <v:fill opacity="0.400000"/>
          <v:textpath style="font-family:&quot;SimSun&quot;;font-size:20;v-text-kern:t;mso-text-shadow:auto" string="仅供内部审核"/>
        </v:shape>
      </w:pict>
    </w:r>
    <w:r>
      <w:pict>
        <v:shape id="PowerPlusWaterMarkObject372" style="position:absolute;margin-left:86.0353pt;margin-top:756.166pt;mso-position-vertical-relative:page;mso-position-horizontal-relative:page;width:423.8pt;height:11.8pt;z-index:-251467776;" o:allowincell="f" fillcolor="#000000" filled="true" stroked="false" type="#_x0000_t136">
          <v:textpath style="font-family:&quot;FangSong&quot;;font-size:11.5;v-text-kern:t;mso-text-shadow:auto" string="2025                                                               用于以"/>
        </v:shape>
      </w:pict>
    </w:r>
    <w:r>
      <w:pict>
        <v:shape id="PowerPlusWaterMarkObject374" style="position:absolute;margin-left:63.4261pt;margin-top:776.167pt;mso-position-vertical-relative:page;mso-position-horizontal-relative:page;width:412.1pt;height:11.8pt;z-index:-251468800;" o:allowincell="f" fillcolor="#000000" filled="true" stroked="false" type="#_x0000_t136">
          <v:textpath style="font-family:&quot;FangSong&quot;;font-size:11.5;v-text-kern:t;mso-text-shadow:auto" string="面                                                             元  占89"/>
        </v:shape>
      </w:pict>
    </w:r>
    <w:r>
      <w:pict>
        <v:shape id="PowerPlusWaterMarkObject376" style="position:absolute;margin-left:-13.08pt;margin-top:776.106pt;mso-position-vertical-relative:page;mso-position-horizontal-relative:page;width:119.4pt;height:18.85pt;z-index:-251469824;rotation:330;" o:allowincell="f" fillcolor="#404040" filled="true" stroked="false" type="#_x0000_t136">
          <v:fill opacity="0.400000"/>
          <v:textpath style="font-family:&quot;SimSun&quot;;font-size:20;v-text-kern:t;mso-text-shadow:auto" string="仅供内部审核"/>
        </v:shape>
      </w:pict>
    </w:r>
    <w:r>
      <w:pict>
        <v:shape id="PowerPlusWaterMarkObject378" style="position:absolute;margin-left:391.92pt;margin-top:776.106pt;mso-position-vertical-relative:page;mso-position-horizontal-relative:page;width:119.4pt;height:18.85pt;z-index:-251470848;rotation:330;" o:allowincell="f" fillcolor="#404040" filled="true" stroked="false" type="#_x0000_t136">
          <v:fill opacity="0.400000"/>
          <v:textpath style="font-family:&quot;SimSun&quot;;font-size:20;v-text-kern:t;mso-text-shadow:auto" string="仅供内部审核"/>
        </v:shape>
      </w:pict>
    </w:r>
    <w:r>
      <w:pict>
        <v:shape id="_x0000_s380" style="position:absolute;margin-left:30pt;margin-top:29.5pt;mso-position-vertical-relative:page;mso-position-horizontal-relative:page;width:535pt;height:1pt;z-index:-25146675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兴县高家村镇中心卫生院2025年单位预算公开报告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82" style="position:absolute;margin-left:86.92pt;margin-top:27.7633pt;mso-position-vertical-relative:text;mso-position-horizontal-relative:text;width:119.4pt;height:18.85pt;z-index:-251447296;rotation:330;" fillcolor="#404040" filled="true" stroked="false" type="#_x0000_t136">
          <v:fill opacity="0.400000"/>
          <v:textpath style="font-family:&quot;SimSun&quot;;font-size:20;v-text-kern:t;mso-text-shadow:auto" string="仅供内部审核"/>
        </v:shape>
      </w:pict>
    </w:r>
    <w:r>
      <w:pict>
        <v:shape id="PowerPlusWaterMarkObject384" style="position:absolute;margin-left:491.92pt;margin-top:44.1055pt;mso-position-vertical-relative:page;mso-position-horizontal-relative:page;width:119.4pt;height:18.85pt;z-index:-251448320;rotation:330;" o:allowincell="f" fillcolor="#404040" filled="true" stroked="false" type="#_x0000_t136">
          <v:fill opacity="0.400000"/>
          <v:textpath style="font-family:&quot;SimSun&quot;;font-size:20;v-text-kern:t;mso-text-shadow:auto" string="仅供内部审核"/>
        </v:shape>
      </w:pict>
    </w:r>
    <w:r>
      <w:pict>
        <v:shape id="PowerPlusWaterMarkObject386" style="position:absolute;margin-left:86.4389pt;margin-top:266.946pt;mso-position-vertical-relative:page;mso-position-horizontal-relative:page;width:10.6pt;height:11.8pt;z-index:-251459584;" o:allowincell="f" fillcolor="#000000" filled="true" stroked="false" type="#_x0000_t136">
          <v:textpath style="font-family:&quot;FangSong&quot;;font-size:11.5;v-text-kern:t;mso-text-shadow:auto" string="人"/>
        </v:shape>
      </w:pict>
    </w:r>
    <w:r>
      <w:pict>
        <v:shape id="PowerPlusWaterMarkObject388" style="position:absolute;margin-left:63.1955pt;margin-top:286.947pt;mso-position-vertical-relative:page;mso-position-horizontal-relative:page;width:22.9pt;height:11.8pt;z-index:-251458560;" o:allowincell="f" fillcolor="#000000" filled="true" stroked="false" type="#_x0000_t136">
          <v:textpath style="font-family:&quot;FangSong&quot;;font-size:11.5;v-text-kern:t;mso-text-shadow:auto" string="基本"/>
        </v:shape>
      </w:pict>
    </w:r>
    <w:r>
      <w:pict>
        <v:shape id="PowerPlusWaterMarkObject390" style="position:absolute;margin-left:-13.08pt;margin-top:288.105pt;mso-position-vertical-relative:page;mso-position-horizontal-relative:page;width:119.4pt;height:18.85pt;z-index:-251460608;rotation:330;" o:allowincell="f" fillcolor="#404040" filled="true" stroked="false" type="#_x0000_t136">
          <v:fill opacity="0.400000"/>
          <v:textpath style="font-family:&quot;SimSun&quot;;font-size:20;v-text-kern:t;mso-text-shadow:auto" string="仅供内部审核"/>
        </v:shape>
      </w:pict>
    </w:r>
    <w:r>
      <w:pict>
        <v:shape id="PowerPlusWaterMarkObject392" style="position:absolute;margin-left:475.974pt;margin-top:266.946pt;mso-position-vertical-relative:page;mso-position-horizontal-relative:page;width:34.25pt;height:11.8pt;z-index:-251462656;" o:allowincell="f" fillcolor="#000000" filled="true" stroked="false" type="#_x0000_t136">
          <v:textpath style="font-family:&quot;FangSong&quot;;font-size:11.5;v-text-kern:t;mso-text-shadow:auto" string="绩效工"/>
        </v:shape>
      </w:pict>
    </w:r>
    <w:r>
      <w:pict>
        <v:shape id="PowerPlusWaterMarkObject394" style="position:absolute;margin-left:438.637pt;margin-top:286.947pt;mso-position-vertical-relative:page;mso-position-horizontal-relative:page;width:46.8pt;height:11.8pt;z-index:-251461632;" o:allowincell="f" fillcolor="#000000" filled="true" stroked="false" type="#_x0000_t136">
          <v:textpath style="font-family:&quot;FangSong&quot;;font-size:11.5;v-text-kern:t;mso-text-shadow:auto" string="工基本医"/>
        </v:shape>
      </w:pict>
    </w:r>
    <w:r>
      <w:pict>
        <v:shape id="PowerPlusWaterMarkObject396" style="position:absolute;margin-left:391.92pt;margin-top:288.105pt;mso-position-vertical-relative:page;mso-position-horizontal-relative:page;width:119.4pt;height:18.85pt;z-index:-251463680;rotation:330;" o:allowincell="f" fillcolor="#404040" filled="true" stroked="false" type="#_x0000_t136">
          <v:fill opacity="0.400000"/>
          <v:textpath style="font-family:&quot;SimSun&quot;;font-size:20;v-text-kern:t;mso-text-shadow:auto" string="仅供内部审核"/>
        </v:shape>
      </w:pict>
    </w:r>
    <w:r>
      <w:pict>
        <v:shape id="PowerPlusWaterMarkObject398" style="position:absolute;margin-left:151.696pt;margin-top:509.123pt;mso-position-vertical-relative:page;mso-position-horizontal-relative:page;width:20.3pt;height:11.8pt;z-index:-251456512;" o:allowincell="f" fillcolor="#000000" filled="true" stroked="false" type="#_x0000_t136">
          <v:textpath style="font-family:&quot;FangSong&quot;;font-size:11.5;v-text-kern:t;mso-text-shadow:auto" string="目标"/>
        </v:shape>
      </w:pict>
    </w:r>
    <w:r>
      <w:pict>
        <v:shape id="PowerPlusWaterMarkObject400" style="position:absolute;margin-left:132.418pt;margin-top:529.125pt;mso-position-vertical-relative:page;mso-position-horizontal-relative:page;width:45.35pt;height:11.8pt;z-index:-251453440;" o:allowincell="f" fillcolor="#000000" filled="true" stroked="false" type="#_x0000_t136">
          <v:textpath style="font-family:&quot;FangSong&quot;;font-size:11.5;v-text-kern:t;mso-text-shadow:auto" string="位整体绩"/>
        </v:shape>
      </w:pict>
    </w:r>
    <w:r>
      <w:pict>
        <v:shape id="PowerPlusWaterMarkObject402" style="position:absolute;margin-left:103.595pt;margin-top:549.126pt;mso-position-vertical-relative:page;mso-position-horizontal-relative:page;width:45.35pt;height:11.8pt;z-index:-251455488;" o:allowincell="f" fillcolor="#000000" filled="true" stroked="false" type="#_x0000_t136">
          <v:textpath style="font-family:&quot;FangSong&quot;;font-size:11.5;v-text-kern:t;mso-text-shadow:auto" string="项目绩效"/>
        </v:shape>
      </w:pict>
    </w:r>
    <w:r>
      <w:pict>
        <v:shape id="PowerPlusWaterMarkObject404" style="position:absolute;margin-left:97.5647pt;margin-top:569.668pt;mso-position-vertical-relative:page;mso-position-horizontal-relative:page;width:11pt;height:11.8pt;z-index:-251454464;" o:allowincell="f" fillcolor="#000000" filled="true" stroked="false" type="#_x0000_t136">
          <v:textpath style="font-family:&quot;FangSong&quot;;font-size:11.5;v-text-kern:t;mso-text-shadow:auto" string="25"/>
        </v:shape>
      </w:pict>
    </w:r>
    <w:r>
      <w:pict>
        <v:shape id="PowerPlusWaterMarkObject406" style="position:absolute;margin-left:86.92pt;margin-top:532.106pt;mso-position-vertical-relative:page;mso-position-horizontal-relative:page;width:119.4pt;height:18.85pt;z-index:-251457536;rotation:330;" o:allowincell="f" fillcolor="#404040" filled="true" stroked="false" type="#_x0000_t136">
          <v:fill opacity="0.400000"/>
          <v:textpath style="font-family:&quot;SimSun&quot;;font-size:20;v-text-kern:t;mso-text-shadow:auto" string="仅供内部审核"/>
        </v:shape>
      </w:pict>
    </w:r>
    <w:r>
      <w:pict>
        <v:shape id="PowerPlusWaterMarkObject408" style="position:absolute;margin-left:491.92pt;margin-top:532.106pt;mso-position-vertical-relative:page;mso-position-horizontal-relative:page;width:119.4pt;height:18.85pt;z-index:-251452416;rotation:330;" o:allowincell="f" fillcolor="#404040" filled="true" stroked="false" type="#_x0000_t136">
          <v:fill opacity="0.400000"/>
          <v:textpath style="font-family:&quot;SimSun&quot;;font-size:20;v-text-kern:t;mso-text-shadow:auto" string="仅供内部审核"/>
        </v:shape>
      </w:pict>
    </w:r>
    <w:r>
      <w:pict>
        <v:shape id="PowerPlusWaterMarkObject410" style="position:absolute;margin-left:-13.08pt;margin-top:776.106pt;mso-position-vertical-relative:page;mso-position-horizontal-relative:page;width:119.4pt;height:18.85pt;z-index:-251450368;rotation:330;" o:allowincell="f" fillcolor="#404040" filled="true" stroked="false" type="#_x0000_t136">
          <v:fill opacity="0.400000"/>
          <v:textpath style="font-family:&quot;SimSun&quot;;font-size:20;v-text-kern:t;mso-text-shadow:auto" string="仅供内部审核"/>
        </v:shape>
      </w:pict>
    </w:r>
    <w:r>
      <w:pict>
        <v:shape id="PowerPlusWaterMarkObject412" style="position:absolute;margin-left:391.92pt;margin-top:776.106pt;mso-position-vertical-relative:page;mso-position-horizontal-relative:page;width:119.4pt;height:18.85pt;z-index:-251451392;rotation:330;" o:allowincell="f" fillcolor="#404040" filled="true" stroked="false" type="#_x0000_t136">
          <v:fill opacity="0.400000"/>
          <v:textpath style="font-family:&quot;SimSun&quot;;font-size:20;v-text-kern:t;mso-text-shadow:auto" string="仅供内部审核"/>
        </v:shape>
      </w:pict>
    </w:r>
    <w:r>
      <w:pict>
        <v:shape id="_x0000_s414" style="position:absolute;margin-left:30pt;margin-top:29.5pt;mso-position-vertical-relative:page;mso-position-horizontal-relative:page;width:535pt;height:1pt;z-index:-25144934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16" style="position:absolute;margin-left:86.92pt;margin-top:27.7633pt;mso-position-vertical-relative:text;mso-position-horizontal-relative:text;width:119.4pt;height:18.85pt;z-index:-251440128;rotation:330;" fillcolor="#404040" filled="true" stroked="false" type="#_x0000_t136">
          <v:fill opacity="0.400000"/>
          <v:textpath style="font-family:&quot;SimSun&quot;;font-size:20;v-text-kern:t;mso-text-shadow:auto" string="仅供内部审核"/>
        </v:shape>
      </w:pict>
    </w:r>
    <w:r>
      <w:pict>
        <v:shape id="PowerPlusWaterMarkObject418" style="position:absolute;margin-left:-13.08pt;margin-top:288.105pt;mso-position-vertical-relative:page;mso-position-horizontal-relative:page;width:119.4pt;height:18.85pt;z-index:-251443200;rotation:330;" o:allowincell="f" fillcolor="#404040" filled="true" stroked="false" type="#_x0000_t136">
          <v:fill opacity="0.400000"/>
          <v:textpath style="font-family:&quot;SimSun&quot;;font-size:20;v-text-kern:t;mso-text-shadow:auto" string="仅供内部审核"/>
        </v:shape>
      </w:pict>
    </w:r>
    <w:r>
      <w:pict>
        <v:shape id="PowerPlusWaterMarkObject420" style="position:absolute;margin-left:491.92pt;margin-top:44.1055pt;mso-position-vertical-relative:page;mso-position-horizontal-relative:page;width:119.4pt;height:18.85pt;z-index:-251441152;rotation:330;" o:allowincell="f" fillcolor="#404040" filled="true" stroked="false" type="#_x0000_t136">
          <v:fill opacity="0.400000"/>
          <v:textpath style="font-family:&quot;SimSun&quot;;font-size:20;v-text-kern:t;mso-text-shadow:auto" string="仅供内部审核"/>
        </v:shape>
      </w:pict>
    </w:r>
    <w:r>
      <w:pict>
        <v:shape id="PowerPlusWaterMarkObject422" style="position:absolute;margin-left:-13.08pt;margin-top:776.106pt;mso-position-vertical-relative:page;mso-position-horizontal-relative:page;width:119.4pt;height:18.85pt;z-index:-251444224;rotation:330;" o:allowincell="f" fillcolor="#404040" filled="true" stroked="false" type="#_x0000_t136">
          <v:fill opacity="0.400000"/>
          <v:textpath style="font-family:&quot;SimSun&quot;;font-size:20;v-text-kern:t;mso-text-shadow:auto" string="仅供内部审核"/>
        </v:shape>
      </w:pict>
    </w:r>
    <w:r>
      <w:pict>
        <v:shape id="PowerPlusWaterMarkObject424" style="position:absolute;margin-left:491.92pt;margin-top:532.106pt;mso-position-vertical-relative:page;mso-position-horizontal-relative:page;width:119.4pt;height:18.85pt;z-index:-251446272;rotation:330;" o:allowincell="f" fillcolor="#404040" filled="true" stroked="false" type="#_x0000_t136">
          <v:fill opacity="0.400000"/>
          <v:textpath style="font-family:&quot;SimSun&quot;;font-size:20;v-text-kern:t;mso-text-shadow:auto" string="仅供内部审核"/>
        </v:shape>
      </w:pict>
    </w:r>
    <w:r>
      <w:pict>
        <v:shape id="PowerPlusWaterMarkObject426" style="position:absolute;margin-left:391.92pt;margin-top:776.106pt;mso-position-vertical-relative:page;mso-position-horizontal-relative:page;width:119.4pt;height:18.85pt;z-index:-251445248;rotation:330;" o:allowincell="f" fillcolor="#404040" filled="true" stroked="false" type="#_x0000_t136">
          <v:fill opacity="0.400000"/>
          <v:textpath style="font-family:&quot;SimSun&quot;;font-size:20;v-text-kern:t;mso-text-shadow:auto" string="仅供内部审核"/>
        </v:shape>
      </w:pict>
    </w:r>
    <w:r>
      <w:pict>
        <v:shape id="_x0000_s428" style="position:absolute;margin-left:30pt;margin-top:29.5pt;mso-position-vertical-relative:page;mso-position-horizontal-relative:page;width:535pt;height:1pt;z-index:-2514421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兴县高家村镇中心卫生院2025年单位预算公开报告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62" style="position:absolute;margin-left:86.92pt;margin-top:27.7633pt;mso-position-vertical-relative:text;mso-position-horizontal-relative:text;width:119.4pt;height:18.85pt;z-index:-251431936;rotation:330;" fillcolor="#404040" filled="true" stroked="false" type="#_x0000_t136">
          <v:fill opacity="0.400000"/>
          <v:textpath style="font-family:&quot;SimSun&quot;;font-size:20;v-text-kern:t;mso-text-shadow:auto" string="仅供内部审核"/>
        </v:shape>
      </w:pict>
    </w:r>
    <w:r>
      <w:pict>
        <v:shape id="PowerPlusWaterMarkObject464" style="position:absolute;margin-left:-13.08pt;margin-top:288.105pt;mso-position-vertical-relative:page;mso-position-horizontal-relative:page;width:119.4pt;height:18.85pt;z-index:-251435008;rotation:330;" o:allowincell="f" fillcolor="#404040" filled="true" stroked="false" type="#_x0000_t136">
          <v:fill opacity="0.400000"/>
          <v:textpath style="font-family:&quot;SimSun&quot;;font-size:20;v-text-kern:t;mso-text-shadow:auto" string="仅供内部审核"/>
        </v:shape>
      </w:pict>
    </w:r>
    <w:r>
      <w:pict>
        <v:shape id="PowerPlusWaterMarkObject466" style="position:absolute;margin-left:491.92pt;margin-top:44.1055pt;mso-position-vertical-relative:page;mso-position-horizontal-relative:page;width:119.4pt;height:18.85pt;z-index:-251432960;rotation:330;" o:allowincell="f" fillcolor="#404040" filled="true" stroked="false" type="#_x0000_t136">
          <v:fill opacity="0.400000"/>
          <v:textpath style="font-family:&quot;SimSun&quot;;font-size:20;v-text-kern:t;mso-text-shadow:auto" string="仅供内部审核"/>
        </v:shape>
      </w:pict>
    </w:r>
    <w:r>
      <w:pict>
        <v:shape id="PowerPlusWaterMarkObject468" style="position:absolute;margin-left:86.92pt;margin-top:532.106pt;mso-position-vertical-relative:page;mso-position-horizontal-relative:page;width:119.4pt;height:18.85pt;z-index:-251438080;rotation:330;" o:allowincell="f" fillcolor="#404040" filled="true" stroked="false" type="#_x0000_t136">
          <v:fill opacity="0.400000"/>
          <v:textpath style="font-family:&quot;SimSun&quot;;font-size:20;v-text-kern:t;mso-text-shadow:auto" string="仅供内部审核"/>
        </v:shape>
      </w:pict>
    </w:r>
    <w:r>
      <w:pict>
        <v:shape id="PowerPlusWaterMarkObject470" style="position:absolute;margin-left:-13.08pt;margin-top:776.106pt;mso-position-vertical-relative:page;mso-position-horizontal-relative:page;width:119.4pt;height:18.85pt;z-index:-251436032;rotation:330;" o:allowincell="f" fillcolor="#404040" filled="true" stroked="false" type="#_x0000_t136">
          <v:fill opacity="0.400000"/>
          <v:textpath style="font-family:&quot;SimSun&quot;;font-size:20;v-text-kern:t;mso-text-shadow:auto" string="仅供内部审核"/>
        </v:shape>
      </w:pict>
    </w:r>
    <w:r>
      <w:pict>
        <v:shape id="PowerPlusWaterMarkObject472" style="position:absolute;margin-left:491.92pt;margin-top:532.106pt;mso-position-vertical-relative:page;mso-position-horizontal-relative:page;width:119.4pt;height:18.85pt;z-index:-251439104;rotation:330;" o:allowincell="f" fillcolor="#404040" filled="true" stroked="false" type="#_x0000_t136">
          <v:fill opacity="0.400000"/>
          <v:textpath style="font-family:&quot;SimSun&quot;;font-size:20;v-text-kern:t;mso-text-shadow:auto" string="仅供内部审核"/>
        </v:shape>
      </w:pict>
    </w:r>
    <w:r>
      <w:pict>
        <v:shape id="PowerPlusWaterMarkObject474" style="position:absolute;margin-left:391.92pt;margin-top:776.106pt;mso-position-vertical-relative:page;mso-position-horizontal-relative:page;width:119.4pt;height:18.85pt;z-index:-251437056;rotation:330;" o:allowincell="f" fillcolor="#404040" filled="true" stroked="false" type="#_x0000_t136">
          <v:fill opacity="0.400000"/>
          <v:textpath style="font-family:&quot;SimSun&quot;;font-size:20;v-text-kern:t;mso-text-shadow:auto" string="仅供内部审核"/>
        </v:shape>
      </w:pict>
    </w:r>
    <w:r>
      <w:pict>
        <v:shape id="_x0000_s476" style="position:absolute;margin-left:30pt;margin-top:29.5pt;mso-position-vertical-relative:page;mso-position-horizontal-relative:page;width:535pt;height:1pt;z-index:-25143398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兴县高家村镇中心卫生院2025年单位预算公开报告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80" style="position:absolute;margin-left:86.92pt;margin-top:27.7633pt;mso-position-vertical-relative:text;mso-position-horizontal-relative:text;width:119.4pt;height:18.85pt;z-index:-251422720;rotation:330;" fillcolor="#404040" filled="true" stroked="false" type="#_x0000_t136">
          <v:fill opacity="0.400000"/>
          <v:textpath style="font-family:&quot;SimSun&quot;;font-size:20;v-text-kern:t;mso-text-shadow:auto" string="仅供内部审核"/>
        </v:shape>
      </w:pict>
    </w:r>
    <w:r>
      <w:pict>
        <v:shape id="PowerPlusWaterMarkObject482" style="position:absolute;margin-left:-13.08pt;margin-top:288.105pt;mso-position-vertical-relative:page;mso-position-horizontal-relative:page;width:119.4pt;height:18.85pt;z-index:-251429888;rotation:330;" o:allowincell="f" fillcolor="#404040" filled="true" stroked="false" type="#_x0000_t136">
          <v:fill opacity="0.400000"/>
          <v:textpath style="font-family:&quot;SimSun&quot;;font-size:20;v-text-kern:t;mso-text-shadow:auto" string="仅供内部审核"/>
        </v:shape>
      </w:pict>
    </w:r>
    <w:r>
      <w:pict>
        <v:shape id="PowerPlusWaterMarkObject484" style="position:absolute;margin-left:491.92pt;margin-top:44.1055pt;mso-position-vertical-relative:page;mso-position-horizontal-relative:page;width:119.4pt;height:18.85pt;z-index:-251423744;rotation:330;" o:allowincell="f" fillcolor="#404040" filled="true" stroked="false" type="#_x0000_t136">
          <v:fill opacity="0.400000"/>
          <v:textpath style="font-family:&quot;SimSun&quot;;font-size:20;v-text-kern:t;mso-text-shadow:auto" string="仅供内部审核"/>
        </v:shape>
      </w:pict>
    </w:r>
    <w:r>
      <w:pict>
        <v:shape id="PowerPlusWaterMarkObject486" style="position:absolute;margin-left:391.92pt;margin-top:288.105pt;mso-position-vertical-relative:page;mso-position-horizontal-relative:page;width:119.4pt;height:18.85pt;z-index:-251430912;rotation:330;" o:allowincell="f" fillcolor="#404040" filled="true" stroked="false" type="#_x0000_t136">
          <v:fill opacity="0.400000"/>
          <v:textpath style="font-family:&quot;SimSun&quot;;font-size:20;v-text-kern:t;mso-text-shadow:auto" string="仅供内部审核"/>
        </v:shape>
      </w:pict>
    </w:r>
    <w:r>
      <w:pict>
        <v:shape id="PowerPlusWaterMarkObject488" style="position:absolute;margin-left:86.92pt;margin-top:532.106pt;mso-position-vertical-relative:page;mso-position-horizontal-relative:page;width:119.4pt;height:18.85pt;z-index:-251427840;rotation:330;" o:allowincell="f" fillcolor="#404040" filled="true" stroked="false" type="#_x0000_t136">
          <v:fill opacity="0.400000"/>
          <v:textpath style="font-family:&quot;SimSun&quot;;font-size:20;v-text-kern:t;mso-text-shadow:auto" string="仅供内部审核"/>
        </v:shape>
      </w:pict>
    </w:r>
    <w:r>
      <w:pict>
        <v:shape id="PowerPlusWaterMarkObject490" style="position:absolute;margin-left:-13.08pt;margin-top:776.106pt;mso-position-vertical-relative:page;mso-position-horizontal-relative:page;width:119.4pt;height:18.85pt;z-index:-251425792;rotation:330;" o:allowincell="f" fillcolor="#404040" filled="true" stroked="false" type="#_x0000_t136">
          <v:fill opacity="0.400000"/>
          <v:textpath style="font-family:&quot;SimSun&quot;;font-size:20;v-text-kern:t;mso-text-shadow:auto" string="仅供内部审核"/>
        </v:shape>
      </w:pict>
    </w:r>
    <w:r>
      <w:pict>
        <v:shape id="PowerPlusWaterMarkObject492" style="position:absolute;margin-left:491.92pt;margin-top:532.106pt;mso-position-vertical-relative:page;mso-position-horizontal-relative:page;width:119.4pt;height:18.85pt;z-index:-251428864;rotation:330;" o:allowincell="f" fillcolor="#404040" filled="true" stroked="false" type="#_x0000_t136">
          <v:fill opacity="0.400000"/>
          <v:textpath style="font-family:&quot;SimSun&quot;;font-size:20;v-text-kern:t;mso-text-shadow:auto" string="仅供内部审核"/>
        </v:shape>
      </w:pict>
    </w:r>
    <w:r>
      <w:pict>
        <v:shape id="PowerPlusWaterMarkObject494" style="position:absolute;margin-left:391.92pt;margin-top:776.106pt;mso-position-vertical-relative:page;mso-position-horizontal-relative:page;width:119.4pt;height:18.85pt;z-index:-251426816;rotation:330;" o:allowincell="f" fillcolor="#404040" filled="true" stroked="false" type="#_x0000_t136">
          <v:fill opacity="0.400000"/>
          <v:textpath style="font-family:&quot;SimSun&quot;;font-size:20;v-text-kern:t;mso-text-shadow:auto" string="仅供内部审核"/>
        </v:shape>
      </w:pict>
    </w:r>
    <w:r>
      <w:pict>
        <v:shape id="_x0000_s496" style="position:absolute;margin-left:30pt;margin-top:29.5pt;mso-position-vertical-relative:page;mso-position-horizontal-relative:page;width:535pt;height:1pt;z-index:-25142476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兴县高家村镇中心卫生院2025年单位预算公开报告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98" style="position:absolute;margin-left:86.92pt;margin-top:27.7633pt;mso-position-vertical-relative:text;mso-position-horizontal-relative:text;width:119.4pt;height:18.85pt;z-index:-251418624;rotation:330;" fillcolor="#404040" filled="true" stroked="false" type="#_x0000_t136">
          <v:fill opacity="0.400000"/>
          <v:textpath style="font-family:&quot;SimSun&quot;;font-size:20;v-text-kern:t;mso-text-shadow:auto" string="仅供内部审核"/>
        </v:shape>
      </w:pict>
    </w:r>
    <w:r>
      <w:pict>
        <v:shape id="PowerPlusWaterMarkObject500" style="position:absolute;margin-left:-13.08pt;margin-top:776.106pt;mso-position-vertical-relative:page;mso-position-horizontal-relative:page;width:119.4pt;height:18.85pt;z-index:-251420672;rotation:330;" o:allowincell="f" fillcolor="#404040" filled="true" stroked="false" type="#_x0000_t136">
          <v:fill opacity="0.400000"/>
          <v:textpath style="font-family:&quot;SimSun&quot;;font-size:20;v-text-kern:t;mso-text-shadow:auto" string="仅供内部审核"/>
        </v:shape>
      </w:pict>
    </w:r>
    <w:r>
      <w:pict>
        <v:shape id="PowerPlusWaterMarkObject502" style="position:absolute;margin-left:391.92pt;margin-top:776.106pt;mso-position-vertical-relative:page;mso-position-horizontal-relative:page;width:119.4pt;height:18.85pt;z-index:-251421696;rotation:330;" o:allowincell="f" fillcolor="#404040" filled="true" stroked="false" type="#_x0000_t136">
          <v:fill opacity="0.400000"/>
          <v:textpath style="font-family:&quot;SimSun&quot;;font-size:20;v-text-kern:t;mso-text-shadow:auto" string="仅供内部审核"/>
        </v:shape>
      </w:pict>
    </w:r>
    <w:r>
      <w:pict>
        <v:shape id="_x0000_s504" style="position:absolute;margin-left:30pt;margin-top:29.5pt;mso-position-vertical-relative:page;mso-position-horizontal-relative:page;width:535pt;height:1pt;z-index:-2514196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兴县高家村镇中心卫生院2025年单位预算公开报告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6" style="position:absolute;margin-left:-13.08pt;margin-top:28.7633pt;mso-position-vertical-relative:text;mso-position-horizontal-relative:text;width:119.4pt;height:18.85pt;z-index:-251608064;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312.92pt;margin-top:45.1055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86.92pt;margin-top:287.106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638.92pt;margin-top:45.1055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45.0434pt;margin-top:406.395pt;mso-position-vertical-relative:page;mso-position-horizontal-relative:page;width:609.35pt;height:22.25pt;z-index:-25161420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96" style="position:absolute;margin-left:280.957pt;margin-top:406.395pt;mso-position-vertical-relative:page;mso-position-horizontal-relative:page;width:609.35pt;height:22.25pt;z-index:-25161318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98" style="position:absolute;margin-left:638.92pt;margin-top:529.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_x0000_s100" style="position:absolute;margin-left:30pt;margin-top:29.5pt;mso-position-vertical-relative:page;mso-position-horizontal-relative:page;width:782pt;height:1pt;z-index:-251611136;"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兴县高家村镇中心卫生院2025年单位预算公开报告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2" style="position:absolute;margin-left:86.92pt;margin-top:27.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4" style="position:absolute;margin-left:491.92pt;margin-top:44.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06" style="position:absolute;margin-left:-13.08pt;margin-top:288.10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WordPictureWatermark108" style="position:absolute;margin-left:395.367pt;margin-top:259.52pt;mso-position-vertical-relative:page;mso-position-horizontal-relative:page;width:112.65pt;height:75.9pt;z-index:-251606016;" o:allowincell="f" filled="false" stroked="false" type="#_x0000_t75">
          <v:imagedata o:title="" r:id="rId1"/>
        </v:shape>
      </w:pict>
    </w:r>
    <w:r>
      <w:pict>
        <v:shape id="PowerPlusWaterMarkObject110" style="position:absolute;margin-left:86.92pt;margin-top:532.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91.92pt;margin-top:532.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13.08pt;margin-top:776.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391.92pt;margin-top:776.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535pt;height:1pt;z-index:-2516008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0"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493.62pt;margin-top:72.8103pt;mso-position-vertical-relative:page;mso-position-horizontal-relative:page;width:32.1pt;height:7.2pt;z-index:-251588608;" o:allowincell="f" fillcolor="#212529" filled="true" stroked="false" type="#_x0000_t136">
          <v:textpath style="font-family:&quot;SimSun&quot;;font-size:7;v-text-kern:t;mso-text-shadow:auto" string="算公开表4"/>
        </v:shape>
      </w:pict>
    </w:r>
    <w:r>
      <w:pict>
        <v:shape id="PowerPlusWaterMarkObject124" style="position:absolute;margin-left:491.92pt;margin-top:44.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405.911pt;margin-top:325.754pt;mso-position-vertical-relative:page;mso-position-horizontal-relative:page;width:7.15pt;height:7.9pt;z-index:-251595776;" o:allowincell="f" fillcolor="#212529" filled="true" stroked="false" type="#_x0000_t136">
          <v:textpath style="font-family:&quot;SimSun&quot;;font-size:7.5;v-text-kern:t;mso-text-shadow:auto" string="15"/>
        </v:shape>
      </w:pict>
    </w:r>
    <w:r>
      <w:pict>
        <v:shape id="PowerPlusWaterMarkObject128"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491.92pt;margin-top:532.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9065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42" style="position:absolute;margin-left:94.1286pt;margin-top:66.2782pt;mso-position-vertical-relative:page;mso-position-horizontal-relative:page;width:40.05pt;height:7.9pt;z-index:-251580416;" o:allowincell="f" fillcolor="#212529" filled="true" stroked="false" type="#_x0000_t136">
          <v:textpath style="font-family:&quot;SimSun&quot;;font-size:7.5;v-text-kern:t;mso-text-shadow:auto" string="政拨款结转"/>
        </v:shape>
      </w:pict>
    </w:r>
    <w:r>
      <w:pict>
        <v:shape id="PowerPlusWaterMarkObject144" style="position:absolute;margin-left:86.92pt;margin-top:27.7633pt;mso-position-vertical-relative:text;mso-position-horizontal-relative:text;width:119.4pt;height:18.85pt;z-index:-251577344;rotation:330;" fillcolor="#404040" filled="true" stroked="false" type="#_x0000_t136">
          <v:fill opacity="0.400000"/>
          <v:textpath style="font-family:&quot;SimSun&quot;;font-size:20;v-text-kern:t;mso-text-shadow:auto" string="仅供内部审核"/>
        </v:shape>
      </w:pict>
    </w:r>
    <w:r>
      <w:pict>
        <v:shape id="PowerPlusWaterMarkObject146" style="position:absolute;margin-left:-13.08pt;margin-top:288.10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491.92pt;margin-top:44.105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391.92pt;margin-top:288.10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491.92pt;margin-top:532.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391.92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_x0000_s160" style="position:absolute;margin-left:30pt;margin-top:29.5pt;mso-position-vertical-relative:page;mso-position-horizontal-relative:page;width:535pt;height:1pt;z-index:-2515793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兴县高家村镇中心卫生院2025年单位预算公开报告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2" Type="http://schemas.openxmlformats.org/officeDocument/2006/relationships/fontTable" Target="fontTable.xml"/><Relationship Id="rId81" Type="http://schemas.openxmlformats.org/officeDocument/2006/relationships/styles" Target="styles.xml"/><Relationship Id="rId80" Type="http://schemas.openxmlformats.org/officeDocument/2006/relationships/settings" Target="settings.xml"/><Relationship Id="rId8" Type="http://schemas.openxmlformats.org/officeDocument/2006/relationships/footer" Target="footer2.xml"/><Relationship Id="rId79" Type="http://schemas.openxmlformats.org/officeDocument/2006/relationships/footer" Target="footer36.xml"/><Relationship Id="rId78" Type="http://schemas.openxmlformats.org/officeDocument/2006/relationships/image" Target="media/image21.png"/><Relationship Id="rId77" Type="http://schemas.openxmlformats.org/officeDocument/2006/relationships/footer" Target="footer35.xml"/><Relationship Id="rId76" Type="http://schemas.openxmlformats.org/officeDocument/2006/relationships/image" Target="media/image20.png"/><Relationship Id="rId75" Type="http://schemas.openxmlformats.org/officeDocument/2006/relationships/footer" Target="footer34.xml"/><Relationship Id="rId74" Type="http://schemas.openxmlformats.org/officeDocument/2006/relationships/image" Target="media/image19.png"/><Relationship Id="rId73" Type="http://schemas.openxmlformats.org/officeDocument/2006/relationships/footer" Target="footer33.xml"/><Relationship Id="rId72" Type="http://schemas.openxmlformats.org/officeDocument/2006/relationships/image" Target="media/image18.png"/><Relationship Id="rId71" Type="http://schemas.openxmlformats.org/officeDocument/2006/relationships/footer" Target="footer32.xml"/><Relationship Id="rId70" Type="http://schemas.openxmlformats.org/officeDocument/2006/relationships/image" Target="media/image17.png"/><Relationship Id="rId7" Type="http://schemas.openxmlformats.org/officeDocument/2006/relationships/header" Target="header5.xml"/><Relationship Id="rId69" Type="http://schemas.openxmlformats.org/officeDocument/2006/relationships/footer" Target="footer31.xml"/><Relationship Id="rId68" Type="http://schemas.openxmlformats.org/officeDocument/2006/relationships/image" Target="media/image16.png"/><Relationship Id="rId67" Type="http://schemas.openxmlformats.org/officeDocument/2006/relationships/footer" Target="footer30.xml"/><Relationship Id="rId66" Type="http://schemas.openxmlformats.org/officeDocument/2006/relationships/image" Target="media/image15.png"/><Relationship Id="rId65" Type="http://schemas.openxmlformats.org/officeDocument/2006/relationships/footer" Target="footer29.xml"/><Relationship Id="rId64" Type="http://schemas.openxmlformats.org/officeDocument/2006/relationships/image" Target="media/image14.png"/><Relationship Id="rId63" Type="http://schemas.openxmlformats.org/officeDocument/2006/relationships/footer" Target="footer28.xml"/><Relationship Id="rId62" Type="http://schemas.openxmlformats.org/officeDocument/2006/relationships/header" Target="header23.xml"/><Relationship Id="rId61" Type="http://schemas.openxmlformats.org/officeDocument/2006/relationships/footer" Target="footer27.xml"/><Relationship Id="rId60" Type="http://schemas.openxmlformats.org/officeDocument/2006/relationships/header" Target="header22.xml"/><Relationship Id="rId6" Type="http://schemas.openxmlformats.org/officeDocument/2006/relationships/footer" Target="footer1.xml"/><Relationship Id="rId59" Type="http://schemas.openxmlformats.org/officeDocument/2006/relationships/image" Target="media/image13.png"/><Relationship Id="rId58" Type="http://schemas.openxmlformats.org/officeDocument/2006/relationships/footer" Target="footer26.xml"/><Relationship Id="rId57" Type="http://schemas.openxmlformats.org/officeDocument/2006/relationships/header" Target="header21.xml"/><Relationship Id="rId56" Type="http://schemas.openxmlformats.org/officeDocument/2006/relationships/image" Target="media/image12.png"/><Relationship Id="rId55" Type="http://schemas.openxmlformats.org/officeDocument/2006/relationships/footer" Target="footer25.xml"/><Relationship Id="rId54" Type="http://schemas.openxmlformats.org/officeDocument/2006/relationships/image" Target="media/image11.png"/><Relationship Id="rId53" Type="http://schemas.openxmlformats.org/officeDocument/2006/relationships/footer" Target="footer24.xml"/><Relationship Id="rId52" Type="http://schemas.openxmlformats.org/officeDocument/2006/relationships/image" Target="media/image10.png"/><Relationship Id="rId51" Type="http://schemas.openxmlformats.org/officeDocument/2006/relationships/footer" Target="footer23.xml"/><Relationship Id="rId50" Type="http://schemas.openxmlformats.org/officeDocument/2006/relationships/image" Target="media/image9.png"/><Relationship Id="rId5" Type="http://schemas.openxmlformats.org/officeDocument/2006/relationships/header" Target="header4.xml"/><Relationship Id="rId49" Type="http://schemas.openxmlformats.org/officeDocument/2006/relationships/footer" Target="footer22.xml"/><Relationship Id="rId48" Type="http://schemas.openxmlformats.org/officeDocument/2006/relationships/image" Target="media/image8.png"/><Relationship Id="rId47" Type="http://schemas.openxmlformats.org/officeDocument/2006/relationships/footer" Target="footer21.xml"/><Relationship Id="rId46" Type="http://schemas.openxmlformats.org/officeDocument/2006/relationships/image" Target="media/image7.png"/><Relationship Id="rId45" Type="http://schemas.openxmlformats.org/officeDocument/2006/relationships/footer" Target="footer20.xml"/><Relationship Id="rId44" Type="http://schemas.openxmlformats.org/officeDocument/2006/relationships/image" Target="media/image6.png"/><Relationship Id="rId43" Type="http://schemas.openxmlformats.org/officeDocument/2006/relationships/footer" Target="footer19.xml"/><Relationship Id="rId42" Type="http://schemas.openxmlformats.org/officeDocument/2006/relationships/image" Target="media/image5.png"/><Relationship Id="rId41" Type="http://schemas.openxmlformats.org/officeDocument/2006/relationships/footer" Target="footer18.xml"/><Relationship Id="rId40" Type="http://schemas.openxmlformats.org/officeDocument/2006/relationships/header" Target="header20.xml"/><Relationship Id="rId4" Type="http://schemas.openxmlformats.org/officeDocument/2006/relationships/header" Target="header3.xml"/><Relationship Id="rId39" Type="http://schemas.openxmlformats.org/officeDocument/2006/relationships/image" Target="media/image4.png"/><Relationship Id="rId38" Type="http://schemas.openxmlformats.org/officeDocument/2006/relationships/footer" Target="footer17.xml"/><Relationship Id="rId37" Type="http://schemas.openxmlformats.org/officeDocument/2006/relationships/header" Target="header19.xml"/><Relationship Id="rId36" Type="http://schemas.openxmlformats.org/officeDocument/2006/relationships/image" Target="media/image3.png"/><Relationship Id="rId35" Type="http://schemas.openxmlformats.org/officeDocument/2006/relationships/footer" Target="footer16.xml"/><Relationship Id="rId34" Type="http://schemas.openxmlformats.org/officeDocument/2006/relationships/header" Target="header18.xml"/><Relationship Id="rId33" Type="http://schemas.openxmlformats.org/officeDocument/2006/relationships/footer" Target="footer15.xml"/><Relationship Id="rId32" Type="http://schemas.openxmlformats.org/officeDocument/2006/relationships/header" Target="header17.xml"/><Relationship Id="rId31" Type="http://schemas.openxmlformats.org/officeDocument/2006/relationships/footer" Target="footer14.xml"/><Relationship Id="rId30" Type="http://schemas.openxmlformats.org/officeDocument/2006/relationships/header" Target="header16.xml"/><Relationship Id="rId3" Type="http://schemas.openxmlformats.org/officeDocument/2006/relationships/image" Target="media/image1.png"/><Relationship Id="rId29" Type="http://schemas.openxmlformats.org/officeDocument/2006/relationships/footer" Target="footer13.xml"/><Relationship Id="rId28" Type="http://schemas.openxmlformats.org/officeDocument/2006/relationships/header" Target="header15.xml"/><Relationship Id="rId27" Type="http://schemas.openxmlformats.org/officeDocument/2006/relationships/footer" Target="footer12.xml"/><Relationship Id="rId26" Type="http://schemas.openxmlformats.org/officeDocument/2006/relationships/header" Target="header14.xml"/><Relationship Id="rId25" Type="http://schemas.openxmlformats.org/officeDocument/2006/relationships/footer" Target="footer11.xml"/><Relationship Id="rId24" Type="http://schemas.openxmlformats.org/officeDocument/2006/relationships/header" Target="header13.xml"/><Relationship Id="rId23" Type="http://schemas.openxmlformats.org/officeDocument/2006/relationships/footer" Target="footer10.xml"/><Relationship Id="rId22" Type="http://schemas.openxmlformats.org/officeDocument/2006/relationships/header" Target="header12.xml"/><Relationship Id="rId21" Type="http://schemas.openxmlformats.org/officeDocument/2006/relationships/footer" Target="footer9.xml"/><Relationship Id="rId20" Type="http://schemas.openxmlformats.org/officeDocument/2006/relationships/header" Target="header11.xml"/><Relationship Id="rId2" Type="http://schemas.openxmlformats.org/officeDocument/2006/relationships/header" Target="header2.xml"/><Relationship Id="rId19" Type="http://schemas.openxmlformats.org/officeDocument/2006/relationships/footer" Target="footer8.xml"/><Relationship Id="rId18" Type="http://schemas.openxmlformats.org/officeDocument/2006/relationships/header" Target="header10.xml"/><Relationship Id="rId17" Type="http://schemas.openxmlformats.org/officeDocument/2006/relationships/footer" Target="footer7.xml"/><Relationship Id="rId16" Type="http://schemas.openxmlformats.org/officeDocument/2006/relationships/header" Target="header9.xml"/><Relationship Id="rId15" Type="http://schemas.openxmlformats.org/officeDocument/2006/relationships/footer" Target="footer6.xml"/><Relationship Id="rId14" Type="http://schemas.openxmlformats.org/officeDocument/2006/relationships/header" Target="header8.xml"/><Relationship Id="rId13" Type="http://schemas.openxmlformats.org/officeDocument/2006/relationships/footer" Target="footer5.xml"/><Relationship Id="rId12" Type="http://schemas.openxmlformats.org/officeDocument/2006/relationships/header" Target="header7.xml"/><Relationship Id="rId11" Type="http://schemas.openxmlformats.org/officeDocument/2006/relationships/footer" Target="footer4.xml"/><Relationship Id="rId10" Type="http://schemas.openxmlformats.org/officeDocument/2006/relationships/header" Target="header6.xml"/><Relationship Id="rId1" Type="http://schemas.openxmlformats.org/officeDocument/2006/relationships/header" Target="header1.xml"/></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2025-09-25T16:25:36Z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2025-09-25T20:11:30</vt:filetime>
  </property>
</Properties>
</file>