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40" w:line="215" w:lineRule="auto"/>
        <w:rPr>
          <w:rFonts w:ascii="SimSun" w:hAnsi="SimSun" w:eastAsia="SimSun" w:cs="SimSun"/>
          <w:sz w:val="43"/>
          <w:szCs w:val="43"/>
        </w:rPr>
      </w:pPr>
      <w:r>
        <w:rPr>
          <w:rFonts w:ascii="SimSun" w:hAnsi="SimSun" w:eastAsia="SimSun" w:cs="SimSun"/>
          <w:sz w:val="43"/>
          <w:szCs w:val="43"/>
          <w:spacing w:val="102"/>
        </w:rPr>
        <w:t>兴县高家村镇中心卫生院</w:t>
      </w:r>
    </w:p>
    <w:p>
      <w:pPr>
        <w:pStyle w:val="BodyText"/>
        <w:spacing w:line="384"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3、实施国家基本药物制度和城乡居民医疗保险制度，推行分级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兴县高家村镇中心卫生院机构设置及人员编制情况</w:t>
      </w:r>
    </w:p>
    <w:p>
      <w:pPr>
        <w:ind w:left="1539" w:right="1474" w:hanging="11"/>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兴县高家村镇中心卫生院是兴县医疗医疗集团下属的独立核算</w:t>
      </w:r>
      <w:r>
        <w:rPr>
          <w:rFonts w:ascii="FangSong" w:hAnsi="FangSong" w:eastAsia="FangSong" w:cs="FangSong"/>
          <w:sz w:val="31"/>
          <w:szCs w:val="31"/>
          <w:spacing w:val="12"/>
        </w:rPr>
        <w:t xml:space="preserve"> </w:t>
      </w:r>
      <w:r>
        <w:rPr>
          <w:rFonts w:ascii="FangSong" w:hAnsi="FangSong" w:eastAsia="FangSong" w:cs="FangSong"/>
          <w:sz w:val="31"/>
          <w:szCs w:val="31"/>
          <w:spacing w:val="3"/>
        </w:rPr>
        <w:t>的二级事业单位。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人员构成：设院长1名，副院长2名，工作人员15名。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部门名称：兴县高家村镇中心卫生院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290.04</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6"/>
              <w:spacing w:before="133" w:line="238" w:lineRule="auto"/>
              <w:jc w:val="right"/>
              <w:rPr/>
            </w:pPr>
            <w:r>
              <w:rPr>
                <w:color w:val="212529"/>
                <w:spacing w:val="-2"/>
              </w:rPr>
              <w:t>4.76</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11.38</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18.66</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270.28</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12.50</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9"/>
              <w:spacing w:before="135" w:line="184" w:lineRule="auto"/>
              <w:rPr>
                <w:rFonts w:ascii="Arial" w:hAnsi="Arial" w:eastAsia="Arial" w:cs="Arial"/>
                <w:sz w:val="15"/>
                <w:szCs w:val="15"/>
              </w:rPr>
            </w:pPr>
            <w:r>
              <w:rPr>
                <w:rFonts w:ascii="Arial" w:hAnsi="Arial" w:eastAsia="Arial" w:cs="Arial"/>
                <w:sz w:val="15"/>
                <w:szCs w:val="15"/>
                <w:color w:val="212529"/>
                <w:spacing w:val="1"/>
              </w:rPr>
              <w:t>306.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1"/>
              </w:rPr>
              <w:t>18</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5"/>
              <w:spacing w:before="135" w:line="184" w:lineRule="auto"/>
              <w:rPr>
                <w:rFonts w:ascii="Arial" w:hAnsi="Arial" w:eastAsia="Arial" w:cs="Arial"/>
                <w:sz w:val="15"/>
                <w:szCs w:val="15"/>
              </w:rPr>
            </w:pPr>
            <w:r>
              <w:rPr>
                <w:rFonts w:ascii="Arial" w:hAnsi="Arial" w:eastAsia="Arial" w:cs="Arial"/>
                <w:sz w:val="15"/>
                <w:szCs w:val="15"/>
                <w:color w:val="212529"/>
                <w:spacing w:val="3"/>
              </w:rPr>
              <w:t>301.</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44</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0.03</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9.57</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5"/>
              <w:spacing w:before="118" w:line="238" w:lineRule="auto"/>
              <w:jc w:val="right"/>
              <w:rPr/>
            </w:pPr>
            <w:r>
              <w:rPr>
                <w:color w:val="212529"/>
                <w:spacing w:val="-4"/>
              </w:rPr>
              <w:t>14.27</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9"/>
              <w:spacing w:before="141" w:line="184" w:lineRule="auto"/>
              <w:rPr>
                <w:rFonts w:ascii="Arial" w:hAnsi="Arial" w:eastAsia="Arial" w:cs="Arial"/>
                <w:sz w:val="15"/>
                <w:szCs w:val="15"/>
              </w:rPr>
            </w:pPr>
            <w:r>
              <w:rPr>
                <w:rFonts w:ascii="Arial" w:hAnsi="Arial" w:eastAsia="Arial" w:cs="Arial"/>
                <w:sz w:val="15"/>
                <w:szCs w:val="15"/>
                <w:color w:val="212529"/>
                <w:spacing w:val="2"/>
              </w:rPr>
              <w:t>315.</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74</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5"/>
              <w:spacing w:before="141" w:line="184" w:lineRule="auto"/>
              <w:rPr>
                <w:rFonts w:ascii="Arial" w:hAnsi="Arial" w:eastAsia="Arial" w:cs="Arial"/>
                <w:sz w:val="15"/>
                <w:szCs w:val="15"/>
              </w:rPr>
            </w:pPr>
            <w:r>
              <w:rPr>
                <w:rFonts w:ascii="Arial" w:hAnsi="Arial" w:eastAsia="Arial" w:cs="Arial"/>
                <w:sz w:val="15"/>
                <w:szCs w:val="15"/>
                <w:color w:val="212529"/>
                <w:spacing w:val="3"/>
              </w:rPr>
              <w:t>315.</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74</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部门名称：兴县高家村镇中心卫生院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4"/>
                <w:position w:val="1"/>
              </w:rPr>
              <w:t>306.18</w:t>
            </w:r>
          </w:p>
        </w:tc>
        <w:tc>
          <w:tcPr>
            <w:tcW w:w="973" w:type="dxa"/>
            <w:vAlign w:val="top"/>
          </w:tcPr>
          <w:p>
            <w:pPr>
              <w:pStyle w:val="TableText"/>
              <w:ind w:right="29"/>
              <w:spacing w:before="94" w:line="281" w:lineRule="exact"/>
              <w:jc w:val="right"/>
              <w:rPr>
                <w:sz w:val="21"/>
                <w:szCs w:val="21"/>
              </w:rPr>
            </w:pPr>
            <w:r>
              <w:rPr>
                <w:sz w:val="21"/>
                <w:szCs w:val="21"/>
                <w:color w:val="212529"/>
                <w:spacing w:val="5"/>
                <w:position w:val="1"/>
              </w:rPr>
              <w:t>290.04</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4"/>
                <w:position w:val="1"/>
              </w:rPr>
              <w:t>4.76</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11.38</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0"/>
              <w:spacing w:before="115" w:line="238" w:lineRule="auto"/>
              <w:jc w:val="right"/>
              <w:rPr/>
            </w:pPr>
            <w:r>
              <w:rPr>
                <w:color w:val="212529"/>
                <w:spacing w:val="-4"/>
              </w:rPr>
              <w:t>18.66</w:t>
            </w:r>
          </w:p>
        </w:tc>
        <w:tc>
          <w:tcPr>
            <w:tcW w:w="973" w:type="dxa"/>
            <w:vAlign w:val="top"/>
          </w:tcPr>
          <w:p>
            <w:pPr>
              <w:pStyle w:val="TableText"/>
              <w:ind w:right="23"/>
              <w:spacing w:before="115" w:line="238" w:lineRule="auto"/>
              <w:jc w:val="right"/>
              <w:rPr/>
            </w:pPr>
            <w:r>
              <w:rPr>
                <w:color w:val="212529"/>
                <w:spacing w:val="-4"/>
              </w:rPr>
              <w:t>18.66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0"/>
              <w:spacing w:before="116" w:line="238" w:lineRule="auto"/>
              <w:jc w:val="right"/>
              <w:rPr/>
            </w:pPr>
            <w:r>
              <w:rPr>
                <w:color w:val="212529"/>
                <w:spacing w:val="-4"/>
              </w:rPr>
              <w:t>18.66</w:t>
            </w:r>
          </w:p>
        </w:tc>
        <w:tc>
          <w:tcPr>
            <w:tcW w:w="973" w:type="dxa"/>
            <w:vAlign w:val="top"/>
          </w:tcPr>
          <w:p>
            <w:pPr>
              <w:pStyle w:val="TableText"/>
              <w:ind w:right="23"/>
              <w:spacing w:before="116" w:line="238" w:lineRule="auto"/>
              <w:jc w:val="right"/>
              <w:rPr/>
            </w:pPr>
            <w:r>
              <w:rPr>
                <w:color w:val="212529"/>
                <w:spacing w:val="-4"/>
              </w:rPr>
              <w:t>18.66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6" w:line="239" w:lineRule="auto"/>
              <w:rPr/>
            </w:pPr>
            <w:r>
              <w:rPr>
                <w:color w:val="212529"/>
                <w:spacing w:val="-2"/>
              </w:rPr>
              <w:t>2080502</w:t>
            </w:r>
          </w:p>
        </w:tc>
        <w:tc>
          <w:tcPr>
            <w:tcW w:w="1482" w:type="dxa"/>
            <w:vAlign w:val="top"/>
          </w:tcPr>
          <w:p>
            <w:pPr>
              <w:pStyle w:val="TableText"/>
              <w:ind w:left="8"/>
              <w:spacing w:before="116" w:line="219" w:lineRule="auto"/>
              <w:rPr/>
            </w:pPr>
            <w:r>
              <w:rPr>
                <w:color w:val="212529"/>
                <w:spacing w:val="-2"/>
              </w:rPr>
              <w:t>事业单位离退休</w:t>
            </w:r>
          </w:p>
        </w:tc>
        <w:tc>
          <w:tcPr>
            <w:tcW w:w="988" w:type="dxa"/>
            <w:vAlign w:val="top"/>
          </w:tcPr>
          <w:p>
            <w:pPr>
              <w:pStyle w:val="TableText"/>
              <w:ind w:right="32"/>
              <w:spacing w:before="117" w:line="238" w:lineRule="auto"/>
              <w:jc w:val="right"/>
              <w:rPr/>
            </w:pPr>
            <w:r>
              <w:rPr>
                <w:color w:val="212529"/>
                <w:spacing w:val="-2"/>
              </w:rPr>
              <w:t>0.58</w:t>
            </w:r>
          </w:p>
        </w:tc>
        <w:tc>
          <w:tcPr>
            <w:tcW w:w="973" w:type="dxa"/>
            <w:vAlign w:val="top"/>
          </w:tcPr>
          <w:p>
            <w:pPr>
              <w:pStyle w:val="TableText"/>
              <w:ind w:right="25"/>
              <w:spacing w:before="117" w:line="238" w:lineRule="auto"/>
              <w:jc w:val="right"/>
              <w:rPr/>
            </w:pPr>
            <w:r>
              <w:rPr>
                <w:color w:val="212529"/>
                <w:spacing w:val="-2"/>
              </w:rPr>
              <w:t>0.58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2080505</w:t>
            </w:r>
          </w:p>
        </w:tc>
        <w:tc>
          <w:tcPr>
            <w:tcW w:w="1482" w:type="dxa"/>
            <w:vAlign w:val="top"/>
          </w:tcPr>
          <w:p>
            <w:pPr>
              <w:pStyle w:val="TableText"/>
              <w:ind w:left="6" w:right="2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0"/>
              <w:spacing w:before="118" w:line="238" w:lineRule="auto"/>
              <w:jc w:val="right"/>
              <w:rPr/>
            </w:pPr>
            <w:r>
              <w:rPr>
                <w:color w:val="212529"/>
                <w:spacing w:val="-4"/>
              </w:rPr>
              <w:t>13.25</w:t>
            </w:r>
          </w:p>
        </w:tc>
        <w:tc>
          <w:tcPr>
            <w:tcW w:w="973" w:type="dxa"/>
            <w:vAlign w:val="top"/>
          </w:tcPr>
          <w:p>
            <w:pPr>
              <w:pStyle w:val="TableText"/>
              <w:ind w:right="23"/>
              <w:spacing w:before="118" w:line="238" w:lineRule="auto"/>
              <w:jc w:val="right"/>
              <w:rPr/>
            </w:pPr>
            <w:r>
              <w:rPr>
                <w:color w:val="212529"/>
                <w:spacing w:val="-4"/>
              </w:rPr>
              <w:t>13.25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2080506</w:t>
            </w:r>
          </w:p>
        </w:tc>
        <w:tc>
          <w:tcPr>
            <w:tcW w:w="1482" w:type="dxa"/>
            <w:vAlign w:val="top"/>
          </w:tcPr>
          <w:p>
            <w:pPr>
              <w:pStyle w:val="TableText"/>
              <w:ind w:left="7" w:right="2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32"/>
              <w:spacing w:before="119" w:line="238" w:lineRule="auto"/>
              <w:jc w:val="right"/>
              <w:rPr/>
            </w:pPr>
            <w:r>
              <w:rPr>
                <w:color w:val="212529"/>
                <w:spacing w:val="-2"/>
              </w:rPr>
              <w:t>4.83</w:t>
            </w:r>
          </w:p>
        </w:tc>
        <w:tc>
          <w:tcPr>
            <w:tcW w:w="973" w:type="dxa"/>
            <w:vAlign w:val="top"/>
          </w:tcPr>
          <w:p>
            <w:pPr>
              <w:pStyle w:val="TableText"/>
              <w:ind w:right="25"/>
              <w:spacing w:before="119" w:line="238" w:lineRule="auto"/>
              <w:jc w:val="right"/>
              <w:rPr/>
            </w:pPr>
            <w:r>
              <w:rPr>
                <w:color w:val="212529"/>
                <w:spacing w:val="-2"/>
              </w:rPr>
              <w:t>4.83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9" w:line="239" w:lineRule="auto"/>
              <w:rPr/>
            </w:pPr>
            <w:r>
              <w:rPr>
                <w:color w:val="212529"/>
                <w:spacing w:val="-3"/>
              </w:rPr>
              <w:t>210</w:t>
            </w:r>
          </w:p>
        </w:tc>
        <w:tc>
          <w:tcPr>
            <w:tcW w:w="1482" w:type="dxa"/>
            <w:vAlign w:val="top"/>
          </w:tcPr>
          <w:p>
            <w:pPr>
              <w:pStyle w:val="TableText"/>
              <w:ind w:left="8"/>
              <w:spacing w:before="119" w:line="219" w:lineRule="auto"/>
              <w:rPr/>
            </w:pPr>
            <w:r>
              <w:rPr>
                <w:color w:val="212529"/>
                <w:spacing w:val="-2"/>
              </w:rPr>
              <w:t>卫生健康支出</w:t>
            </w:r>
          </w:p>
        </w:tc>
        <w:tc>
          <w:tcPr>
            <w:tcW w:w="988" w:type="dxa"/>
            <w:vAlign w:val="top"/>
          </w:tcPr>
          <w:p>
            <w:pPr>
              <w:pStyle w:val="TableText"/>
              <w:ind w:right="32"/>
              <w:spacing w:before="120" w:line="238" w:lineRule="auto"/>
              <w:jc w:val="right"/>
              <w:rPr/>
            </w:pPr>
            <w:r>
              <w:rPr>
                <w:color w:val="212529"/>
                <w:spacing w:val="-2"/>
              </w:rPr>
              <w:t>275.01</w:t>
            </w:r>
          </w:p>
        </w:tc>
        <w:tc>
          <w:tcPr>
            <w:tcW w:w="973" w:type="dxa"/>
            <w:vAlign w:val="top"/>
          </w:tcPr>
          <w:p>
            <w:pPr>
              <w:pStyle w:val="TableText"/>
              <w:ind w:right="25"/>
              <w:spacing w:before="120" w:line="238" w:lineRule="auto"/>
              <w:jc w:val="right"/>
              <w:rPr/>
            </w:pPr>
            <w:r>
              <w:rPr>
                <w:color w:val="212529"/>
                <w:spacing w:val="-2"/>
              </w:rPr>
              <w:t>258.88</w:t>
            </w:r>
          </w:p>
        </w:tc>
        <w:tc>
          <w:tcPr>
            <w:tcW w:w="898" w:type="dxa"/>
            <w:vAlign w:val="top"/>
          </w:tcPr>
          <w:p>
            <w:pPr>
              <w:rPr>
                <w:rFonts w:ascii="Arial"/>
                <w:sz w:val="21"/>
              </w:rPr>
            </w:pPr>
            <w:r/>
          </w:p>
        </w:tc>
        <w:tc>
          <w:tcPr>
            <w:tcW w:w="899" w:type="dxa"/>
            <w:vAlign w:val="top"/>
          </w:tcPr>
          <w:p>
            <w:pPr>
              <w:pStyle w:val="TableText"/>
              <w:ind w:right="20"/>
              <w:spacing w:before="120" w:line="238" w:lineRule="auto"/>
              <w:jc w:val="right"/>
              <w:rPr/>
            </w:pPr>
            <w:r>
              <w:rPr>
                <w:color w:val="212529"/>
                <w:spacing w:val="-2"/>
              </w:rPr>
              <w:t>4.76</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0" w:line="238" w:lineRule="auto"/>
              <w:jc w:val="right"/>
              <w:rPr/>
            </w:pPr>
            <w:r>
              <w:rPr>
                <w:color w:val="212529"/>
                <w:spacing w:val="-4"/>
              </w:rPr>
              <w:t>11.38</w:t>
            </w:r>
          </w:p>
        </w:tc>
      </w:tr>
      <w:tr>
        <w:trPr>
          <w:trHeight w:val="404" w:hRule="atLeast"/>
        </w:trPr>
        <w:tc>
          <w:tcPr>
            <w:tcW w:w="906" w:type="dxa"/>
            <w:vAlign w:val="top"/>
          </w:tcPr>
          <w:p>
            <w:pPr>
              <w:pStyle w:val="TableText"/>
              <w:ind w:left="9"/>
              <w:spacing w:before="120" w:line="239" w:lineRule="auto"/>
              <w:rPr/>
            </w:pPr>
            <w:r>
              <w:rPr>
                <w:color w:val="212529"/>
                <w:spacing w:val="-2"/>
              </w:rPr>
              <w:t>21003</w:t>
            </w:r>
          </w:p>
        </w:tc>
        <w:tc>
          <w:tcPr>
            <w:tcW w:w="1482" w:type="dxa"/>
            <w:vAlign w:val="top"/>
          </w:tcPr>
          <w:p>
            <w:pPr>
              <w:pStyle w:val="TableText"/>
              <w:ind w:left="6"/>
              <w:spacing w:before="120" w:line="218" w:lineRule="auto"/>
              <w:rPr/>
            </w:pPr>
            <w:r>
              <w:rPr>
                <w:color w:val="212529"/>
                <w:spacing w:val="-1"/>
              </w:rPr>
              <w:t>基层医疗卫生机构</w:t>
            </w:r>
          </w:p>
        </w:tc>
        <w:tc>
          <w:tcPr>
            <w:tcW w:w="988" w:type="dxa"/>
            <w:vAlign w:val="top"/>
          </w:tcPr>
          <w:p>
            <w:pPr>
              <w:pStyle w:val="TableText"/>
              <w:ind w:right="31"/>
              <w:spacing w:before="121" w:line="238" w:lineRule="auto"/>
              <w:jc w:val="right"/>
              <w:rPr/>
            </w:pPr>
            <w:r>
              <w:rPr>
                <w:color w:val="212529"/>
                <w:spacing w:val="-3"/>
              </w:rPr>
              <w:t>187.14</w:t>
            </w:r>
          </w:p>
        </w:tc>
        <w:tc>
          <w:tcPr>
            <w:tcW w:w="973" w:type="dxa"/>
            <w:vAlign w:val="top"/>
          </w:tcPr>
          <w:p>
            <w:pPr>
              <w:pStyle w:val="TableText"/>
              <w:ind w:right="23"/>
              <w:spacing w:before="121" w:line="238" w:lineRule="auto"/>
              <w:jc w:val="right"/>
              <w:rPr/>
            </w:pPr>
            <w:r>
              <w:rPr>
                <w:color w:val="212529"/>
                <w:spacing w:val="-3"/>
              </w:rPr>
              <w:t>171.00</w:t>
            </w:r>
          </w:p>
        </w:tc>
        <w:tc>
          <w:tcPr>
            <w:tcW w:w="898" w:type="dxa"/>
            <w:vAlign w:val="top"/>
          </w:tcPr>
          <w:p>
            <w:pPr>
              <w:rPr>
                <w:rFonts w:ascii="Arial"/>
                <w:sz w:val="21"/>
              </w:rPr>
            </w:pPr>
            <w:r/>
          </w:p>
        </w:tc>
        <w:tc>
          <w:tcPr>
            <w:tcW w:w="899" w:type="dxa"/>
            <w:vAlign w:val="top"/>
          </w:tcPr>
          <w:p>
            <w:pPr>
              <w:pStyle w:val="TableText"/>
              <w:ind w:right="20"/>
              <w:spacing w:before="121" w:line="238" w:lineRule="auto"/>
              <w:jc w:val="right"/>
              <w:rPr/>
            </w:pPr>
            <w:r>
              <w:rPr>
                <w:color w:val="212529"/>
                <w:spacing w:val="-2"/>
              </w:rPr>
              <w:t>4.76</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1" w:line="238" w:lineRule="auto"/>
              <w:jc w:val="right"/>
              <w:rPr/>
            </w:pPr>
            <w:r>
              <w:rPr>
                <w:color w:val="212529"/>
                <w:spacing w:val="-4"/>
              </w:rPr>
              <w:t>11.38</w:t>
            </w:r>
          </w:p>
        </w:tc>
      </w:tr>
      <w:tr>
        <w:trPr>
          <w:trHeight w:val="404" w:hRule="atLeast"/>
        </w:trPr>
        <w:tc>
          <w:tcPr>
            <w:tcW w:w="906" w:type="dxa"/>
            <w:vAlign w:val="top"/>
          </w:tcPr>
          <w:p>
            <w:pPr>
              <w:pStyle w:val="TableText"/>
              <w:ind w:left="9"/>
              <w:spacing w:before="121" w:line="239" w:lineRule="auto"/>
              <w:rPr/>
            </w:pPr>
            <w:r>
              <w:rPr>
                <w:color w:val="212529"/>
                <w:spacing w:val="-2"/>
              </w:rPr>
              <w:t>2100302</w:t>
            </w:r>
          </w:p>
        </w:tc>
        <w:tc>
          <w:tcPr>
            <w:tcW w:w="1482" w:type="dxa"/>
            <w:vAlign w:val="top"/>
          </w:tcPr>
          <w:p>
            <w:pPr>
              <w:pStyle w:val="TableText"/>
              <w:ind w:left="14"/>
              <w:spacing w:before="121" w:line="219" w:lineRule="auto"/>
              <w:rPr/>
            </w:pPr>
            <w:r>
              <w:rPr>
                <w:color w:val="212529"/>
                <w:spacing w:val="-3"/>
              </w:rPr>
              <w:t>乡镇卫生院</w:t>
            </w:r>
          </w:p>
        </w:tc>
        <w:tc>
          <w:tcPr>
            <w:tcW w:w="988" w:type="dxa"/>
            <w:vAlign w:val="top"/>
          </w:tcPr>
          <w:p>
            <w:pPr>
              <w:pStyle w:val="TableText"/>
              <w:ind w:right="31"/>
              <w:spacing w:before="122" w:line="238" w:lineRule="auto"/>
              <w:jc w:val="right"/>
              <w:rPr/>
            </w:pPr>
            <w:r>
              <w:rPr>
                <w:color w:val="212529"/>
                <w:spacing w:val="-3"/>
              </w:rPr>
              <w:t>152.49</w:t>
            </w:r>
          </w:p>
        </w:tc>
        <w:tc>
          <w:tcPr>
            <w:tcW w:w="973" w:type="dxa"/>
            <w:vAlign w:val="top"/>
          </w:tcPr>
          <w:p>
            <w:pPr>
              <w:pStyle w:val="TableText"/>
              <w:ind w:right="23"/>
              <w:spacing w:before="122" w:line="238" w:lineRule="auto"/>
              <w:jc w:val="right"/>
              <w:rPr/>
            </w:pPr>
            <w:r>
              <w:rPr>
                <w:color w:val="212529"/>
                <w:spacing w:val="-3"/>
              </w:rPr>
              <w:t>136.35</w:t>
            </w:r>
          </w:p>
        </w:tc>
        <w:tc>
          <w:tcPr>
            <w:tcW w:w="898" w:type="dxa"/>
            <w:vAlign w:val="top"/>
          </w:tcPr>
          <w:p>
            <w:pPr>
              <w:rPr>
                <w:rFonts w:ascii="Arial"/>
                <w:sz w:val="21"/>
              </w:rPr>
            </w:pPr>
            <w:r/>
          </w:p>
        </w:tc>
        <w:tc>
          <w:tcPr>
            <w:tcW w:w="899" w:type="dxa"/>
            <w:vAlign w:val="top"/>
          </w:tcPr>
          <w:p>
            <w:pPr>
              <w:pStyle w:val="TableText"/>
              <w:ind w:right="20"/>
              <w:spacing w:before="122" w:line="238" w:lineRule="auto"/>
              <w:jc w:val="right"/>
              <w:rPr/>
            </w:pPr>
            <w:r>
              <w:rPr>
                <w:color w:val="212529"/>
                <w:spacing w:val="-2"/>
              </w:rPr>
              <w:t>4.76</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2" w:line="238" w:lineRule="auto"/>
              <w:jc w:val="right"/>
              <w:rPr/>
            </w:pPr>
            <w:r>
              <w:rPr>
                <w:color w:val="212529"/>
                <w:spacing w:val="-4"/>
              </w:rPr>
              <w:t>11.38</w:t>
            </w:r>
          </w:p>
        </w:tc>
      </w:tr>
      <w:tr>
        <w:trPr>
          <w:trHeight w:val="419" w:hRule="atLeast"/>
        </w:trPr>
        <w:tc>
          <w:tcPr>
            <w:tcW w:w="906" w:type="dxa"/>
            <w:vAlign w:val="top"/>
          </w:tcPr>
          <w:p>
            <w:pPr>
              <w:pStyle w:val="TableText"/>
              <w:ind w:left="9"/>
              <w:spacing w:before="122" w:line="239" w:lineRule="auto"/>
              <w:rPr/>
            </w:pPr>
            <w:r>
              <w:rPr>
                <w:color w:val="212529"/>
                <w:spacing w:val="-2"/>
              </w:rPr>
              <w:t>2100399</w:t>
            </w:r>
          </w:p>
        </w:tc>
        <w:tc>
          <w:tcPr>
            <w:tcW w:w="1482" w:type="dxa"/>
            <w:vAlign w:val="top"/>
          </w:tcPr>
          <w:p>
            <w:pPr>
              <w:pStyle w:val="TableText"/>
              <w:ind w:left="6" w:right="27"/>
              <w:spacing w:before="19" w:line="200"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3" w:line="238" w:lineRule="auto"/>
              <w:jc w:val="right"/>
              <w:rPr/>
            </w:pPr>
            <w:r>
              <w:rPr>
                <w:color w:val="212529"/>
                <w:spacing w:val="-2"/>
              </w:rPr>
              <w:t>34.65</w:t>
            </w:r>
          </w:p>
        </w:tc>
        <w:tc>
          <w:tcPr>
            <w:tcW w:w="973" w:type="dxa"/>
            <w:vAlign w:val="top"/>
          </w:tcPr>
          <w:p>
            <w:pPr>
              <w:pStyle w:val="TableText"/>
              <w:ind w:right="25"/>
              <w:spacing w:before="123" w:line="238" w:lineRule="auto"/>
              <w:jc w:val="right"/>
              <w:rPr/>
            </w:pPr>
            <w:r>
              <w:rPr>
                <w:color w:val="212529"/>
                <w:spacing w:val="-2"/>
              </w:rPr>
              <w:t>34.65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w:t>
            </w:r>
          </w:p>
        </w:tc>
        <w:tc>
          <w:tcPr>
            <w:tcW w:w="1482" w:type="dxa"/>
            <w:vAlign w:val="top"/>
          </w:tcPr>
          <w:p>
            <w:pPr>
              <w:pStyle w:val="TableText"/>
              <w:ind w:left="12"/>
              <w:spacing w:before="123" w:line="219" w:lineRule="auto"/>
              <w:rPr/>
            </w:pPr>
            <w:r>
              <w:rPr>
                <w:color w:val="212529"/>
                <w:spacing w:val="-3"/>
              </w:rPr>
              <w:t>公共卫生</w:t>
            </w:r>
          </w:p>
        </w:tc>
        <w:tc>
          <w:tcPr>
            <w:tcW w:w="988" w:type="dxa"/>
            <w:vAlign w:val="top"/>
          </w:tcPr>
          <w:p>
            <w:pPr>
              <w:pStyle w:val="TableText"/>
              <w:ind w:right="32"/>
              <w:spacing w:before="124" w:line="238" w:lineRule="auto"/>
              <w:jc w:val="right"/>
              <w:rPr/>
            </w:pPr>
            <w:r>
              <w:rPr>
                <w:color w:val="212529"/>
                <w:spacing w:val="-2"/>
              </w:rPr>
              <w:t>81.96</w:t>
            </w:r>
          </w:p>
        </w:tc>
        <w:tc>
          <w:tcPr>
            <w:tcW w:w="973" w:type="dxa"/>
            <w:vAlign w:val="top"/>
          </w:tcPr>
          <w:p>
            <w:pPr>
              <w:pStyle w:val="TableText"/>
              <w:ind w:right="25"/>
              <w:spacing w:before="124" w:line="238" w:lineRule="auto"/>
              <w:jc w:val="right"/>
              <w:rPr/>
            </w:pPr>
            <w:r>
              <w:rPr>
                <w:color w:val="212529"/>
                <w:spacing w:val="-2"/>
              </w:rPr>
              <w:t>81.96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2100401</w:t>
            </w:r>
          </w:p>
        </w:tc>
        <w:tc>
          <w:tcPr>
            <w:tcW w:w="1482" w:type="dxa"/>
            <w:vAlign w:val="top"/>
          </w:tcPr>
          <w:p>
            <w:pPr>
              <w:pStyle w:val="TableText"/>
              <w:ind w:left="6"/>
              <w:spacing w:before="123" w:line="218" w:lineRule="auto"/>
              <w:rPr/>
            </w:pPr>
            <w:r>
              <w:rPr>
                <w:color w:val="212529"/>
                <w:spacing w:val="-1"/>
              </w:rPr>
              <w:t>疾病预防控制机构</w:t>
            </w:r>
          </w:p>
        </w:tc>
        <w:tc>
          <w:tcPr>
            <w:tcW w:w="988" w:type="dxa"/>
            <w:vAlign w:val="top"/>
          </w:tcPr>
          <w:p>
            <w:pPr>
              <w:pStyle w:val="TableText"/>
              <w:ind w:right="32"/>
              <w:spacing w:before="124" w:line="238" w:lineRule="auto"/>
              <w:jc w:val="right"/>
              <w:rPr/>
            </w:pPr>
            <w:r>
              <w:rPr>
                <w:color w:val="212529"/>
                <w:spacing w:val="-2"/>
              </w:rPr>
              <w:t>0.72</w:t>
            </w:r>
          </w:p>
        </w:tc>
        <w:tc>
          <w:tcPr>
            <w:tcW w:w="973" w:type="dxa"/>
            <w:vAlign w:val="top"/>
          </w:tcPr>
          <w:p>
            <w:pPr>
              <w:pStyle w:val="TableText"/>
              <w:ind w:right="25"/>
              <w:spacing w:before="124" w:line="238" w:lineRule="auto"/>
              <w:jc w:val="right"/>
              <w:rPr/>
            </w:pPr>
            <w:r>
              <w:rPr>
                <w:color w:val="212529"/>
                <w:spacing w:val="-2"/>
              </w:rPr>
              <w:t>0.72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2"/>
              <w:spacing w:before="124" w:line="238" w:lineRule="auto"/>
              <w:jc w:val="right"/>
              <w:rPr/>
            </w:pPr>
            <w:r>
              <w:rPr>
                <w:color w:val="212529"/>
                <w:spacing w:val="-2"/>
              </w:rPr>
              <w:t>81.24</w:t>
            </w:r>
          </w:p>
        </w:tc>
        <w:tc>
          <w:tcPr>
            <w:tcW w:w="973" w:type="dxa"/>
            <w:vAlign w:val="top"/>
          </w:tcPr>
          <w:p>
            <w:pPr>
              <w:pStyle w:val="TableText"/>
              <w:ind w:right="25"/>
              <w:spacing w:before="124" w:line="238" w:lineRule="auto"/>
              <w:jc w:val="right"/>
              <w:rPr/>
            </w:pPr>
            <w:r>
              <w:rPr>
                <w:color w:val="212529"/>
                <w:spacing w:val="-2"/>
              </w:rPr>
              <w:t>81.24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1"/>
              <w:spacing w:before="124" w:line="238" w:lineRule="auto"/>
              <w:jc w:val="right"/>
              <w:rPr/>
            </w:pPr>
            <w:r>
              <w:rPr>
                <w:color w:val="212529"/>
                <w:spacing w:val="-2"/>
              </w:rPr>
              <w:t>5.92</w:t>
            </w:r>
          </w:p>
        </w:tc>
        <w:tc>
          <w:tcPr>
            <w:tcW w:w="973" w:type="dxa"/>
            <w:vAlign w:val="top"/>
          </w:tcPr>
          <w:p>
            <w:pPr>
              <w:pStyle w:val="TableText"/>
              <w:ind w:right="24"/>
              <w:spacing w:before="124" w:line="238" w:lineRule="auto"/>
              <w:jc w:val="right"/>
              <w:rPr/>
            </w:pPr>
            <w:r>
              <w:rPr>
                <w:color w:val="212529"/>
                <w:spacing w:val="-2"/>
              </w:rPr>
              <w:t>5.92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1"/>
              <w:spacing w:before="124" w:line="238" w:lineRule="auto"/>
              <w:jc w:val="right"/>
              <w:rPr/>
            </w:pPr>
            <w:r>
              <w:rPr>
                <w:color w:val="212529"/>
                <w:spacing w:val="-2"/>
              </w:rPr>
              <w:t>5.92</w:t>
            </w:r>
          </w:p>
        </w:tc>
        <w:tc>
          <w:tcPr>
            <w:tcW w:w="973" w:type="dxa"/>
            <w:vAlign w:val="top"/>
          </w:tcPr>
          <w:p>
            <w:pPr>
              <w:pStyle w:val="TableText"/>
              <w:ind w:right="24"/>
              <w:spacing w:before="124" w:line="238" w:lineRule="auto"/>
              <w:jc w:val="right"/>
              <w:rPr/>
            </w:pPr>
            <w:r>
              <w:rPr>
                <w:color w:val="212529"/>
                <w:spacing w:val="-2"/>
              </w:rPr>
              <w:t>5.92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0"/>
              <w:spacing w:before="124" w:line="238" w:lineRule="auto"/>
              <w:jc w:val="right"/>
              <w:rPr/>
            </w:pPr>
            <w:r>
              <w:rPr>
                <w:color w:val="212529"/>
                <w:spacing w:val="-4"/>
              </w:rPr>
              <w:t>12.50</w:t>
            </w:r>
          </w:p>
        </w:tc>
        <w:tc>
          <w:tcPr>
            <w:tcW w:w="973" w:type="dxa"/>
            <w:vAlign w:val="top"/>
          </w:tcPr>
          <w:p>
            <w:pPr>
              <w:pStyle w:val="TableText"/>
              <w:ind w:right="23"/>
              <w:spacing w:before="124" w:line="238" w:lineRule="auto"/>
              <w:jc w:val="right"/>
              <w:rPr/>
            </w:pPr>
            <w:r>
              <w:rPr>
                <w:color w:val="212529"/>
                <w:spacing w:val="-4"/>
              </w:rPr>
              <w:t>12.50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0"/>
              <w:spacing w:before="124" w:line="238" w:lineRule="auto"/>
              <w:jc w:val="right"/>
              <w:rPr/>
            </w:pPr>
            <w:r>
              <w:rPr>
                <w:color w:val="212529"/>
                <w:spacing w:val="-4"/>
              </w:rPr>
              <w:t>12.50</w:t>
            </w:r>
          </w:p>
        </w:tc>
        <w:tc>
          <w:tcPr>
            <w:tcW w:w="973" w:type="dxa"/>
            <w:vAlign w:val="top"/>
          </w:tcPr>
          <w:p>
            <w:pPr>
              <w:pStyle w:val="TableText"/>
              <w:ind w:right="23"/>
              <w:spacing w:before="124" w:line="238" w:lineRule="auto"/>
              <w:jc w:val="right"/>
              <w:rPr/>
            </w:pPr>
            <w:r>
              <w:rPr>
                <w:color w:val="212529"/>
                <w:spacing w:val="-4"/>
              </w:rPr>
              <w:t>12.50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0"/>
              <w:spacing w:before="124" w:line="238" w:lineRule="auto"/>
              <w:jc w:val="right"/>
              <w:rPr/>
            </w:pPr>
            <w:r>
              <w:rPr>
                <w:color w:val="212529"/>
                <w:spacing w:val="-4"/>
              </w:rPr>
              <w:t>12.50</w:t>
            </w:r>
          </w:p>
        </w:tc>
        <w:tc>
          <w:tcPr>
            <w:tcW w:w="973" w:type="dxa"/>
            <w:vAlign w:val="top"/>
          </w:tcPr>
          <w:p>
            <w:pPr>
              <w:pStyle w:val="TableText"/>
              <w:ind w:right="23"/>
              <w:spacing w:before="124" w:line="238" w:lineRule="auto"/>
              <w:jc w:val="right"/>
              <w:rPr/>
            </w:pPr>
            <w:r>
              <w:rPr>
                <w:color w:val="212529"/>
                <w:spacing w:val="-4"/>
              </w:rPr>
              <w:t>12.50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部门名称：兴县高家村镇中心卫生院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31"/>
              <w:spacing w:before="135" w:line="162" w:lineRule="auto"/>
              <w:rPr>
                <w:rFonts w:ascii="Arial" w:hAnsi="Arial" w:eastAsia="Arial" w:cs="Arial"/>
                <w:sz w:val="17"/>
                <w:szCs w:val="17"/>
              </w:rPr>
            </w:pPr>
            <w:r>
              <w:rPr>
                <w:rFonts w:ascii="Arial" w:hAnsi="Arial" w:eastAsia="Arial" w:cs="Arial"/>
                <w:sz w:val="17"/>
                <w:szCs w:val="17"/>
                <w:color w:val="212529"/>
                <w:spacing w:val="1"/>
              </w:rPr>
              <w:t>301.44</w:t>
            </w:r>
          </w:p>
        </w:tc>
        <w:tc>
          <w:tcPr>
            <w:tcW w:w="1108" w:type="dxa"/>
            <w:vAlign w:val="top"/>
          </w:tcPr>
          <w:p>
            <w:pPr>
              <w:ind w:left="547"/>
              <w:spacing w:before="135" w:line="212" w:lineRule="auto"/>
              <w:rPr>
                <w:rFonts w:ascii="Arial" w:hAnsi="Arial" w:eastAsia="Arial" w:cs="Arial"/>
                <w:sz w:val="13"/>
                <w:szCs w:val="13"/>
              </w:rPr>
            </w:pPr>
            <w:r>
              <w:rPr>
                <w:rFonts w:ascii="Arial" w:hAnsi="Arial" w:eastAsia="Arial" w:cs="Arial"/>
                <w:sz w:val="13"/>
                <w:szCs w:val="13"/>
                <w:color w:val="212529"/>
                <w:spacing w:val="9"/>
              </w:rPr>
              <w:t>166.</w:t>
            </w:r>
            <w:r>
              <w:rPr>
                <w:rFonts w:ascii="Arial" w:hAnsi="Arial" w:eastAsia="Arial" w:cs="Arial"/>
                <w:sz w:val="13"/>
                <w:szCs w:val="13"/>
                <w:color w:val="212529"/>
                <w:spacing w:val="27"/>
                <w:w w:val="102"/>
              </w:rPr>
              <w:t xml:space="preserve"> </w:t>
            </w:r>
            <w:r>
              <w:rPr>
                <w:rFonts w:ascii="Arial" w:hAnsi="Arial" w:eastAsia="Arial" w:cs="Arial"/>
                <w:sz w:val="13"/>
                <w:szCs w:val="13"/>
                <w:color w:val="212529"/>
                <w:spacing w:val="9"/>
              </w:rPr>
              <w:t>18</w:t>
            </w:r>
          </w:p>
        </w:tc>
        <w:tc>
          <w:tcPr>
            <w:tcW w:w="1123" w:type="dxa"/>
            <w:vAlign w:val="top"/>
          </w:tcPr>
          <w:p>
            <w:pPr>
              <w:ind w:left="554"/>
              <w:spacing w:before="135" w:line="172" w:lineRule="auto"/>
              <w:rPr>
                <w:rFonts w:ascii="Arial" w:hAnsi="Arial" w:eastAsia="Arial" w:cs="Arial"/>
                <w:sz w:val="16"/>
                <w:szCs w:val="16"/>
              </w:rPr>
            </w:pPr>
            <w:r>
              <w:rPr>
                <w:rFonts w:ascii="Arial" w:hAnsi="Arial" w:eastAsia="Arial" w:cs="Arial"/>
                <w:sz w:val="16"/>
                <w:szCs w:val="16"/>
                <w:color w:val="212529"/>
                <w:spacing w:val="4"/>
              </w:rPr>
              <w:t>135.26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18.66</w:t>
            </w:r>
          </w:p>
        </w:tc>
        <w:tc>
          <w:tcPr>
            <w:tcW w:w="1108" w:type="dxa"/>
            <w:vAlign w:val="top"/>
          </w:tcPr>
          <w:p>
            <w:pPr>
              <w:pStyle w:val="TableText"/>
              <w:ind w:right="21"/>
              <w:spacing w:before="115" w:line="238" w:lineRule="auto"/>
              <w:jc w:val="right"/>
              <w:rPr/>
            </w:pPr>
            <w:r>
              <w:rPr>
                <w:color w:val="212529"/>
                <w:spacing w:val="-4"/>
              </w:rPr>
              <w:t>18.66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18.66</w:t>
            </w:r>
          </w:p>
        </w:tc>
        <w:tc>
          <w:tcPr>
            <w:tcW w:w="1108" w:type="dxa"/>
            <w:vAlign w:val="top"/>
          </w:tcPr>
          <w:p>
            <w:pPr>
              <w:pStyle w:val="TableText"/>
              <w:ind w:right="21"/>
              <w:spacing w:before="116" w:line="238" w:lineRule="auto"/>
              <w:jc w:val="right"/>
              <w:rPr/>
            </w:pPr>
            <w:r>
              <w:rPr>
                <w:color w:val="212529"/>
                <w:spacing w:val="-4"/>
              </w:rPr>
              <w:t>18.66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0.58</w:t>
            </w:r>
          </w:p>
        </w:tc>
        <w:tc>
          <w:tcPr>
            <w:tcW w:w="1108" w:type="dxa"/>
            <w:vAlign w:val="top"/>
          </w:tcPr>
          <w:p>
            <w:pPr>
              <w:pStyle w:val="TableText"/>
              <w:ind w:right="23"/>
              <w:spacing w:before="117" w:line="238" w:lineRule="auto"/>
              <w:jc w:val="right"/>
              <w:rPr/>
            </w:pPr>
            <w:r>
              <w:rPr>
                <w:color w:val="212529"/>
                <w:spacing w:val="-2"/>
              </w:rPr>
              <w:t>0.58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8" w:line="238" w:lineRule="auto"/>
              <w:jc w:val="right"/>
              <w:rPr/>
            </w:pPr>
            <w:r>
              <w:rPr>
                <w:color w:val="212529"/>
                <w:spacing w:val="-4"/>
              </w:rPr>
              <w:t>13.25</w:t>
            </w:r>
          </w:p>
        </w:tc>
        <w:tc>
          <w:tcPr>
            <w:tcW w:w="1108" w:type="dxa"/>
            <w:vAlign w:val="top"/>
          </w:tcPr>
          <w:p>
            <w:pPr>
              <w:pStyle w:val="TableText"/>
              <w:ind w:right="21"/>
              <w:spacing w:before="118" w:line="238" w:lineRule="auto"/>
              <w:jc w:val="right"/>
              <w:rPr/>
            </w:pPr>
            <w:r>
              <w:rPr>
                <w:color w:val="212529"/>
                <w:spacing w:val="-4"/>
              </w:rPr>
              <w:t>13.25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30"/>
              <w:spacing w:before="119" w:line="238" w:lineRule="auto"/>
              <w:jc w:val="right"/>
              <w:rPr/>
            </w:pPr>
            <w:r>
              <w:rPr>
                <w:color w:val="212529"/>
                <w:spacing w:val="-2"/>
              </w:rPr>
              <w:t>4.83</w:t>
            </w:r>
          </w:p>
        </w:tc>
        <w:tc>
          <w:tcPr>
            <w:tcW w:w="1108" w:type="dxa"/>
            <w:vAlign w:val="top"/>
          </w:tcPr>
          <w:p>
            <w:pPr>
              <w:pStyle w:val="TableText"/>
              <w:ind w:right="24"/>
              <w:spacing w:before="119" w:line="238" w:lineRule="auto"/>
              <w:jc w:val="right"/>
              <w:rPr/>
            </w:pPr>
            <w:r>
              <w:rPr>
                <w:color w:val="212529"/>
                <w:spacing w:val="-2"/>
              </w:rPr>
              <w:t>4.83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270.28</w:t>
            </w:r>
          </w:p>
        </w:tc>
        <w:tc>
          <w:tcPr>
            <w:tcW w:w="1108" w:type="dxa"/>
            <w:vAlign w:val="top"/>
          </w:tcPr>
          <w:p>
            <w:pPr>
              <w:pStyle w:val="TableText"/>
              <w:ind w:right="22"/>
              <w:spacing w:before="120" w:line="238" w:lineRule="auto"/>
              <w:jc w:val="right"/>
              <w:rPr/>
            </w:pPr>
            <w:r>
              <w:rPr>
                <w:color w:val="212529"/>
                <w:spacing w:val="-3"/>
              </w:rPr>
              <w:t>135.02</w:t>
            </w:r>
          </w:p>
        </w:tc>
        <w:tc>
          <w:tcPr>
            <w:tcW w:w="1123" w:type="dxa"/>
            <w:vAlign w:val="top"/>
          </w:tcPr>
          <w:p>
            <w:pPr>
              <w:pStyle w:val="TableText"/>
              <w:ind w:right="30"/>
              <w:spacing w:before="120" w:line="238" w:lineRule="auto"/>
              <w:jc w:val="right"/>
              <w:rPr/>
            </w:pPr>
            <w:r>
              <w:rPr>
                <w:color w:val="212529"/>
                <w:spacing w:val="-3"/>
              </w:rPr>
              <w:t>135.26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21002</w:t>
            </w:r>
          </w:p>
        </w:tc>
        <w:tc>
          <w:tcPr>
            <w:tcW w:w="1752" w:type="dxa"/>
            <w:vAlign w:val="top"/>
          </w:tcPr>
          <w:p>
            <w:pPr>
              <w:pStyle w:val="TableText"/>
              <w:ind w:left="11"/>
              <w:spacing w:before="121" w:line="219" w:lineRule="auto"/>
              <w:rPr/>
            </w:pPr>
            <w:r>
              <w:rPr>
                <w:color w:val="212529"/>
                <w:spacing w:val="-3"/>
              </w:rPr>
              <w:t>公立医院</w:t>
            </w:r>
          </w:p>
        </w:tc>
        <w:tc>
          <w:tcPr>
            <w:tcW w:w="1108" w:type="dxa"/>
            <w:vAlign w:val="top"/>
          </w:tcPr>
          <w:p>
            <w:pPr>
              <w:pStyle w:val="TableText"/>
              <w:ind w:right="29"/>
              <w:spacing w:before="121" w:line="238" w:lineRule="auto"/>
              <w:jc w:val="right"/>
              <w:rPr/>
            </w:pPr>
            <w:r>
              <w:rPr>
                <w:color w:val="212529"/>
                <w:spacing w:val="-2"/>
              </w:rPr>
              <w:t>5.11</w:t>
            </w:r>
          </w:p>
        </w:tc>
        <w:tc>
          <w:tcPr>
            <w:tcW w:w="1108" w:type="dxa"/>
            <w:vAlign w:val="top"/>
          </w:tcPr>
          <w:p>
            <w:pPr>
              <w:pStyle w:val="TableText"/>
              <w:ind w:right="23"/>
              <w:spacing w:before="121" w:line="238" w:lineRule="auto"/>
              <w:jc w:val="right"/>
              <w:rPr/>
            </w:pPr>
            <w:r>
              <w:rPr>
                <w:color w:val="212529"/>
                <w:spacing w:val="-2"/>
              </w:rPr>
              <w:t>5.11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2100299</w:t>
            </w:r>
          </w:p>
        </w:tc>
        <w:tc>
          <w:tcPr>
            <w:tcW w:w="1752" w:type="dxa"/>
            <w:vAlign w:val="top"/>
          </w:tcPr>
          <w:p>
            <w:pPr>
              <w:pStyle w:val="TableText"/>
              <w:ind w:left="5"/>
              <w:spacing w:before="122" w:line="219" w:lineRule="auto"/>
              <w:rPr/>
            </w:pPr>
            <w:r>
              <w:rPr>
                <w:color w:val="212529"/>
                <w:spacing w:val="-1"/>
              </w:rPr>
              <w:t>其他公立医院支出</w:t>
            </w:r>
          </w:p>
        </w:tc>
        <w:tc>
          <w:tcPr>
            <w:tcW w:w="1108" w:type="dxa"/>
            <w:vAlign w:val="top"/>
          </w:tcPr>
          <w:p>
            <w:pPr>
              <w:pStyle w:val="TableText"/>
              <w:ind w:right="29"/>
              <w:spacing w:before="122" w:line="238" w:lineRule="auto"/>
              <w:jc w:val="right"/>
              <w:rPr/>
            </w:pPr>
            <w:r>
              <w:rPr>
                <w:color w:val="212529"/>
                <w:spacing w:val="-2"/>
              </w:rPr>
              <w:t>5.11</w:t>
            </w:r>
          </w:p>
        </w:tc>
        <w:tc>
          <w:tcPr>
            <w:tcW w:w="1108" w:type="dxa"/>
            <w:vAlign w:val="top"/>
          </w:tcPr>
          <w:p>
            <w:pPr>
              <w:pStyle w:val="TableText"/>
              <w:ind w:right="23"/>
              <w:spacing w:before="122" w:line="238" w:lineRule="auto"/>
              <w:jc w:val="right"/>
              <w:rPr/>
            </w:pPr>
            <w:r>
              <w:rPr>
                <w:color w:val="212529"/>
                <w:spacing w:val="-2"/>
              </w:rPr>
              <w:t>5.11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21003</w:t>
            </w:r>
          </w:p>
        </w:tc>
        <w:tc>
          <w:tcPr>
            <w:tcW w:w="1752" w:type="dxa"/>
            <w:vAlign w:val="top"/>
          </w:tcPr>
          <w:p>
            <w:pPr>
              <w:pStyle w:val="TableText"/>
              <w:ind w:left="5"/>
              <w:spacing w:before="122" w:line="218" w:lineRule="auto"/>
              <w:rPr/>
            </w:pPr>
            <w:r>
              <w:rPr>
                <w:color w:val="212529"/>
                <w:spacing w:val="-1"/>
              </w:rPr>
              <w:t>基层医疗卫生机构</w:t>
            </w:r>
          </w:p>
        </w:tc>
        <w:tc>
          <w:tcPr>
            <w:tcW w:w="1108" w:type="dxa"/>
            <w:vAlign w:val="top"/>
          </w:tcPr>
          <w:p>
            <w:pPr>
              <w:pStyle w:val="TableText"/>
              <w:ind w:right="29"/>
              <w:spacing w:before="123" w:line="238" w:lineRule="auto"/>
              <w:jc w:val="right"/>
              <w:rPr/>
            </w:pPr>
            <w:r>
              <w:rPr>
                <w:color w:val="212529"/>
                <w:spacing w:val="-3"/>
              </w:rPr>
              <w:t>177.29</w:t>
            </w:r>
          </w:p>
        </w:tc>
        <w:tc>
          <w:tcPr>
            <w:tcW w:w="1108" w:type="dxa"/>
            <w:vAlign w:val="top"/>
          </w:tcPr>
          <w:p>
            <w:pPr>
              <w:pStyle w:val="TableText"/>
              <w:ind w:right="22"/>
              <w:spacing w:before="123" w:line="238" w:lineRule="auto"/>
              <w:jc w:val="right"/>
              <w:rPr/>
            </w:pPr>
            <w:r>
              <w:rPr>
                <w:color w:val="212529"/>
                <w:spacing w:val="-3"/>
              </w:rPr>
              <w:t>123.99</w:t>
            </w:r>
          </w:p>
        </w:tc>
        <w:tc>
          <w:tcPr>
            <w:tcW w:w="1123" w:type="dxa"/>
            <w:vAlign w:val="top"/>
          </w:tcPr>
          <w:p>
            <w:pPr>
              <w:pStyle w:val="TableText"/>
              <w:ind w:right="31"/>
              <w:spacing w:before="123" w:line="238" w:lineRule="auto"/>
              <w:jc w:val="right"/>
              <w:rPr/>
            </w:pPr>
            <w:r>
              <w:rPr>
                <w:color w:val="212529"/>
                <w:spacing w:val="-2"/>
              </w:rPr>
              <w:t>53.31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2100302</w:t>
            </w:r>
          </w:p>
        </w:tc>
        <w:tc>
          <w:tcPr>
            <w:tcW w:w="1752" w:type="dxa"/>
            <w:vAlign w:val="top"/>
          </w:tcPr>
          <w:p>
            <w:pPr>
              <w:pStyle w:val="TableText"/>
              <w:ind w:left="13"/>
              <w:spacing w:before="122" w:line="219" w:lineRule="auto"/>
              <w:rPr/>
            </w:pPr>
            <w:r>
              <w:rPr>
                <w:color w:val="212529"/>
                <w:spacing w:val="-3"/>
              </w:rPr>
              <w:t>乡镇卫生院</w:t>
            </w:r>
          </w:p>
        </w:tc>
        <w:tc>
          <w:tcPr>
            <w:tcW w:w="1108" w:type="dxa"/>
            <w:vAlign w:val="top"/>
          </w:tcPr>
          <w:p>
            <w:pPr>
              <w:pStyle w:val="TableText"/>
              <w:ind w:right="29"/>
              <w:spacing w:before="123" w:line="238" w:lineRule="auto"/>
              <w:jc w:val="right"/>
              <w:rPr/>
            </w:pPr>
            <w:r>
              <w:rPr>
                <w:color w:val="212529"/>
                <w:spacing w:val="-3"/>
              </w:rPr>
              <w:t>142.64</w:t>
            </w:r>
          </w:p>
        </w:tc>
        <w:tc>
          <w:tcPr>
            <w:tcW w:w="1108" w:type="dxa"/>
            <w:vAlign w:val="top"/>
          </w:tcPr>
          <w:p>
            <w:pPr>
              <w:pStyle w:val="TableText"/>
              <w:ind w:right="22"/>
              <w:spacing w:before="123" w:line="238" w:lineRule="auto"/>
              <w:jc w:val="right"/>
              <w:rPr/>
            </w:pPr>
            <w:r>
              <w:rPr>
                <w:color w:val="212529"/>
                <w:spacing w:val="-3"/>
              </w:rPr>
              <w:t>123.99</w:t>
            </w:r>
          </w:p>
        </w:tc>
        <w:tc>
          <w:tcPr>
            <w:tcW w:w="1123" w:type="dxa"/>
            <w:vAlign w:val="top"/>
          </w:tcPr>
          <w:p>
            <w:pPr>
              <w:pStyle w:val="TableText"/>
              <w:ind w:right="29"/>
              <w:spacing w:before="123" w:line="238" w:lineRule="auto"/>
              <w:jc w:val="right"/>
              <w:rPr/>
            </w:pPr>
            <w:r>
              <w:rPr>
                <w:color w:val="212529"/>
                <w:spacing w:val="-4"/>
              </w:rPr>
              <w:t>18.66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3" w:line="238" w:lineRule="auto"/>
              <w:jc w:val="right"/>
              <w:rPr/>
            </w:pPr>
            <w:r>
              <w:rPr>
                <w:color w:val="212529"/>
                <w:spacing w:val="-2"/>
              </w:rPr>
              <w:t>34.65</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34.65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30"/>
              <w:spacing w:before="124" w:line="238" w:lineRule="auto"/>
              <w:jc w:val="right"/>
              <w:rPr/>
            </w:pPr>
            <w:r>
              <w:rPr>
                <w:color w:val="212529"/>
                <w:spacing w:val="-2"/>
              </w:rPr>
              <w:t>81.96</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81.96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0.72</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0.72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81.24</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81.24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2"/>
              </w:rPr>
              <w:t>5.92</w:t>
            </w:r>
          </w:p>
        </w:tc>
        <w:tc>
          <w:tcPr>
            <w:tcW w:w="1108" w:type="dxa"/>
            <w:vAlign w:val="top"/>
          </w:tcPr>
          <w:p>
            <w:pPr>
              <w:pStyle w:val="TableText"/>
              <w:ind w:right="23"/>
              <w:spacing w:before="124" w:line="238" w:lineRule="auto"/>
              <w:jc w:val="right"/>
              <w:rPr/>
            </w:pPr>
            <w:r>
              <w:rPr>
                <w:color w:val="212529"/>
                <w:spacing w:val="-2"/>
              </w:rPr>
              <w:t>5.92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9"/>
              <w:spacing w:before="124" w:line="238" w:lineRule="auto"/>
              <w:jc w:val="right"/>
              <w:rPr/>
            </w:pPr>
            <w:r>
              <w:rPr>
                <w:color w:val="212529"/>
                <w:spacing w:val="-2"/>
              </w:rPr>
              <w:t>5.92</w:t>
            </w:r>
          </w:p>
        </w:tc>
        <w:tc>
          <w:tcPr>
            <w:tcW w:w="1108" w:type="dxa"/>
            <w:vAlign w:val="top"/>
          </w:tcPr>
          <w:p>
            <w:pPr>
              <w:pStyle w:val="TableText"/>
              <w:ind w:right="23"/>
              <w:spacing w:before="124" w:line="238" w:lineRule="auto"/>
              <w:jc w:val="right"/>
              <w:rPr/>
            </w:pPr>
            <w:r>
              <w:rPr>
                <w:color w:val="212529"/>
                <w:spacing w:val="-2"/>
              </w:rPr>
              <w:t>5.92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12.50</w:t>
            </w:r>
          </w:p>
        </w:tc>
        <w:tc>
          <w:tcPr>
            <w:tcW w:w="1108" w:type="dxa"/>
            <w:vAlign w:val="top"/>
          </w:tcPr>
          <w:p>
            <w:pPr>
              <w:pStyle w:val="TableText"/>
              <w:ind w:right="21"/>
              <w:spacing w:before="124" w:line="238" w:lineRule="auto"/>
              <w:jc w:val="right"/>
              <w:rPr/>
            </w:pPr>
            <w:r>
              <w:rPr>
                <w:color w:val="212529"/>
                <w:spacing w:val="-4"/>
              </w:rPr>
              <w:t>12.50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12.50</w:t>
            </w:r>
          </w:p>
        </w:tc>
        <w:tc>
          <w:tcPr>
            <w:tcW w:w="1108" w:type="dxa"/>
            <w:vAlign w:val="top"/>
          </w:tcPr>
          <w:p>
            <w:pPr>
              <w:pStyle w:val="TableText"/>
              <w:ind w:right="21"/>
              <w:spacing w:before="124" w:line="238" w:lineRule="auto"/>
              <w:jc w:val="right"/>
              <w:rPr/>
            </w:pPr>
            <w:r>
              <w:rPr>
                <w:color w:val="212529"/>
                <w:spacing w:val="-4"/>
              </w:rPr>
              <w:t>12.50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12.50</w:t>
            </w:r>
          </w:p>
        </w:tc>
        <w:tc>
          <w:tcPr>
            <w:tcW w:w="1108" w:type="dxa"/>
            <w:vAlign w:val="top"/>
          </w:tcPr>
          <w:p>
            <w:pPr>
              <w:pStyle w:val="TableText"/>
              <w:ind w:right="21"/>
              <w:spacing w:before="124" w:line="238" w:lineRule="auto"/>
              <w:jc w:val="right"/>
              <w:rPr/>
            </w:pPr>
            <w:r>
              <w:rPr>
                <w:color w:val="212529"/>
                <w:spacing w:val="-4"/>
              </w:rPr>
              <w:t>12.50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部门名称：兴县高家村镇中心卫生院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290.04</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18.66</w:t>
            </w:r>
          </w:p>
        </w:tc>
        <w:tc>
          <w:tcPr>
            <w:tcW w:w="1003" w:type="dxa"/>
            <w:vAlign w:val="top"/>
          </w:tcPr>
          <w:p>
            <w:pPr>
              <w:pStyle w:val="TableText"/>
              <w:ind w:right="18"/>
              <w:spacing w:before="181" w:line="238" w:lineRule="auto"/>
              <w:jc w:val="right"/>
              <w:rPr/>
            </w:pPr>
            <w:r>
              <w:rPr>
                <w:color w:val="212529"/>
                <w:spacing w:val="-4"/>
              </w:rPr>
              <w:t>18.66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20"/>
              <w:spacing w:before="182" w:line="238" w:lineRule="auto"/>
              <w:jc w:val="right"/>
              <w:rPr/>
            </w:pPr>
            <w:r>
              <w:rPr>
                <w:color w:val="212529"/>
                <w:spacing w:val="-2"/>
              </w:rPr>
              <w:t>258.88</w:t>
            </w:r>
          </w:p>
        </w:tc>
        <w:tc>
          <w:tcPr>
            <w:tcW w:w="1003" w:type="dxa"/>
            <w:vAlign w:val="top"/>
          </w:tcPr>
          <w:p>
            <w:pPr>
              <w:pStyle w:val="TableText"/>
              <w:ind w:right="21"/>
              <w:spacing w:before="182" w:line="238" w:lineRule="auto"/>
              <w:jc w:val="right"/>
              <w:rPr/>
            </w:pPr>
            <w:r>
              <w:rPr>
                <w:color w:val="212529"/>
                <w:spacing w:val="-2"/>
              </w:rPr>
              <w:t>258.88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12.50</w:t>
            </w:r>
          </w:p>
        </w:tc>
        <w:tc>
          <w:tcPr>
            <w:tcW w:w="1003" w:type="dxa"/>
            <w:vAlign w:val="top"/>
          </w:tcPr>
          <w:p>
            <w:pPr>
              <w:pStyle w:val="TableText"/>
              <w:ind w:right="18"/>
              <w:spacing w:before="184" w:line="238" w:lineRule="auto"/>
              <w:jc w:val="right"/>
              <w:rPr/>
            </w:pPr>
            <w:r>
              <w:rPr>
                <w:color w:val="212529"/>
                <w:spacing w:val="-4"/>
              </w:rPr>
              <w:t>12.50</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3" w:lineRule="auto"/>
              <w:rPr>
                <w:rFonts w:ascii="Arial" w:hAnsi="Arial" w:eastAsia="Arial" w:cs="Arial"/>
                <w:sz w:val="15"/>
                <w:szCs w:val="15"/>
              </w:rPr>
            </w:pPr>
            <w:r>
              <w:rPr>
                <w:rFonts w:ascii="Arial" w:hAnsi="Arial" w:eastAsia="Arial" w:cs="Arial"/>
                <w:sz w:val="15"/>
                <w:szCs w:val="15"/>
                <w:color w:val="212529"/>
                <w:spacing w:val="2"/>
              </w:rPr>
              <w:t>290.</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04</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1"/>
              <w:spacing w:before="182" w:line="161" w:lineRule="auto"/>
              <w:rPr>
                <w:rFonts w:ascii="Arial" w:hAnsi="Arial" w:eastAsia="Arial" w:cs="Arial"/>
                <w:sz w:val="17"/>
                <w:szCs w:val="17"/>
              </w:rPr>
            </w:pPr>
            <w:r>
              <w:rPr>
                <w:rFonts w:ascii="Arial" w:hAnsi="Arial" w:eastAsia="Arial" w:cs="Arial"/>
                <w:sz w:val="17"/>
                <w:szCs w:val="17"/>
                <w:color w:val="212529"/>
                <w:spacing w:val="2"/>
              </w:rPr>
              <w:t>290.04</w:t>
            </w:r>
          </w:p>
        </w:tc>
        <w:tc>
          <w:tcPr>
            <w:tcW w:w="1003" w:type="dxa"/>
            <w:vAlign w:val="top"/>
          </w:tcPr>
          <w:p>
            <w:pPr>
              <w:ind w:left="434"/>
              <w:spacing w:before="181" w:line="183" w:lineRule="auto"/>
              <w:rPr>
                <w:rFonts w:ascii="Arial" w:hAnsi="Arial" w:eastAsia="Arial" w:cs="Arial"/>
                <w:sz w:val="15"/>
                <w:szCs w:val="15"/>
              </w:rPr>
            </w:pPr>
            <w:r>
              <w:rPr>
                <w:rFonts w:ascii="Arial" w:hAnsi="Arial" w:eastAsia="Arial" w:cs="Arial"/>
                <w:sz w:val="15"/>
                <w:szCs w:val="15"/>
                <w:color w:val="212529"/>
                <w:spacing w:val="3"/>
              </w:rPr>
              <w:t>290.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04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3" w:lineRule="auto"/>
              <w:rPr>
                <w:rFonts w:ascii="Arial" w:hAnsi="Arial" w:eastAsia="Arial" w:cs="Arial"/>
                <w:sz w:val="15"/>
                <w:szCs w:val="15"/>
              </w:rPr>
            </w:pPr>
            <w:r>
              <w:rPr>
                <w:rFonts w:ascii="Arial" w:hAnsi="Arial" w:eastAsia="Arial" w:cs="Arial"/>
                <w:sz w:val="15"/>
                <w:szCs w:val="15"/>
                <w:color w:val="212529"/>
                <w:spacing w:val="2"/>
              </w:rPr>
              <w:t>290.</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04</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290.04</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290.04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部门名称：兴县高家村镇中心卫生院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5"/>
                <w:position w:val="1"/>
              </w:rPr>
              <w:t>290.04</w:t>
            </w:r>
          </w:p>
        </w:tc>
        <w:tc>
          <w:tcPr>
            <w:tcW w:w="1423" w:type="dxa"/>
            <w:vAlign w:val="top"/>
          </w:tcPr>
          <w:p>
            <w:pPr>
              <w:pStyle w:val="TableText"/>
              <w:ind w:right="21"/>
              <w:spacing w:before="79" w:line="281" w:lineRule="exact"/>
              <w:jc w:val="right"/>
              <w:rPr>
                <w:sz w:val="21"/>
                <w:szCs w:val="21"/>
              </w:rPr>
            </w:pPr>
            <w:r>
              <w:rPr>
                <w:sz w:val="21"/>
                <w:szCs w:val="21"/>
                <w:color w:val="212529"/>
                <w:spacing w:val="2"/>
                <w:position w:val="1"/>
              </w:rPr>
              <w:t>154.78</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135.26</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2"/>
                <w:position w:val="1"/>
              </w:rPr>
              <w:t>18.66</w:t>
            </w:r>
          </w:p>
        </w:tc>
        <w:tc>
          <w:tcPr>
            <w:tcW w:w="1423" w:type="dxa"/>
            <w:vAlign w:val="top"/>
          </w:tcPr>
          <w:p>
            <w:pPr>
              <w:pStyle w:val="TableText"/>
              <w:ind w:right="21"/>
              <w:spacing w:before="80" w:line="281" w:lineRule="exact"/>
              <w:jc w:val="right"/>
              <w:rPr>
                <w:sz w:val="21"/>
                <w:szCs w:val="21"/>
              </w:rPr>
            </w:pPr>
            <w:r>
              <w:rPr>
                <w:sz w:val="21"/>
                <w:szCs w:val="21"/>
                <w:color w:val="212529"/>
                <w:spacing w:val="2"/>
                <w:position w:val="1"/>
              </w:rPr>
              <w:t>18.66</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2"/>
                <w:position w:val="1"/>
              </w:rPr>
              <w:t>18.66</w:t>
            </w:r>
          </w:p>
        </w:tc>
        <w:tc>
          <w:tcPr>
            <w:tcW w:w="1423" w:type="dxa"/>
            <w:vAlign w:val="top"/>
          </w:tcPr>
          <w:p>
            <w:pPr>
              <w:pStyle w:val="TableText"/>
              <w:ind w:right="21"/>
              <w:spacing w:before="156" w:line="281" w:lineRule="exact"/>
              <w:jc w:val="right"/>
              <w:rPr>
                <w:sz w:val="21"/>
                <w:szCs w:val="21"/>
              </w:rPr>
            </w:pPr>
            <w:r>
              <w:rPr>
                <w:sz w:val="21"/>
                <w:szCs w:val="21"/>
                <w:color w:val="212529"/>
                <w:spacing w:val="2"/>
                <w:position w:val="1"/>
              </w:rPr>
              <w:t>18.66</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291" w:type="dxa"/>
            <w:vAlign w:val="top"/>
          </w:tcPr>
          <w:p>
            <w:pPr>
              <w:pStyle w:val="TableText"/>
              <w:ind w:left="6"/>
              <w:spacing w:before="83" w:line="227" w:lineRule="auto"/>
              <w:rPr>
                <w:sz w:val="21"/>
                <w:szCs w:val="21"/>
              </w:rPr>
            </w:pPr>
            <w:r>
              <w:rPr>
                <w:sz w:val="21"/>
                <w:szCs w:val="21"/>
                <w:color w:val="212529"/>
                <w:spacing w:val="12"/>
              </w:rPr>
              <w:t>事业单位离退休</w:t>
            </w:r>
          </w:p>
        </w:tc>
        <w:tc>
          <w:tcPr>
            <w:tcW w:w="1557" w:type="dxa"/>
            <w:vAlign w:val="top"/>
          </w:tcPr>
          <w:p>
            <w:pPr>
              <w:pStyle w:val="TableText"/>
              <w:ind w:right="36"/>
              <w:spacing w:before="82" w:line="281" w:lineRule="exact"/>
              <w:jc w:val="right"/>
              <w:rPr>
                <w:sz w:val="21"/>
                <w:szCs w:val="21"/>
              </w:rPr>
            </w:pPr>
            <w:r>
              <w:rPr>
                <w:sz w:val="21"/>
                <w:szCs w:val="21"/>
                <w:color w:val="212529"/>
                <w:spacing w:val="4"/>
                <w:position w:val="1"/>
              </w:rPr>
              <w:t>0.58</w:t>
            </w:r>
          </w:p>
        </w:tc>
        <w:tc>
          <w:tcPr>
            <w:tcW w:w="1423" w:type="dxa"/>
            <w:vAlign w:val="top"/>
          </w:tcPr>
          <w:p>
            <w:pPr>
              <w:pStyle w:val="TableText"/>
              <w:ind w:right="21"/>
              <w:spacing w:before="82" w:line="281" w:lineRule="exact"/>
              <w:jc w:val="right"/>
              <w:rPr>
                <w:sz w:val="21"/>
                <w:szCs w:val="21"/>
              </w:rPr>
            </w:pPr>
            <w:r>
              <w:rPr>
                <w:sz w:val="21"/>
                <w:szCs w:val="21"/>
                <w:color w:val="212529"/>
                <w:spacing w:val="4"/>
                <w:position w:val="1"/>
              </w:rPr>
              <w:t>0.58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8" w:line="281" w:lineRule="exact"/>
              <w:jc w:val="right"/>
              <w:rPr>
                <w:sz w:val="21"/>
                <w:szCs w:val="21"/>
              </w:rPr>
            </w:pPr>
            <w:r>
              <w:rPr>
                <w:sz w:val="21"/>
                <w:szCs w:val="21"/>
                <w:color w:val="212529"/>
                <w:spacing w:val="2"/>
                <w:position w:val="1"/>
              </w:rPr>
              <w:t>13.25</w:t>
            </w:r>
          </w:p>
        </w:tc>
        <w:tc>
          <w:tcPr>
            <w:tcW w:w="1423" w:type="dxa"/>
            <w:vAlign w:val="top"/>
          </w:tcPr>
          <w:p>
            <w:pPr>
              <w:pStyle w:val="TableText"/>
              <w:ind w:right="21"/>
              <w:spacing w:before="158" w:line="281" w:lineRule="exact"/>
              <w:jc w:val="right"/>
              <w:rPr>
                <w:sz w:val="21"/>
                <w:szCs w:val="21"/>
              </w:rPr>
            </w:pPr>
            <w:r>
              <w:rPr>
                <w:sz w:val="21"/>
                <w:szCs w:val="21"/>
                <w:color w:val="212529"/>
                <w:spacing w:val="2"/>
                <w:position w:val="1"/>
              </w:rPr>
              <w:t>13.25</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5" w:line="208"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59" w:line="281" w:lineRule="exact"/>
              <w:jc w:val="right"/>
              <w:rPr>
                <w:sz w:val="21"/>
                <w:szCs w:val="21"/>
              </w:rPr>
            </w:pPr>
            <w:r>
              <w:rPr>
                <w:sz w:val="21"/>
                <w:szCs w:val="21"/>
                <w:color w:val="212529"/>
                <w:spacing w:val="4"/>
                <w:position w:val="1"/>
              </w:rPr>
              <w:t>4.83</w:t>
            </w:r>
          </w:p>
        </w:tc>
        <w:tc>
          <w:tcPr>
            <w:tcW w:w="1423" w:type="dxa"/>
            <w:vAlign w:val="top"/>
          </w:tcPr>
          <w:p>
            <w:pPr>
              <w:pStyle w:val="TableText"/>
              <w:ind w:right="21"/>
              <w:spacing w:before="159" w:line="281" w:lineRule="exact"/>
              <w:jc w:val="right"/>
              <w:rPr>
                <w:sz w:val="21"/>
                <w:szCs w:val="21"/>
              </w:rPr>
            </w:pPr>
            <w:r>
              <w:rPr>
                <w:sz w:val="21"/>
                <w:szCs w:val="21"/>
                <w:color w:val="212529"/>
                <w:spacing w:val="4"/>
                <w:position w:val="1"/>
              </w:rPr>
              <w:t>4.83</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291" w:type="dxa"/>
            <w:vAlign w:val="top"/>
          </w:tcPr>
          <w:p>
            <w:pPr>
              <w:pStyle w:val="TableText"/>
              <w:ind w:left="6"/>
              <w:spacing w:before="86"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5" w:line="279" w:lineRule="exact"/>
              <w:jc w:val="right"/>
              <w:rPr>
                <w:sz w:val="21"/>
                <w:szCs w:val="21"/>
              </w:rPr>
            </w:pPr>
            <w:r>
              <w:rPr>
                <w:sz w:val="21"/>
                <w:szCs w:val="21"/>
                <w:color w:val="212529"/>
                <w:spacing w:val="5"/>
                <w:position w:val="1"/>
              </w:rPr>
              <w:t>258.88</w:t>
            </w:r>
          </w:p>
        </w:tc>
        <w:tc>
          <w:tcPr>
            <w:tcW w:w="1423" w:type="dxa"/>
            <w:vAlign w:val="top"/>
          </w:tcPr>
          <w:p>
            <w:pPr>
              <w:pStyle w:val="TableText"/>
              <w:ind w:right="21"/>
              <w:spacing w:before="85" w:line="279" w:lineRule="exact"/>
              <w:jc w:val="right"/>
              <w:rPr>
                <w:sz w:val="21"/>
                <w:szCs w:val="21"/>
              </w:rPr>
            </w:pPr>
            <w:r>
              <w:rPr>
                <w:sz w:val="21"/>
                <w:szCs w:val="21"/>
                <w:color w:val="212529"/>
                <w:spacing w:val="2"/>
                <w:position w:val="1"/>
              </w:rPr>
              <w:t>123.61</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135.26</w:t>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291" w:type="dxa"/>
            <w:vAlign w:val="top"/>
          </w:tcPr>
          <w:p>
            <w:pPr>
              <w:pStyle w:val="TableText"/>
              <w:ind w:left="3"/>
              <w:spacing w:before="86"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6" w:line="278" w:lineRule="exact"/>
              <w:jc w:val="right"/>
              <w:rPr>
                <w:sz w:val="21"/>
                <w:szCs w:val="21"/>
              </w:rPr>
            </w:pPr>
            <w:r>
              <w:rPr>
                <w:sz w:val="21"/>
                <w:szCs w:val="21"/>
                <w:color w:val="212529"/>
                <w:spacing w:val="2"/>
                <w:position w:val="1"/>
              </w:rPr>
              <w:t>171.00</w:t>
            </w:r>
          </w:p>
        </w:tc>
        <w:tc>
          <w:tcPr>
            <w:tcW w:w="1423" w:type="dxa"/>
            <w:vAlign w:val="top"/>
          </w:tcPr>
          <w:p>
            <w:pPr>
              <w:pStyle w:val="TableText"/>
              <w:ind w:right="21"/>
              <w:spacing w:before="86" w:line="278" w:lineRule="exact"/>
              <w:jc w:val="right"/>
              <w:rPr>
                <w:sz w:val="21"/>
                <w:szCs w:val="21"/>
              </w:rPr>
            </w:pPr>
            <w:r>
              <w:rPr>
                <w:sz w:val="21"/>
                <w:szCs w:val="21"/>
                <w:color w:val="212529"/>
                <w:spacing w:val="2"/>
                <w:position w:val="1"/>
              </w:rPr>
              <w:t>117.69</w:t>
            </w:r>
          </w:p>
        </w:tc>
        <w:tc>
          <w:tcPr>
            <w:tcW w:w="1505" w:type="dxa"/>
            <w:vAlign w:val="top"/>
          </w:tcPr>
          <w:p>
            <w:pPr>
              <w:pStyle w:val="TableText"/>
              <w:ind w:right="32"/>
              <w:spacing w:before="86" w:line="278" w:lineRule="exact"/>
              <w:jc w:val="right"/>
              <w:rPr>
                <w:sz w:val="21"/>
                <w:szCs w:val="21"/>
              </w:rPr>
            </w:pPr>
            <w:r>
              <w:rPr>
                <w:sz w:val="21"/>
                <w:szCs w:val="21"/>
                <w:color w:val="212529"/>
                <w:spacing w:val="4"/>
                <w:position w:val="1"/>
              </w:rPr>
              <w:t>53.31</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291" w:type="dxa"/>
            <w:vAlign w:val="top"/>
          </w:tcPr>
          <w:p>
            <w:pPr>
              <w:pStyle w:val="TableText"/>
              <w:ind w:left="13"/>
              <w:spacing w:before="88" w:line="227" w:lineRule="auto"/>
              <w:rPr>
                <w:sz w:val="21"/>
                <w:szCs w:val="21"/>
              </w:rPr>
            </w:pPr>
            <w:r>
              <w:rPr>
                <w:sz w:val="21"/>
                <w:szCs w:val="21"/>
                <w:color w:val="212529"/>
                <w:spacing w:val="10"/>
              </w:rPr>
              <w:t>乡镇卫生院</w:t>
            </w:r>
          </w:p>
        </w:tc>
        <w:tc>
          <w:tcPr>
            <w:tcW w:w="1557" w:type="dxa"/>
            <w:vAlign w:val="top"/>
          </w:tcPr>
          <w:p>
            <w:pPr>
              <w:pStyle w:val="TableText"/>
              <w:ind w:right="36"/>
              <w:spacing w:before="87" w:line="277" w:lineRule="exact"/>
              <w:jc w:val="right"/>
              <w:rPr>
                <w:sz w:val="21"/>
                <w:szCs w:val="21"/>
              </w:rPr>
            </w:pPr>
            <w:r>
              <w:rPr>
                <w:sz w:val="21"/>
                <w:szCs w:val="21"/>
                <w:color w:val="212529"/>
                <w:spacing w:val="2"/>
                <w:position w:val="1"/>
              </w:rPr>
              <w:t>136.35</w:t>
            </w:r>
          </w:p>
        </w:tc>
        <w:tc>
          <w:tcPr>
            <w:tcW w:w="1423" w:type="dxa"/>
            <w:vAlign w:val="top"/>
          </w:tcPr>
          <w:p>
            <w:pPr>
              <w:pStyle w:val="TableText"/>
              <w:ind w:right="21"/>
              <w:spacing w:before="87" w:line="277" w:lineRule="exact"/>
              <w:jc w:val="right"/>
              <w:rPr>
                <w:sz w:val="21"/>
                <w:szCs w:val="21"/>
              </w:rPr>
            </w:pPr>
            <w:r>
              <w:rPr>
                <w:sz w:val="21"/>
                <w:szCs w:val="21"/>
                <w:color w:val="212529"/>
                <w:spacing w:val="2"/>
                <w:position w:val="1"/>
              </w:rPr>
              <w:t>117.69</w:t>
            </w:r>
          </w:p>
        </w:tc>
        <w:tc>
          <w:tcPr>
            <w:tcW w:w="1505" w:type="dxa"/>
            <w:vAlign w:val="top"/>
          </w:tcPr>
          <w:p>
            <w:pPr>
              <w:pStyle w:val="TableText"/>
              <w:ind w:right="32"/>
              <w:spacing w:before="87" w:line="277" w:lineRule="exact"/>
              <w:jc w:val="right"/>
              <w:rPr>
                <w:sz w:val="21"/>
                <w:szCs w:val="21"/>
              </w:rPr>
            </w:pPr>
            <w:r>
              <w:rPr>
                <w:sz w:val="21"/>
                <w:szCs w:val="21"/>
                <w:color w:val="212529"/>
                <w:spacing w:val="2"/>
                <w:position w:val="1"/>
              </w:rPr>
              <w:t>18.66</w:t>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34.65</w:t>
            </w:r>
          </w:p>
        </w:tc>
        <w:tc>
          <w:tcPr>
            <w:tcW w:w="1423" w:type="dxa"/>
            <w:vAlign w:val="top"/>
          </w:tcPr>
          <w:p>
            <w:pPr>
              <w:rPr>
                <w:rFonts w:ascii="Arial"/>
                <w:sz w:val="21"/>
              </w:rPr>
            </w:pPr>
            <w:r/>
          </w:p>
        </w:tc>
        <w:tc>
          <w:tcPr>
            <w:tcW w:w="1505" w:type="dxa"/>
            <w:vAlign w:val="top"/>
          </w:tcPr>
          <w:p>
            <w:pPr>
              <w:pStyle w:val="TableText"/>
              <w:ind w:right="32"/>
              <w:spacing w:before="163" w:line="281" w:lineRule="exact"/>
              <w:jc w:val="right"/>
              <w:rPr>
                <w:sz w:val="21"/>
                <w:szCs w:val="21"/>
              </w:rPr>
            </w:pPr>
            <w:r>
              <w:rPr>
                <w:sz w:val="21"/>
                <w:szCs w:val="21"/>
                <w:color w:val="212529"/>
                <w:spacing w:val="4"/>
                <w:position w:val="1"/>
              </w:rPr>
              <w:t>34.65</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21004</w:t>
            </w:r>
          </w:p>
        </w:tc>
        <w:tc>
          <w:tcPr>
            <w:tcW w:w="2291" w:type="dxa"/>
            <w:vAlign w:val="top"/>
          </w:tcPr>
          <w:p>
            <w:pPr>
              <w:pStyle w:val="TableText"/>
              <w:ind w:left="11"/>
              <w:spacing w:before="90" w:line="227" w:lineRule="auto"/>
              <w:rPr>
                <w:sz w:val="21"/>
                <w:szCs w:val="21"/>
              </w:rPr>
            </w:pPr>
            <w:r>
              <w:rPr>
                <w:sz w:val="21"/>
                <w:szCs w:val="21"/>
                <w:color w:val="212529"/>
                <w:spacing w:val="9"/>
              </w:rPr>
              <w:t>公共卫生</w:t>
            </w:r>
          </w:p>
        </w:tc>
        <w:tc>
          <w:tcPr>
            <w:tcW w:w="1557" w:type="dxa"/>
            <w:vAlign w:val="top"/>
          </w:tcPr>
          <w:p>
            <w:pPr>
              <w:pStyle w:val="TableText"/>
              <w:ind w:right="36"/>
              <w:spacing w:before="89" w:line="242" w:lineRule="auto"/>
              <w:jc w:val="right"/>
              <w:rPr>
                <w:sz w:val="21"/>
                <w:szCs w:val="21"/>
              </w:rPr>
            </w:pPr>
            <w:r>
              <w:rPr>
                <w:sz w:val="21"/>
                <w:szCs w:val="21"/>
                <w:color w:val="212529"/>
                <w:spacing w:val="5"/>
              </w:rPr>
              <w:t>81.96</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81.96</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2100401</w:t>
            </w:r>
          </w:p>
        </w:tc>
        <w:tc>
          <w:tcPr>
            <w:tcW w:w="2291" w:type="dxa"/>
            <w:vAlign w:val="top"/>
          </w:tcPr>
          <w:p>
            <w:pPr>
              <w:pStyle w:val="TableText"/>
              <w:ind w:left="3"/>
              <w:spacing w:before="89"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9" w:line="242" w:lineRule="auto"/>
              <w:jc w:val="right"/>
              <w:rPr>
                <w:sz w:val="21"/>
                <w:szCs w:val="21"/>
              </w:rPr>
            </w:pPr>
            <w:r>
              <w:rPr>
                <w:sz w:val="21"/>
                <w:szCs w:val="21"/>
                <w:color w:val="212529"/>
                <w:spacing w:val="4"/>
              </w:rPr>
              <w:t>0.72</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0.72</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5"/>
              </w:rPr>
              <w:t>81.24</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5"/>
              </w:rPr>
              <w:t>81.24</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3"/>
              </w:rPr>
              <w:t>5.92</w:t>
            </w:r>
          </w:p>
        </w:tc>
        <w:tc>
          <w:tcPr>
            <w:tcW w:w="1423" w:type="dxa"/>
            <w:vAlign w:val="top"/>
          </w:tcPr>
          <w:p>
            <w:pPr>
              <w:pStyle w:val="TableText"/>
              <w:ind w:right="21"/>
              <w:spacing w:before="89" w:line="242" w:lineRule="auto"/>
              <w:jc w:val="right"/>
              <w:rPr>
                <w:sz w:val="21"/>
                <w:szCs w:val="21"/>
              </w:rPr>
            </w:pPr>
            <w:r>
              <w:rPr>
                <w:sz w:val="21"/>
                <w:szCs w:val="21"/>
                <w:color w:val="212529"/>
                <w:spacing w:val="3"/>
              </w:rPr>
              <w:t>5.92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3"/>
              </w:rPr>
              <w:t>5.92</w:t>
            </w:r>
          </w:p>
        </w:tc>
        <w:tc>
          <w:tcPr>
            <w:tcW w:w="1423" w:type="dxa"/>
            <w:vAlign w:val="top"/>
          </w:tcPr>
          <w:p>
            <w:pPr>
              <w:pStyle w:val="TableText"/>
              <w:ind w:right="21"/>
              <w:spacing w:before="89" w:line="242" w:lineRule="auto"/>
              <w:jc w:val="right"/>
              <w:rPr>
                <w:sz w:val="21"/>
                <w:szCs w:val="21"/>
              </w:rPr>
            </w:pPr>
            <w:r>
              <w:rPr>
                <w:sz w:val="21"/>
                <w:szCs w:val="21"/>
                <w:color w:val="212529"/>
                <w:spacing w:val="3"/>
              </w:rPr>
              <w:t>5.92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12.50</w:t>
            </w:r>
          </w:p>
        </w:tc>
        <w:tc>
          <w:tcPr>
            <w:tcW w:w="1423" w:type="dxa"/>
            <w:vAlign w:val="top"/>
          </w:tcPr>
          <w:p>
            <w:pPr>
              <w:pStyle w:val="TableText"/>
              <w:ind w:right="21"/>
              <w:spacing w:before="89" w:line="242" w:lineRule="auto"/>
              <w:jc w:val="right"/>
              <w:rPr>
                <w:sz w:val="21"/>
                <w:szCs w:val="21"/>
              </w:rPr>
            </w:pPr>
            <w:r>
              <w:rPr>
                <w:sz w:val="21"/>
                <w:szCs w:val="21"/>
                <w:color w:val="212529"/>
                <w:spacing w:val="2"/>
              </w:rPr>
              <w:t>12.50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12.50</w:t>
            </w:r>
          </w:p>
        </w:tc>
        <w:tc>
          <w:tcPr>
            <w:tcW w:w="1423" w:type="dxa"/>
            <w:vAlign w:val="top"/>
          </w:tcPr>
          <w:p>
            <w:pPr>
              <w:pStyle w:val="TableText"/>
              <w:ind w:right="21"/>
              <w:spacing w:before="89" w:line="242" w:lineRule="auto"/>
              <w:jc w:val="right"/>
              <w:rPr>
                <w:sz w:val="21"/>
                <w:szCs w:val="21"/>
              </w:rPr>
            </w:pPr>
            <w:r>
              <w:rPr>
                <w:sz w:val="21"/>
                <w:szCs w:val="21"/>
                <w:color w:val="212529"/>
                <w:spacing w:val="2"/>
              </w:rPr>
              <w:t>12.50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2"/>
              </w:rPr>
              <w:t>12.50</w:t>
            </w:r>
          </w:p>
        </w:tc>
        <w:tc>
          <w:tcPr>
            <w:tcW w:w="1423" w:type="dxa"/>
            <w:vAlign w:val="top"/>
          </w:tcPr>
          <w:p>
            <w:pPr>
              <w:pStyle w:val="TableText"/>
              <w:ind w:right="21"/>
              <w:spacing w:before="89" w:line="242" w:lineRule="auto"/>
              <w:jc w:val="right"/>
              <w:rPr>
                <w:sz w:val="21"/>
                <w:szCs w:val="21"/>
              </w:rPr>
            </w:pPr>
            <w:r>
              <w:rPr>
                <w:sz w:val="21"/>
                <w:szCs w:val="21"/>
                <w:color w:val="212529"/>
                <w:spacing w:val="2"/>
              </w:rPr>
              <w:t>12.50</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部门名称：兴县高家村镇中心卫生院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145.53</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8.67</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174" w:line="238" w:lineRule="auto"/>
              <w:rPr/>
            </w:pPr>
            <w:r>
              <w:rPr>
                <w:color w:val="212529"/>
                <w:spacing w:val="-2"/>
              </w:rPr>
              <w:t>47.32</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4"/>
              <w:spacing w:before="175" w:line="238" w:lineRule="auto"/>
              <w:jc w:val="right"/>
              <w:rPr/>
            </w:pPr>
            <w:r>
              <w:rPr>
                <w:color w:val="212529"/>
                <w:spacing w:val="-2"/>
              </w:rPr>
              <w:t>22.86</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38.56</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2"/>
              <w:spacing w:before="179" w:line="238" w:lineRule="auto"/>
              <w:jc w:val="right"/>
              <w:rPr/>
            </w:pPr>
            <w:r>
              <w:rPr>
                <w:color w:val="212529"/>
                <w:spacing w:val="-4"/>
              </w:rPr>
              <w:t>13.25</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3"/>
              <w:spacing w:before="180" w:line="238" w:lineRule="auto"/>
              <w:rPr/>
            </w:pPr>
            <w:r>
              <w:rPr>
                <w:color w:val="212529"/>
                <w:spacing w:val="-2"/>
              </w:rPr>
              <w:t>4.83</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3"/>
              <w:spacing w:before="181" w:line="238" w:lineRule="auto"/>
              <w:jc w:val="right"/>
              <w:rPr/>
            </w:pPr>
            <w:r>
              <w:rPr>
                <w:color w:val="212529"/>
                <w:spacing w:val="-2"/>
              </w:rPr>
              <w:t>5.92</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3"/>
              </w:rPr>
              <w:t>7.50</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0.28</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12.50</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7"/>
          <w:footerReference w:type="default" r:id="rId18"/>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4"/>
              <w:spacing w:before="155" w:line="238" w:lineRule="auto"/>
              <w:jc w:val="right"/>
              <w:rPr/>
            </w:pPr>
            <w:r>
              <w:rPr>
                <w:color w:val="212529"/>
                <w:spacing w:val="-2"/>
              </w:rPr>
              <w:t>0.58</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4"/>
              <w:spacing w:before="157" w:line="238" w:lineRule="auto"/>
              <w:jc w:val="right"/>
              <w:rPr/>
            </w:pPr>
            <w:r>
              <w:rPr>
                <w:color w:val="212529"/>
                <w:spacing w:val="-2"/>
              </w:rPr>
              <w:t>0.58</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0"/>
              <w:spacing w:before="163" w:line="238" w:lineRule="auto"/>
              <w:jc w:val="right"/>
              <w:rPr/>
            </w:pPr>
            <w:r>
              <w:rPr>
                <w:color w:val="212529"/>
                <w:spacing w:val="-4"/>
              </w:rPr>
              <w:t>1.17</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146.11</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8.67</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9"/>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部门名称：兴县高家村镇中心卫生院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3"/>
          <w:footerReference w:type="default" r:id="rId20"/>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部门名称：兴县高家村镇中心卫生院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1"/>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3" w:right="114"/>
              <w:spacing w:before="66" w:line="218" w:lineRule="auto"/>
              <w:rPr/>
            </w:pPr>
            <w:r>
              <w:rPr>
                <w:color w:val="212529"/>
                <w:spacing w:val="-1"/>
              </w:rPr>
              <w:t>部门名称：兴县高家村镇中心</w:t>
            </w:r>
            <w:r>
              <w:rPr>
                <w:color w:val="212529"/>
                <w:spacing w:val="2"/>
              </w:rPr>
              <w:t xml:space="preserve"> </w:t>
            </w:r>
            <w:r>
              <w:rPr>
                <w:color w:val="212529"/>
                <w:spacing w:val="-2"/>
              </w:rPr>
              <w:t>卫生院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74"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2"/>
          <w:footerReference w:type="default" r:id="rId23"/>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单位名称：兴县高家村镇中心卫生院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3"/>
          <w:footerReference w:type="default" r:id="rId24"/>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2024年度收入总计315.74万元，支出总计315.74万元。与上年相比，收入总计减少44.13</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万元，下降12.26%，支出总计减少44.13万元，下降12.26%。主要原因是公共卫生资金减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2024年度收入合计306.18万元，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财政拨款收入290.04万元，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占比94.73%；</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事业收入4.76万元，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占比1.55%；</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其他收入11.38万元，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占比3.72%。</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2024年度支出合计301.44万元，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基本支出166.18万元，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占比55.13%；</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项目支出135.26万元，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占比44.87%。</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2024年度财政拨款收入总计290.04万元，支出总计290</w:t>
      </w:r>
      <w:r>
        <w:rPr>
          <w:rFonts w:ascii="FangSong" w:hAnsi="FangSong" w:eastAsia="FangSong" w:cs="FangSong"/>
          <w:sz w:val="23"/>
          <w:szCs w:val="23"/>
          <w:spacing w:val="4"/>
        </w:rPr>
        <w:t>.04万元。与上年相比，财政拨款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收入总计减少36.07万元，下降11.06%；财政拨款支出总计减少36.07万元，下降11.06%。主</w:t>
      </w:r>
      <w:r>
        <w:rPr>
          <w:rFonts w:ascii="FangSong" w:hAnsi="FangSong" w:eastAsia="FangSong" w:cs="FangSong"/>
          <w:sz w:val="23"/>
          <w:szCs w:val="23"/>
          <w:spacing w:val="2"/>
        </w:rPr>
        <w:t xml:space="preserve"> </w:t>
      </w:r>
      <w:r>
        <w:rPr>
          <w:rFonts w:ascii="FangSong" w:hAnsi="FangSong" w:eastAsia="FangSong" w:cs="FangSong"/>
          <w:sz w:val="23"/>
          <w:szCs w:val="23"/>
          <w:spacing w:val="-1"/>
        </w:rPr>
        <w:t>要原因是公共卫生资金减少，基本药物补助资金减少。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2024年一般公共预算财政拨款决算支出290.04万元，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占本年支出合计的96.22%。与上年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相比，一般公共预算财政拨款支出减少36.07万元，下降11.06%。主要原因是公共卫生资金减</w:t>
      </w:r>
      <w:r>
        <w:rPr>
          <w:rFonts w:ascii="FangSong" w:hAnsi="FangSong" w:eastAsia="FangSong" w:cs="FangSong"/>
          <w:sz w:val="23"/>
          <w:szCs w:val="23"/>
          <w:spacing w:val="4"/>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2024年度一般公共预算财政拨款支出290.04万元，主要用于以下方面：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社会保障和就业支出(类)18.66万元，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43%；</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卫生健康支出(类)258.88万元，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占比89.26%；</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住房保障支出(类)12.50万元，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占比4.31%。</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2024年度一般公共预算财政拨款支出年初预算290.94万元</w:t>
      </w:r>
      <w:r>
        <w:rPr>
          <w:rFonts w:ascii="FangSong" w:hAnsi="FangSong" w:eastAsia="FangSong" w:cs="FangSong"/>
          <w:sz w:val="23"/>
          <w:szCs w:val="23"/>
          <w:spacing w:val="4"/>
        </w:rPr>
        <w:t>，支出决算290.04万元，完成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年初预算的99.69%。其中：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年初预算22.82</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出决算18.66万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1"/>
        </w:rPr>
        <w:t>81.77%</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3"/>
        </w:rPr>
        <w:t xml:space="preserve"> </w:t>
      </w:r>
      <w:r>
        <w:rPr>
          <w:rFonts w:ascii="FangSong" w:hAnsi="FangSong" w:eastAsia="FangSong" w:cs="FangSong"/>
          <w:sz w:val="23"/>
          <w:szCs w:val="23"/>
          <w:spacing w:val="11"/>
        </w:rPr>
        <w:t>。较上年决算增加1.62万元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，增长</w:t>
      </w:r>
      <w:r>
        <w:rPr>
          <w:rFonts w:ascii="FangSong" w:hAnsi="FangSong" w:eastAsia="FangSong" w:cs="FangSong"/>
          <w:sz w:val="23"/>
          <w:szCs w:val="23"/>
        </w:rPr>
        <w:t xml:space="preserve"> </w:t>
      </w:r>
      <w:r>
        <w:rPr>
          <w:rFonts w:ascii="FangSong" w:hAnsi="FangSong" w:eastAsia="FangSong" w:cs="FangSong"/>
          <w:sz w:val="23"/>
          <w:szCs w:val="23"/>
        </w:rPr>
        <w:t>9.51%，主要原因是本年度补缴退休人员职业年金纪实款。</w:t>
      </w:r>
    </w:p>
    <w:p>
      <w:pPr>
        <w:spacing w:line="325"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卫生健康支出年初预算251.77万元，支出决算258.88万元，完成年初预算的102.</w:t>
      </w:r>
      <w:r>
        <w:rPr>
          <w:rFonts w:ascii="FangSong" w:hAnsi="FangSong" w:eastAsia="FangSong" w:cs="FangSong"/>
          <w:sz w:val="23"/>
          <w:szCs w:val="23"/>
          <w:spacing w:val="1"/>
        </w:rPr>
        <w:t>82%，用</w:t>
      </w:r>
      <w:r>
        <w:rPr>
          <w:rFonts w:ascii="FangSong" w:hAnsi="FangSong" w:eastAsia="FangSong" w:cs="FangSong"/>
          <w:sz w:val="23"/>
          <w:szCs w:val="23"/>
        </w:rPr>
        <w:t xml:space="preserve"> </w:t>
      </w:r>
      <w:r>
        <w:rPr>
          <w:rFonts w:ascii="FangSong" w:hAnsi="FangSong" w:eastAsia="FangSong" w:cs="FangSong"/>
          <w:sz w:val="23"/>
          <w:szCs w:val="23"/>
          <w:spacing w:val="2"/>
        </w:rPr>
        <w:t>于公共卫生支出、基本药物补助支出。较上年决算减少33.07万元，下降11.33%，主要原因是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住房保障支出年初预算16.36万元，支出决算12.5</w:t>
      </w:r>
      <w:r>
        <w:rPr>
          <w:rFonts w:ascii="FangSong" w:hAnsi="FangSong" w:eastAsia="FangSong" w:cs="FangSong"/>
          <w:sz w:val="23"/>
          <w:szCs w:val="23"/>
          <w:spacing w:val="4"/>
        </w:rPr>
        <w:t>0万元，完成年初预算的76.41%，用于</w:t>
      </w:r>
      <w:r>
        <w:rPr>
          <w:rFonts w:ascii="FangSong" w:hAnsi="FangSong" w:eastAsia="FangSong" w:cs="FangSong"/>
          <w:sz w:val="23"/>
          <w:szCs w:val="23"/>
        </w:rPr>
        <w:t xml:space="preserve"> </w:t>
      </w:r>
      <w:r>
        <w:rPr>
          <w:rFonts w:ascii="FangSong" w:hAnsi="FangSong" w:eastAsia="FangSong" w:cs="FangSong"/>
          <w:sz w:val="23"/>
          <w:szCs w:val="23"/>
          <w:spacing w:val="5"/>
        </w:rPr>
        <w:t>缴纳在职人员住房公积金。较上年决算减少4.62万元，下降26.</w:t>
      </w:r>
      <w:r>
        <w:rPr>
          <w:rFonts w:ascii="FangSong" w:hAnsi="FangSong" w:eastAsia="FangSong" w:cs="FangSong"/>
          <w:sz w:val="23"/>
          <w:szCs w:val="23"/>
          <w:spacing w:val="4"/>
        </w:rPr>
        <w:t>99%，主要原因是上年度补缴</w:t>
      </w:r>
      <w:r>
        <w:rPr>
          <w:rFonts w:ascii="FangSong" w:hAnsi="FangSong" w:eastAsia="FangSong" w:cs="FangSong"/>
          <w:sz w:val="23"/>
          <w:szCs w:val="23"/>
        </w:rPr>
        <w:t xml:space="preserve"> </w:t>
      </w:r>
      <w:r>
        <w:rPr>
          <w:rFonts w:ascii="FangSong" w:hAnsi="FangSong" w:eastAsia="FangSong" w:cs="FangSong"/>
          <w:sz w:val="23"/>
          <w:szCs w:val="23"/>
          <w:spacing w:val="-3"/>
        </w:rPr>
        <w:t>住房公积金。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2024年度财政拨款基本支出154.78万元，其中：</w:t>
      </w:r>
    </w:p>
    <w:p>
      <w:pPr>
        <w:ind w:left="1265" w:right="4886" w:firstLine="463"/>
        <w:spacing w:before="133" w:line="321" w:lineRule="auto"/>
        <w:rPr>
          <w:rFonts w:ascii="FangSong" w:hAnsi="FangSong" w:eastAsia="FangSong" w:cs="FangSong"/>
          <w:sz w:val="23"/>
          <w:szCs w:val="23"/>
        </w:rPr>
      </w:pPr>
      <w:r>
        <w:rPr>
          <w:rFonts w:ascii="FangSong" w:hAnsi="FangSong" w:eastAsia="FangSong" w:cs="FangSong"/>
          <w:sz w:val="23"/>
          <w:szCs w:val="23"/>
        </w:rPr>
        <w:t>人员经费146.11万元，主要包括基本工资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47.32万元</w:t>
      </w:r>
      <w:r>
        <w:rPr>
          <w:rFonts w:ascii="FangSong" w:hAnsi="FangSong" w:eastAsia="FangSong" w:cs="FangSong"/>
          <w:sz w:val="23"/>
          <w:szCs w:val="23"/>
        </w:rPr>
        <w:t xml:space="preserve"> </w:t>
      </w:r>
      <w:r>
        <w:rPr>
          <w:rFonts w:ascii="FangSong" w:hAnsi="FangSong" w:eastAsia="FangSong" w:cs="FangSong"/>
          <w:sz w:val="23"/>
          <w:szCs w:val="23"/>
          <w:spacing w:val="-1"/>
        </w:rPr>
        <w:t>津贴补贴</w:t>
      </w:r>
      <w:r>
        <w:rPr>
          <w:rFonts w:ascii="FangSong" w:hAnsi="FangSong" w:eastAsia="FangSong" w:cs="FangSong"/>
          <w:sz w:val="23"/>
          <w:szCs w:val="23"/>
          <w:spacing w:val="-1"/>
        </w:rPr>
        <w:t xml:space="preserve"> </w:t>
      </w:r>
      <w:r>
        <w:rPr>
          <w:rFonts w:ascii="FangSong" w:hAnsi="FangSong" w:eastAsia="FangSong" w:cs="FangSong"/>
          <w:sz w:val="23"/>
          <w:szCs w:val="23"/>
          <w:spacing w:val="-1"/>
        </w:rPr>
        <w:t>22.86万元</w:t>
      </w:r>
    </w:p>
    <w:p>
      <w:pPr>
        <w:ind w:left="1267"/>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38.56万元</w:t>
      </w:r>
    </w:p>
    <w:p>
      <w:pPr>
        <w:ind w:left="1263" w:right="6270"/>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13.25万元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职业年金缴费4.83万元</w:t>
      </w:r>
    </w:p>
    <w:p>
      <w:pPr>
        <w:ind w:left="1265" w:right="7307" w:hanging="2"/>
        <w:spacing w:before="1" w:line="325" w:lineRule="auto"/>
        <w:rPr>
          <w:rFonts w:ascii="FangSong" w:hAnsi="FangSong" w:eastAsia="FangSong" w:cs="FangSong"/>
          <w:sz w:val="23"/>
          <w:szCs w:val="23"/>
        </w:rPr>
      </w:pP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5.92万元</w:t>
      </w:r>
      <w:r>
        <w:rPr>
          <w:rFonts w:ascii="FangSong" w:hAnsi="FangSong" w:eastAsia="FangSong" w:cs="FangSong"/>
          <w:sz w:val="23"/>
          <w:szCs w:val="23"/>
          <w:spacing w:val="10"/>
        </w:rPr>
        <w:t xml:space="preserve"> </w:t>
      </w: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0.28万元</w:t>
      </w:r>
    </w:p>
    <w:p>
      <w:pPr>
        <w:ind w:left="1263"/>
        <w:spacing w:line="222" w:lineRule="auto"/>
        <w:rPr>
          <w:rFonts w:ascii="FangSong" w:hAnsi="FangSong" w:eastAsia="FangSong" w:cs="FangSong"/>
          <w:sz w:val="23"/>
          <w:szCs w:val="23"/>
        </w:rPr>
      </w:pPr>
      <w:r>
        <w:rPr>
          <w:rFonts w:ascii="FangSong" w:hAnsi="FangSong" w:eastAsia="FangSong" w:cs="FangSong"/>
          <w:sz w:val="23"/>
          <w:szCs w:val="23"/>
          <w:spacing w:val="-3"/>
        </w:rPr>
        <w:t>住房公积金</w:t>
      </w:r>
      <w:r>
        <w:rPr>
          <w:rFonts w:ascii="FangSong" w:hAnsi="FangSong" w:eastAsia="FangSong" w:cs="FangSong"/>
          <w:sz w:val="23"/>
          <w:szCs w:val="23"/>
          <w:spacing w:val="28"/>
        </w:rPr>
        <w:t xml:space="preserve"> </w:t>
      </w:r>
      <w:r>
        <w:rPr>
          <w:rFonts w:ascii="FangSong" w:hAnsi="FangSong" w:eastAsia="FangSong" w:cs="FangSong"/>
          <w:sz w:val="23"/>
          <w:szCs w:val="23"/>
          <w:spacing w:val="-3"/>
        </w:rPr>
        <w:t>13.09万元；</w:t>
      </w:r>
    </w:p>
    <w:p>
      <w:pPr>
        <w:ind w:left="1269" w:right="5578" w:firstLine="460"/>
        <w:spacing w:before="123" w:line="324" w:lineRule="auto"/>
        <w:rPr>
          <w:rFonts w:ascii="FangSong" w:hAnsi="FangSong" w:eastAsia="FangSong" w:cs="FangSong"/>
          <w:sz w:val="23"/>
          <w:szCs w:val="23"/>
        </w:rPr>
      </w:pPr>
      <w:r>
        <w:rPr>
          <w:rFonts w:ascii="FangSong" w:hAnsi="FangSong" w:eastAsia="FangSong" w:cs="FangSong"/>
          <w:sz w:val="23"/>
          <w:szCs w:val="23"/>
          <w:spacing w:val="-1"/>
        </w:rPr>
        <w:t>公用经费8.67万元，主要包括取暖费7.50万元</w:t>
      </w:r>
      <w:r>
        <w:rPr>
          <w:rFonts w:ascii="FangSong" w:hAnsi="FangSong" w:eastAsia="FangSong" w:cs="FangSong"/>
          <w:sz w:val="23"/>
          <w:szCs w:val="23"/>
          <w:spacing w:val="14"/>
        </w:rPr>
        <w:t xml:space="preserve"> </w:t>
      </w:r>
      <w:r>
        <w:rPr>
          <w:rFonts w:ascii="FangSong" w:hAnsi="FangSong" w:eastAsia="FangSong" w:cs="FangSong"/>
          <w:sz w:val="23"/>
          <w:szCs w:val="23"/>
          <w:spacing w:val="-2"/>
        </w:rPr>
        <w:t>工会经费1.17万元。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0"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37" w:line="32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spacing w:line="275"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8" w:right="1223"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36"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日，本部门（单位）共有车辆1辆。其中：特种专业技术用车1辆，其</w:t>
      </w:r>
      <w:r>
        <w:rPr>
          <w:rFonts w:ascii="FangSong" w:hAnsi="FangSong" w:eastAsia="FangSong" w:cs="FangSong"/>
          <w:sz w:val="23"/>
          <w:szCs w:val="23"/>
        </w:rPr>
        <w:t xml:space="preserve"> </w:t>
      </w:r>
      <w:r>
        <w:rPr>
          <w:rFonts w:ascii="FangSong" w:hAnsi="FangSong" w:eastAsia="FangSong" w:cs="FangSong"/>
          <w:sz w:val="23"/>
          <w:szCs w:val="23"/>
          <w:spacing w:val="2"/>
        </w:rPr>
        <w:t>他用车0辆，其他用车主要是本单位无其他用车。单价100万元（含）以上设备（不含车辆）0</w:t>
      </w:r>
      <w:r>
        <w:rPr>
          <w:rFonts w:ascii="FangSong" w:hAnsi="FangSong" w:eastAsia="FangSong" w:cs="FangSong"/>
          <w:sz w:val="23"/>
          <w:szCs w:val="23"/>
          <w:spacing w:val="9"/>
        </w:rPr>
        <w:t xml:space="preserve"> </w:t>
      </w:r>
      <w:r>
        <w:rPr>
          <w:rFonts w:ascii="FangSong" w:hAnsi="FangSong" w:eastAsia="FangSong" w:cs="FangSong"/>
          <w:sz w:val="23"/>
          <w:szCs w:val="23"/>
          <w:spacing w:val="-3"/>
        </w:rPr>
        <w:t>台（套）。</w:t>
      </w:r>
    </w:p>
    <w:p>
      <w:pPr>
        <w:ind w:left="1734"/>
        <w:spacing w:before="1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1" w:right="1223" w:hanging="12"/>
        <w:spacing w:before="126" w:line="324"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2024年二级项目绩效自评个数7个，涉及资金102.51万元：7个项目自评</w:t>
      </w:r>
      <w:r>
        <w:rPr>
          <w:rFonts w:ascii="FangSong" w:hAnsi="FangSong" w:eastAsia="FangSong" w:cs="FangSong"/>
          <w:sz w:val="23"/>
          <w:szCs w:val="23"/>
          <w:spacing w:val="2"/>
        </w:rPr>
        <w:t>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”。对于</w:t>
      </w:r>
      <w:r>
        <w:rPr>
          <w:rFonts w:ascii="FangSong" w:hAnsi="FangSong" w:eastAsia="FangSong" w:cs="FangSong"/>
          <w:sz w:val="23"/>
          <w:szCs w:val="23"/>
        </w:rPr>
        <w:t xml:space="preserve"> </w:t>
      </w:r>
      <w:r>
        <w:rPr>
          <w:rFonts w:ascii="FangSong" w:hAnsi="FangSong" w:eastAsia="FangSong" w:cs="FangSong"/>
          <w:sz w:val="23"/>
          <w:szCs w:val="23"/>
          <w:spacing w:val="3"/>
        </w:rPr>
        <w:t>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w:t>
      </w:r>
      <w:r>
        <w:rPr>
          <w:rFonts w:ascii="FangSong" w:hAnsi="FangSong" w:eastAsia="FangSong" w:cs="FangSong"/>
          <w:sz w:val="23"/>
          <w:szCs w:val="23"/>
          <w:spacing w:val="2"/>
        </w:rPr>
        <w:t>理，不</w:t>
      </w:r>
      <w:r>
        <w:rPr>
          <w:rFonts w:ascii="FangSong" w:hAnsi="FangSong" w:eastAsia="FangSong" w:cs="FangSong"/>
          <w:sz w:val="23"/>
          <w:szCs w:val="23"/>
        </w:rPr>
        <w:t xml:space="preserve"> </w:t>
      </w:r>
      <w:r>
        <w:rPr>
          <w:rFonts w:ascii="FangSong" w:hAnsi="FangSong" w:eastAsia="FangSong" w:cs="FangSong"/>
          <w:sz w:val="23"/>
          <w:szCs w:val="23"/>
          <w:spacing w:val="-2"/>
        </w:rPr>
        <w:t>断提高项目管理水平。</w:t>
      </w:r>
    </w:p>
    <w:p>
      <w:pPr>
        <w:ind w:left="1266" w:right="7768" w:firstLine="454"/>
        <w:spacing w:line="330"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无其他需要说明的事项</w:t>
      </w:r>
    </w:p>
    <w:p>
      <w:pPr>
        <w:spacing w:line="330" w:lineRule="auto"/>
        <w:sectPr>
          <w:headerReference w:type="default" r:id="rId3"/>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2" w:lineRule="auto"/>
        <w:rPr>
          <w:rFonts w:ascii="FangSong" w:hAnsi="FangSong" w:eastAsia="FangSong" w:cs="FangSong"/>
          <w:sz w:val="23"/>
          <w:szCs w:val="23"/>
        </w:rPr>
      </w:pPr>
      <w:r>
        <w:rPr>
          <w:rFonts w:ascii="FangSong" w:hAnsi="FangSong" w:eastAsia="FangSong" w:cs="FangSong"/>
          <w:sz w:val="23"/>
          <w:szCs w:val="23"/>
          <w:spacing w:val="-2"/>
        </w:rPr>
        <w:t>无其他需要说明的事项</w:t>
      </w:r>
    </w:p>
    <w:p>
      <w:pPr>
        <w:ind w:left="5217"/>
        <w:spacing w:before="152"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0"/>
          <w:footerReference w:type="default" r:id="rId31"/>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38"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638.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340" w:lineRule="exact"/>
        <w:rPr/>
      </w:pPr>
      <w:r>
        <w:pict>
          <v:shape id="_x0000_s242" style="position:absolute;margin-left:86.92pt;margin-top:228.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44"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66"/>
        </w:rPr>
        <w:drawing>
          <wp:inline distT="0" distB="0" distL="0" distR="0">
            <wp:extent cx="6753225" cy="5295900"/>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6753225" cy="5295900"/>
                    </a:xfrm>
                    <a:prstGeom prst="rect">
                      <a:avLst/>
                    </a:prstGeom>
                  </pic:spPr>
                </pic:pic>
              </a:graphicData>
            </a:graphic>
          </wp:inline>
        </w:drawing>
      </w:r>
    </w:p>
    <w:p>
      <w:pPr>
        <w:spacing w:line="8340" w:lineRule="exact"/>
        <w:sectPr>
          <w:headerReference w:type="default" r:id="rId32"/>
          <w:footerReference w:type="default" r:id="rId33"/>
          <w:pgSz w:w="16840" w:h="11900"/>
          <w:pgMar w:top="642" w:right="0" w:bottom="340" w:left="0" w:header="326" w:footer="111" w:gutter="0"/>
        </w:sectPr>
        <w:rPr/>
      </w:pPr>
    </w:p>
    <w:p>
      <w:pPr>
        <w:pStyle w:val="BodyText"/>
        <w:spacing w:line="267" w:lineRule="auto"/>
        <w:rPr/>
      </w:pPr>
      <w:r>
        <w:pict>
          <v:shape id="_x0000_s246"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638.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235" w:lineRule="exact"/>
        <w:rPr/>
      </w:pPr>
      <w:r>
        <w:pict>
          <v:shape id="_x0000_s250"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52" style="position:absolute;margin-left:-45.0434pt;margin-top:347.362pt;mso-position-vertical-relative:text;mso-position-horizontal-relative:text;width:609.35pt;height:22.25pt;z-index:251671552;rotation:330;" fillcolor="#404040" filled="true" stroked="false" type="#_x0000_t136">
            <v:fill opacity="0.400000"/>
            <v:textpath style="font-family:&quot;SimSun&quot;;font-size:20;v-text-kern:t;mso-text-shadow:auto" string="仅供内部审核                                     仅供内部审核"/>
          </v:shape>
        </w:pict>
      </w:r>
      <w:r>
        <w:rPr>
          <w:position w:val="-164"/>
        </w:rPr>
        <w:drawing>
          <wp:inline distT="0" distB="0" distL="0" distR="0">
            <wp:extent cx="6753225" cy="5229225"/>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6753225" cy="5229225"/>
                    </a:xfrm>
                    <a:prstGeom prst="rect">
                      <a:avLst/>
                    </a:prstGeom>
                  </pic:spPr>
                </pic:pic>
              </a:graphicData>
            </a:graphic>
          </wp:inline>
        </w:drawing>
      </w:r>
    </w:p>
    <w:p>
      <w:pPr>
        <w:spacing w:line="8235" w:lineRule="exact"/>
        <w:sectPr>
          <w:footerReference w:type="default" r:id="rId35"/>
          <w:pgSz w:w="16840" w:h="11900"/>
          <w:pgMar w:top="642" w:right="0" w:bottom="340" w:left="0" w:header="326" w:footer="111" w:gutter="0"/>
        </w:sectPr>
        <w:rPr/>
      </w:pPr>
    </w:p>
    <w:p>
      <w:pPr>
        <w:pStyle w:val="BodyText"/>
        <w:spacing w:line="267" w:lineRule="auto"/>
        <w:rPr/>
      </w:pPr>
      <w:r>
        <w:pict>
          <v:shape id="_x0000_s254"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12.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430" w:lineRule="exact"/>
        <w:rPr/>
      </w:pPr>
      <w:r>
        <w:pict>
          <v:shape id="_x0000_s258" style="position:absolute;margin-left:86.92pt;margin-top:228.073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60" style="position:absolute;margin-left:-45.0434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753225" cy="5353050"/>
            <wp:effectExtent l="0" t="0" r="0" b="0"/>
            <wp:docPr id="6" name="IM 6"/>
            <wp:cNvGraphicFramePr/>
            <a:graphic>
              <a:graphicData uri="http://schemas.openxmlformats.org/drawingml/2006/picture">
                <pic:pic>
                  <pic:nvPicPr>
                    <pic:cNvPr id="6" name="IM 6"/>
                    <pic:cNvPicPr/>
                  </pic:nvPicPr>
                  <pic:blipFill>
                    <a:blip r:embed="rId38"/>
                    <a:stretch>
                      <a:fillRect/>
                    </a:stretch>
                  </pic:blipFill>
                  <pic:spPr>
                    <a:xfrm rot="0">
                      <a:off x="0" y="0"/>
                      <a:ext cx="6753225" cy="5353050"/>
                    </a:xfrm>
                    <a:prstGeom prst="rect">
                      <a:avLst/>
                    </a:prstGeom>
                  </pic:spPr>
                </pic:pic>
              </a:graphicData>
            </a:graphic>
          </wp:inline>
        </w:drawing>
      </w:r>
    </w:p>
    <w:p>
      <w:pPr>
        <w:spacing w:line="8430" w:lineRule="exact"/>
        <w:sectPr>
          <w:footerReference w:type="default" r:id="rId37"/>
          <w:pgSz w:w="16840" w:h="11900"/>
          <w:pgMar w:top="642" w:right="0" w:bottom="340" w:left="0" w:header="326" w:footer="110" w:gutter="0"/>
        </w:sectPr>
        <w:rPr/>
      </w:pPr>
    </w:p>
    <w:p>
      <w:pPr>
        <w:pStyle w:val="BodyText"/>
        <w:spacing w:line="267" w:lineRule="auto"/>
        <w:rPr/>
      </w:pPr>
      <w:r>
        <w:pict>
          <v:shape id="_x0000_s262" style="position:absolute;margin-left:638.92pt;margin-top:45.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12.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430" w:lineRule="exact"/>
        <w:rPr/>
      </w:pPr>
      <w:r>
        <w:pict>
          <v:shape id="_x0000_s266" style="position:absolute;margin-left:86.92pt;margin-top:228.073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68" style="position:absolute;margin-left:-45.0434pt;margin-top:347.362pt;mso-position-vertical-relative:text;mso-position-horizontal-relative:text;width:609.35pt;height:22.25pt;z-index:251679744;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753225" cy="5353050"/>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6753225" cy="5353050"/>
                    </a:xfrm>
                    <a:prstGeom prst="rect">
                      <a:avLst/>
                    </a:prstGeom>
                  </pic:spPr>
                </pic:pic>
              </a:graphicData>
            </a:graphic>
          </wp:inline>
        </w:drawing>
      </w:r>
    </w:p>
    <w:p>
      <w:pPr>
        <w:spacing w:line="8430" w:lineRule="exact"/>
        <w:sectPr>
          <w:footerReference w:type="default" r:id="rId39"/>
          <w:pgSz w:w="16840" w:h="11900"/>
          <w:pgMar w:top="642" w:right="0" w:bottom="340" w:left="0" w:header="326" w:footer="110" w:gutter="0"/>
        </w:sectPr>
        <w:rPr/>
      </w:pPr>
    </w:p>
    <w:p>
      <w:pPr>
        <w:pStyle w:val="BodyText"/>
        <w:spacing w:line="267" w:lineRule="auto"/>
        <w:rPr/>
      </w:pPr>
      <w:r>
        <w:pict>
          <v:shape id="_x0000_s270"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355" w:lineRule="exact"/>
        <w:rPr/>
      </w:pPr>
      <w:r>
        <w:pict>
          <v:shape id="_x0000_s274" style="position:absolute;margin-left:-45.0434pt;margin-top:347.362pt;mso-position-vertical-relative:text;mso-position-horizontal-relative:text;width:609.35pt;height:22.25pt;z-index:251682816;rotation:330;" fillcolor="#404040" filled="true" stroked="false" type="#_x0000_t136">
            <v:fill opacity="0.400000"/>
            <v:textpath style="font-family:&quot;SimSun&quot;;font-size:20;v-text-kern:t;mso-text-shadow:auto" string="仅供内部审核                                     仅供内部审核"/>
          </v:shape>
        </w:pict>
      </w:r>
      <w:r>
        <w:pict>
          <v:shape id="_x0000_s276" style="position:absolute;margin-left:86.92pt;margin-top:228.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6753225" cy="5305425"/>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6753225" cy="5305425"/>
                    </a:xfrm>
                    <a:prstGeom prst="rect">
                      <a:avLst/>
                    </a:prstGeom>
                  </pic:spPr>
                </pic:pic>
              </a:graphicData>
            </a:graphic>
          </wp:inline>
        </w:drawing>
      </w:r>
    </w:p>
    <w:p>
      <w:pPr>
        <w:spacing w:line="8355" w:lineRule="exact"/>
        <w:sectPr>
          <w:footerReference w:type="default" r:id="rId41"/>
          <w:pgSz w:w="16840" w:h="11900"/>
          <w:pgMar w:top="642" w:right="0" w:bottom="340" w:left="0" w:header="326" w:footer="111" w:gutter="0"/>
        </w:sectPr>
        <w:rPr/>
      </w:pPr>
    </w:p>
    <w:p>
      <w:pPr>
        <w:pStyle w:val="BodyText"/>
        <w:spacing w:line="267" w:lineRule="auto"/>
        <w:rPr/>
      </w:pPr>
      <w:r>
        <w:pict>
          <v:shape id="_x0000_s278" style="position:absolute;margin-left:312.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638.92pt;margin-top:45.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325" w:lineRule="exact"/>
        <w:rPr/>
      </w:pPr>
      <w:r>
        <w:pict>
          <v:shape id="_x0000_s282" style="position:absolute;margin-left:-45.0434pt;margin-top:347.362pt;mso-position-vertical-relative:text;mso-position-horizontal-relative:text;width:609.35pt;height:22.25pt;z-index:251684864;rotation:330;" fillcolor="#404040" filled="true" stroked="false" type="#_x0000_t136">
            <v:fill opacity="0.400000"/>
            <v:textpath style="font-family:&quot;SimSun&quot;;font-size:20;v-text-kern:t;mso-text-shadow:auto" string="仅供内部审核                                     仅供内部审核"/>
          </v:shape>
        </w:pict>
      </w:r>
      <w:r>
        <w:pict>
          <v:shape id="_x0000_s284" style="position:absolute;margin-left:86.92pt;margin-top:228.073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6753225" cy="5286375"/>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6753225" cy="5286375"/>
                    </a:xfrm>
                    <a:prstGeom prst="rect">
                      <a:avLst/>
                    </a:prstGeom>
                  </pic:spPr>
                </pic:pic>
              </a:graphicData>
            </a:graphic>
          </wp:inline>
        </w:drawing>
      </w:r>
    </w:p>
    <w:p>
      <w:pPr>
        <w:spacing w:line="8325" w:lineRule="exact"/>
        <w:sectPr>
          <w:footerReference w:type="default" r:id="rId43"/>
          <w:pgSz w:w="16840" w:h="11900"/>
          <w:pgMar w:top="642" w:right="0" w:bottom="340" w:left="0" w:header="326" w:footer="110" w:gutter="0"/>
        </w:sectPr>
        <w:rPr/>
      </w:pPr>
    </w:p>
    <w:p>
      <w:pPr>
        <w:pStyle w:val="BodyText"/>
        <w:spacing w:line="267" w:lineRule="auto"/>
        <w:rPr/>
      </w:pPr>
      <w:r>
        <w:pict>
          <v:shape id="_x0000_s286" style="position:absolute;margin-left:312.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7365" w:lineRule="exact"/>
        <w:rPr/>
      </w:pPr>
      <w:r>
        <w:pict>
          <v:shape id="_x0000_s290" style="position:absolute;margin-left:86.92pt;margin-top:228.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92" style="position:absolute;margin-left:-45.0434pt;margin-top:347.362pt;mso-position-vertical-relative:text;mso-position-horizontal-relative:text;width:609.35pt;height:22.25pt;z-index:251692032;rotation:330;" fillcolor="#404040" filled="true" stroked="false" type="#_x0000_t136">
            <v:fill opacity="0.400000"/>
            <v:textpath style="font-family:&quot;SimSun&quot;;font-size:20;v-text-kern:t;mso-text-shadow:auto" string="仅供内部审核                                     仅供内部审核"/>
          </v:shape>
        </w:pict>
      </w:r>
      <w:r>
        <w:rPr>
          <w:position w:val="-147"/>
        </w:rPr>
        <w:drawing>
          <wp:inline distT="0" distB="0" distL="0" distR="0">
            <wp:extent cx="6753225" cy="4676775"/>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6753225" cy="4676775"/>
                    </a:xfrm>
                    <a:prstGeom prst="rect">
                      <a:avLst/>
                    </a:prstGeom>
                  </pic:spPr>
                </pic:pic>
              </a:graphicData>
            </a:graphic>
          </wp:inline>
        </w:drawing>
      </w:r>
    </w:p>
    <w:p>
      <w:pPr>
        <w:spacing w:line="7365" w:lineRule="exact"/>
        <w:sectPr>
          <w:footerReference w:type="default" r:id="rId45"/>
          <w:pgSz w:w="16840" w:h="11900"/>
          <w:pgMar w:top="642" w:right="0" w:bottom="340" w:left="0" w:header="326" w:footer="111" w:gutter="0"/>
        </w:sectPr>
        <w:rPr/>
      </w:pPr>
    </w:p>
    <w:p>
      <w:pPr>
        <w:pStyle w:val="BodyText"/>
        <w:spacing w:line="267" w:lineRule="auto"/>
        <w:rPr/>
      </w:pPr>
      <w:r>
        <w:pict>
          <v:shape id="_x0000_s294" style="position:absolute;margin-left:312.92pt;margin-top:45.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638.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430" w:lineRule="exact"/>
        <w:rPr/>
      </w:pPr>
      <w:r>
        <w:pict>
          <v:shape id="_x0000_s298" style="position:absolute;margin-left:86.92pt;margin-top:228.073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695104;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753225" cy="5353050"/>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6753225" cy="5353050"/>
                    </a:xfrm>
                    <a:prstGeom prst="rect">
                      <a:avLst/>
                    </a:prstGeom>
                  </pic:spPr>
                </pic:pic>
              </a:graphicData>
            </a:graphic>
          </wp:inline>
        </w:drawing>
      </w:r>
    </w:p>
    <w:p>
      <w:pPr>
        <w:spacing w:line="8430" w:lineRule="exact"/>
        <w:sectPr>
          <w:footerReference w:type="default" r:id="rId47"/>
          <w:pgSz w:w="16840" w:h="11900"/>
          <w:pgMar w:top="642" w:right="0" w:bottom="340" w:left="0" w:header="326" w:footer="111" w:gutter="0"/>
        </w:sectPr>
        <w:rPr/>
      </w:pPr>
    </w:p>
    <w:p>
      <w:pPr>
        <w:pStyle w:val="BodyText"/>
        <w:spacing w:line="267" w:lineRule="auto"/>
        <w:rPr/>
      </w:pPr>
      <w:r>
        <w:pict>
          <v:shape id="_x0000_s302" style="position:absolute;margin-left:638.92pt;margin-top:45.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312.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6555" w:lineRule="exact"/>
        <w:rPr/>
      </w:pPr>
      <w:r>
        <w:pict>
          <v:shape id="_x0000_s306" style="position:absolute;margin-left:86.92pt;margin-top:228.07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08" style="position:absolute;margin-left:-45.0434pt;margin-top:347.362pt;mso-position-vertical-relative:text;mso-position-horizontal-relative:text;width:609.35pt;height:22.25pt;z-index:251699200;rotation:330;" fillcolor="#404040" filled="true" stroked="false" type="#_x0000_t136">
            <v:fill opacity="0.400000"/>
            <v:textpath style="font-family:&quot;SimSun&quot;;font-size:20;v-text-kern:t;mso-text-shadow:auto" string="仅供内部审核                                     仅供内部审核"/>
          </v:shape>
        </w:pict>
      </w:r>
      <w:r>
        <w:rPr>
          <w:position w:val="-131"/>
        </w:rPr>
        <w:drawing>
          <wp:inline distT="0" distB="0" distL="0" distR="0">
            <wp:extent cx="6753225" cy="4162425"/>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6753225" cy="4162425"/>
                    </a:xfrm>
                    <a:prstGeom prst="rect">
                      <a:avLst/>
                    </a:prstGeom>
                  </pic:spPr>
                </pic:pic>
              </a:graphicData>
            </a:graphic>
          </wp:inline>
        </w:drawing>
      </w:r>
    </w:p>
    <w:p>
      <w:pPr>
        <w:spacing w:line="6555" w:lineRule="exact"/>
        <w:sectPr>
          <w:footerReference w:type="default" r:id="rId49"/>
          <w:pgSz w:w="16840" w:h="11900"/>
          <w:pgMar w:top="642" w:right="0" w:bottom="340" w:left="0" w:header="326" w:footer="111" w:gutter="0"/>
        </w:sectPr>
        <w:rPr/>
      </w:pPr>
    </w:p>
    <w:p>
      <w:pPr>
        <w:pStyle w:val="BodyText"/>
        <w:spacing w:line="267" w:lineRule="auto"/>
        <w:rPr/>
      </w:pPr>
      <w:r>
        <w:pict>
          <v:shape id="_x0000_s310" style="position:absolute;margin-left:312.92pt;margin-top:45.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638.92pt;margin-top:45.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400" w:lineRule="exact"/>
        <w:rPr/>
      </w:pPr>
      <w:r>
        <w:pict>
          <v:shape id="_x0000_s314" style="position:absolute;margin-left:86.92pt;margin-top:228.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16" style="position:absolute;margin-left:-45.0434pt;margin-top:347.362pt;mso-position-vertical-relative:text;mso-position-horizontal-relative:text;width:609.35pt;height:22.25pt;z-index:251702272;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753225" cy="5334000"/>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6753225" cy="5334000"/>
                    </a:xfrm>
                    <a:prstGeom prst="rect">
                      <a:avLst/>
                    </a:prstGeom>
                  </pic:spPr>
                </pic:pic>
              </a:graphicData>
            </a:graphic>
          </wp:inline>
        </w:drawing>
      </w:r>
    </w:p>
    <w:p>
      <w:pPr>
        <w:spacing w:line="8400" w:lineRule="exact"/>
        <w:sectPr>
          <w:footerReference w:type="default" r:id="rId51"/>
          <w:pgSz w:w="16840" w:h="11900"/>
          <w:pgMar w:top="642" w:right="0" w:bottom="340" w:left="0" w:header="326" w:footer="111" w:gutter="0"/>
        </w:sectPr>
        <w:rPr/>
      </w:pPr>
    </w:p>
    <w:p>
      <w:pPr>
        <w:pStyle w:val="BodyText"/>
        <w:spacing w:line="267" w:lineRule="auto"/>
        <w:rPr/>
      </w:pPr>
      <w:r>
        <w:pict>
          <v:shape id="_x0000_s318" style="position:absolute;margin-left:312.92pt;margin-top:45.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638.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8445" w:lineRule="exact"/>
        <w:rPr/>
      </w:pPr>
      <w:r>
        <w:pict>
          <v:shape id="_x0000_s322" style="position:absolute;margin-left:86.92pt;margin-top:228.07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24"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753225" cy="5362575"/>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6753225" cy="5362575"/>
                    </a:xfrm>
                    <a:prstGeom prst="rect">
                      <a:avLst/>
                    </a:prstGeom>
                  </pic:spPr>
                </pic:pic>
              </a:graphicData>
            </a:graphic>
          </wp:inline>
        </w:drawing>
      </w:r>
    </w:p>
    <w:p>
      <w:pPr>
        <w:spacing w:line="8445" w:lineRule="exact"/>
        <w:sectPr>
          <w:footerReference w:type="default" r:id="rId53"/>
          <w:pgSz w:w="16840" w:h="11900"/>
          <w:pgMar w:top="642" w:right="0" w:bottom="340" w:left="0" w:header="326" w:footer="111" w:gutter="0"/>
        </w:sectPr>
        <w:rPr/>
      </w:pPr>
    </w:p>
    <w:p>
      <w:pPr>
        <w:pStyle w:val="BodyText"/>
        <w:spacing w:line="267" w:lineRule="auto"/>
        <w:rPr/>
      </w:pPr>
      <w:r>
        <w:pict>
          <v:shape id="_x0000_s338" style="position:absolute;margin-left:638.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ict>
          <v:shape id="_x0000_s340" style="position:absolute;margin-left:312.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105"/>
        <w:spacing w:line="3690" w:lineRule="exact"/>
        <w:rPr/>
      </w:pPr>
      <w:r>
        <w:rPr>
          <w:position w:val="-73"/>
        </w:rPr>
        <w:drawing>
          <wp:inline distT="0" distB="0" distL="0" distR="0">
            <wp:extent cx="6753225" cy="2343150"/>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6753225" cy="2343150"/>
                    </a:xfrm>
                    <a:prstGeom prst="rect">
                      <a:avLst/>
                    </a:prstGeom>
                  </pic:spPr>
                </pic:pic>
              </a:graphicData>
            </a:graphic>
          </wp:inline>
        </w:drawing>
      </w:r>
    </w:p>
    <w:sectPr>
      <w:headerReference w:type="default" r:id="rId55"/>
      <w:footerReference w:type="default" r:id="rId56"/>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73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86.92pt;margin-top:27.763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44.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0" style="position:absolute;margin-left:-13.08pt;margin-top:28.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280.957pt;margin-top:406.395pt;mso-position-vertical-relative:page;mso-position-horizontal-relative:page;width:609.35pt;height:22.25pt;z-index:-2515415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4" style="position:absolute;margin-left:638.92pt;margin-top:529.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782pt;height:1pt;z-index:-2515404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6" style="position:absolute;margin-left:-13.08pt;margin-top:28.7633pt;mso-position-vertical-relative:text;mso-position-horizontal-relative:text;width:119.4pt;height:18.85pt;z-index:-251533312;rotation:330;" fillcolor="#404040" filled="true" stroked="false" type="#_x0000_t136">
          <v:fill opacity="0.400000"/>
          <v:textpath style="font-family:&quot;SimSun&quot;;font-size:20;v-text-kern:t;mso-text-shadow:auto" string="仅供内部审核"/>
        </v:shape>
      </w:pict>
    </w:r>
    <w:r>
      <w:pict>
        <v:shape id="PowerPlusWaterMarkObject328" style="position:absolute;margin-left:86.92pt;margin-top:287.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45.0434pt;margin-top:406.395pt;mso-position-vertical-relative:page;mso-position-horizontal-relative:page;width:609.35pt;height:22.25pt;z-index:-2515353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32" style="position:absolute;margin-left:280.957pt;margin-top:406.395pt;mso-position-vertical-relative:page;mso-position-horizontal-relative:page;width:609.35pt;height:22.25pt;z-index:-2515363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34" style="position:absolute;margin-left:638.92pt;margin-top:529.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_x0000_s336" style="position:absolute;margin-left:30pt;margin-top:29.5pt;mso-position-vertical-relative:page;mso-position-horizontal-relative:page;width:782pt;height:1pt;z-index:-2515343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288.105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兴县高家村镇中心卫生院2024年单位决算公开报告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image" Target="media/image12.png"/><Relationship Id="rId56" Type="http://schemas.openxmlformats.org/officeDocument/2006/relationships/footer" Target="footer30.xml"/><Relationship Id="rId55" Type="http://schemas.openxmlformats.org/officeDocument/2006/relationships/header" Target="header15.xml"/><Relationship Id="rId54" Type="http://schemas.openxmlformats.org/officeDocument/2006/relationships/image" Target="media/image11.png"/><Relationship Id="rId53" Type="http://schemas.openxmlformats.org/officeDocument/2006/relationships/footer" Target="footer29.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3.png"/><Relationship Id="rId37" Type="http://schemas.openxmlformats.org/officeDocument/2006/relationships/footer" Target="footer21.xml"/><Relationship Id="rId36" Type="http://schemas.openxmlformats.org/officeDocument/2006/relationships/image" Target="media/image2.png"/><Relationship Id="rId35" Type="http://schemas.openxmlformats.org/officeDocument/2006/relationships/footer" Target="footer20.xml"/><Relationship Id="rId34" Type="http://schemas.openxmlformats.org/officeDocument/2006/relationships/image" Target="media/image1.png"/><Relationship Id="rId33" Type="http://schemas.openxmlformats.org/officeDocument/2006/relationships/footer" Target="footer19.xml"/><Relationship Id="rId32" Type="http://schemas.openxmlformats.org/officeDocument/2006/relationships/header" Target="header14.xml"/><Relationship Id="rId31" Type="http://schemas.openxmlformats.org/officeDocument/2006/relationships/footer" Target="footer18.xml"/><Relationship Id="rId30" Type="http://schemas.openxmlformats.org/officeDocument/2006/relationships/header" Target="header13.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2025-09-25T16:26:29Z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2025-09-25T20:10:50</vt:filetime>
  </property>
</Properties>
</file>