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002"/>
        <w:spacing w:before="140" w:line="218" w:lineRule="auto"/>
        <w:rPr/>
      </w:pPr>
      <w:r>
        <w:rPr>
          <w:spacing w:val="-21"/>
        </w:rPr>
        <w:t>兴</w:t>
      </w:r>
      <w:r>
        <w:rPr>
          <w:spacing w:val="-100"/>
        </w:rPr>
        <w:t xml:space="preserve"> </w:t>
      </w:r>
      <w:r>
        <w:rPr>
          <w:spacing w:val="-21"/>
        </w:rPr>
        <w:t>县</w:t>
      </w:r>
      <w:r>
        <w:rPr>
          <w:spacing w:val="-78"/>
        </w:rPr>
        <w:t xml:space="preserve"> </w:t>
      </w:r>
      <w:r>
        <w:rPr>
          <w:spacing w:val="-21"/>
        </w:rPr>
        <w:t>罗</w:t>
      </w:r>
      <w:r>
        <w:rPr>
          <w:spacing w:val="-91"/>
        </w:rPr>
        <w:t xml:space="preserve"> </w:t>
      </w:r>
      <w:r>
        <w:rPr>
          <w:spacing w:val="-21"/>
        </w:rPr>
        <w:t>峪 口</w:t>
      </w:r>
      <w:r>
        <w:rPr>
          <w:spacing w:val="-104"/>
        </w:rPr>
        <w:t xml:space="preserve"> </w:t>
      </w:r>
      <w:r>
        <w:rPr>
          <w:spacing w:val="-21"/>
        </w:rPr>
        <w:t>镇</w:t>
      </w:r>
      <w:r>
        <w:rPr>
          <w:spacing w:val="-64"/>
        </w:rPr>
        <w:t xml:space="preserve"> </w:t>
      </w:r>
      <w:r>
        <w:rPr>
          <w:spacing w:val="-21"/>
        </w:rPr>
        <w:t>中</w:t>
      </w:r>
      <w:r>
        <w:rPr>
          <w:spacing w:val="-80"/>
        </w:rPr>
        <w:t xml:space="preserve"> </w:t>
      </w:r>
      <w:r>
        <w:rPr>
          <w:spacing w:val="-21"/>
        </w:rPr>
        <w:t>心</w:t>
      </w:r>
      <w:r>
        <w:rPr>
          <w:spacing w:val="-103"/>
        </w:rPr>
        <w:t xml:space="preserve"> </w:t>
      </w:r>
      <w:r>
        <w:rPr>
          <w:spacing w:val="-21"/>
        </w:rPr>
        <w:t>卫</w:t>
      </w:r>
      <w:r>
        <w:rPr>
          <w:spacing w:val="-75"/>
        </w:rPr>
        <w:t xml:space="preserve"> </w:t>
      </w:r>
      <w:r>
        <w:rPr>
          <w:spacing w:val="-21"/>
        </w:rPr>
        <w:t>生</w:t>
      </w:r>
      <w:r>
        <w:rPr>
          <w:spacing w:val="-77"/>
        </w:rPr>
        <w:t xml:space="preserve"> </w:t>
      </w:r>
      <w:r>
        <w:rPr>
          <w:spacing w:val="-21"/>
        </w:rPr>
        <w:t>院</w:t>
      </w:r>
    </w:p>
    <w:p>
      <w:pPr>
        <w:spacing w:line="378" w:lineRule="auto"/>
        <w:rPr>
          <w:rFonts w:ascii="Arial"/>
          <w:sz w:val="21"/>
        </w:rPr>
      </w:pPr>
      <w:r/>
    </w:p>
    <w:p>
      <w:pPr>
        <w:pStyle w:val="BodyText"/>
        <w:ind w:left="3079"/>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2" w:lineRule="auto"/>
        <w:rPr>
          <w:rFonts w:ascii="Arial"/>
          <w:sz w:val="21"/>
        </w:rPr>
      </w:pPr>
      <w:r/>
    </w:p>
    <w:p>
      <w:pPr>
        <w:ind w:left="1528"/>
        <w:spacing w:before="101" w:line="224" w:lineRule="auto"/>
        <w:rPr>
          <w:rFonts w:ascii="FangSong" w:hAnsi="FangSong" w:eastAsia="FangSong" w:cs="FangSong"/>
          <w:sz w:val="31"/>
          <w:szCs w:val="31"/>
        </w:rPr>
      </w:pPr>
      <w:r>
        <w:rPr>
          <w:rFonts w:ascii="FangSong" w:hAnsi="FangSong" w:eastAsia="FangSong" w:cs="FangSong"/>
          <w:sz w:val="31"/>
          <w:szCs w:val="31"/>
          <w:spacing w:val="8"/>
        </w:rPr>
        <w:t>兴县罗峪口镇中心卫生院|机构设置及人员编制情况</w:t>
      </w:r>
    </w:p>
    <w:p>
      <w:pPr>
        <w:ind w:left="1539" w:right="1475" w:hanging="11"/>
        <w:spacing w:before="195" w:line="330" w:lineRule="auto"/>
        <w:rPr>
          <w:rFonts w:ascii="FangSong" w:hAnsi="FangSong" w:eastAsia="FangSong" w:cs="FangSong"/>
          <w:sz w:val="31"/>
          <w:szCs w:val="31"/>
        </w:rPr>
      </w:pPr>
      <w:r>
        <w:rPr>
          <w:rFonts w:ascii="FangSong" w:hAnsi="FangSong" w:eastAsia="FangSong" w:cs="FangSong"/>
          <w:sz w:val="31"/>
          <w:szCs w:val="31"/>
          <w:spacing w:val="13"/>
        </w:rPr>
        <w:t>兴县罗峪口镇中心卫生院|是兴县医疗医疗集团下属的独立核算</w:t>
      </w:r>
      <w:r>
        <w:rPr>
          <w:rFonts w:ascii="FangSong" w:hAnsi="FangSong" w:eastAsia="FangSong" w:cs="FangSong"/>
          <w:sz w:val="31"/>
          <w:szCs w:val="31"/>
          <w:spacing w:val="6"/>
        </w:rPr>
        <w:t xml:space="preserve"> </w:t>
      </w:r>
      <w:r>
        <w:rPr>
          <w:rFonts w:ascii="FangSong" w:hAnsi="FangSong" w:eastAsia="FangSong" w:cs="FangSong"/>
          <w:sz w:val="31"/>
          <w:szCs w:val="31"/>
          <w:spacing w:val="3"/>
        </w:rPr>
        <w:t>的二级事业单位。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人员构成：设院长1名，工作人员8名。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部门名称：兴县罗峪口镇中心卫生院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248.24</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4"/>
              <w:spacing w:before="133" w:line="238" w:lineRule="auto"/>
              <w:jc w:val="right"/>
              <w:rPr/>
            </w:pPr>
            <w:r>
              <w:rPr>
                <w:color w:val="212529"/>
                <w:spacing w:val="-4"/>
              </w:rPr>
              <w:t>13.50</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5"/>
              <w:spacing w:before="136" w:line="238" w:lineRule="auto"/>
              <w:jc w:val="right"/>
              <w:rPr/>
            </w:pPr>
            <w:r>
              <w:rPr>
                <w:color w:val="212529"/>
                <w:spacing w:val="-2"/>
              </w:rPr>
              <w:t>5.89</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15.91</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250.68</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10.79</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7"/>
              <w:spacing w:before="135" w:line="183" w:lineRule="auto"/>
              <w:rPr>
                <w:rFonts w:ascii="Arial" w:hAnsi="Arial" w:eastAsia="Arial" w:cs="Arial"/>
                <w:sz w:val="15"/>
                <w:szCs w:val="15"/>
              </w:rPr>
            </w:pPr>
            <w:r>
              <w:rPr>
                <w:rFonts w:ascii="Arial" w:hAnsi="Arial" w:eastAsia="Arial" w:cs="Arial"/>
                <w:sz w:val="15"/>
                <w:szCs w:val="15"/>
                <w:color w:val="212529"/>
                <w:spacing w:val="3"/>
              </w:rPr>
              <w:t>267.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64</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3" w:lineRule="auto"/>
              <w:rPr>
                <w:rFonts w:ascii="Arial" w:hAnsi="Arial" w:eastAsia="Arial" w:cs="Arial"/>
                <w:sz w:val="15"/>
                <w:szCs w:val="15"/>
              </w:rPr>
            </w:pPr>
            <w:r>
              <w:rPr>
                <w:rFonts w:ascii="Arial" w:hAnsi="Arial" w:eastAsia="Arial" w:cs="Arial"/>
                <w:sz w:val="15"/>
                <w:szCs w:val="15"/>
                <w:color w:val="212529"/>
                <w:spacing w:val="2"/>
              </w:rPr>
              <w:t>277.</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38</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0.01</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25.97</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5"/>
              <w:spacing w:before="118" w:line="238" w:lineRule="auto"/>
              <w:jc w:val="right"/>
              <w:rPr/>
            </w:pPr>
            <w:r>
              <w:rPr>
                <w:color w:val="212529"/>
                <w:spacing w:val="-4"/>
              </w:rPr>
              <w:t>16.23</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7"/>
              <w:spacing w:before="141" w:line="184" w:lineRule="auto"/>
              <w:rPr>
                <w:rFonts w:ascii="Arial" w:hAnsi="Arial" w:eastAsia="Arial" w:cs="Arial"/>
                <w:sz w:val="15"/>
                <w:szCs w:val="15"/>
              </w:rPr>
            </w:pPr>
            <w:r>
              <w:rPr>
                <w:rFonts w:ascii="Arial" w:hAnsi="Arial" w:eastAsia="Arial" w:cs="Arial"/>
                <w:sz w:val="15"/>
                <w:szCs w:val="15"/>
                <w:color w:val="212529"/>
                <w:spacing w:val="1"/>
              </w:rPr>
              <w:t>293.</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61</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4"/>
              <w:spacing w:before="141" w:line="184" w:lineRule="auto"/>
              <w:rPr>
                <w:rFonts w:ascii="Arial" w:hAnsi="Arial" w:eastAsia="Arial" w:cs="Arial"/>
                <w:sz w:val="15"/>
                <w:szCs w:val="15"/>
              </w:rPr>
            </w:pPr>
            <w:r>
              <w:rPr>
                <w:rFonts w:ascii="Arial" w:hAnsi="Arial" w:eastAsia="Arial" w:cs="Arial"/>
                <w:sz w:val="15"/>
                <w:szCs w:val="15"/>
                <w:color w:val="212529"/>
                <w:spacing w:val="2"/>
              </w:rPr>
              <w:t>293.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61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3"/>
          <w:footerReference w:type="default" r:id="rId7"/>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部门名称：兴县罗峪口镇中心卫生院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5"/>
                <w:position w:val="1"/>
              </w:rPr>
              <w:t>267.64</w:t>
            </w:r>
          </w:p>
        </w:tc>
        <w:tc>
          <w:tcPr>
            <w:tcW w:w="988" w:type="dxa"/>
            <w:vAlign w:val="top"/>
          </w:tcPr>
          <w:p>
            <w:pPr>
              <w:pStyle w:val="TableText"/>
              <w:ind w:right="27"/>
              <w:spacing w:before="94" w:line="281" w:lineRule="exact"/>
              <w:jc w:val="right"/>
              <w:rPr>
                <w:sz w:val="21"/>
                <w:szCs w:val="21"/>
              </w:rPr>
            </w:pPr>
            <w:r>
              <w:rPr>
                <w:sz w:val="21"/>
                <w:szCs w:val="21"/>
                <w:color w:val="212529"/>
                <w:spacing w:val="5"/>
                <w:position w:val="1"/>
              </w:rPr>
              <w:t>248.24</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2"/>
                <w:position w:val="1"/>
              </w:rPr>
              <w:t>13.50</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3"/>
                <w:position w:val="1"/>
              </w:rPr>
              <w:t>5.89</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3"/>
              <w:spacing w:before="115" w:line="238" w:lineRule="auto"/>
              <w:jc w:val="right"/>
              <w:rPr/>
            </w:pPr>
            <w:r>
              <w:rPr>
                <w:color w:val="212529"/>
                <w:spacing w:val="-4"/>
              </w:rPr>
              <w:t>15.91</w:t>
            </w:r>
          </w:p>
        </w:tc>
        <w:tc>
          <w:tcPr>
            <w:tcW w:w="988" w:type="dxa"/>
            <w:vAlign w:val="top"/>
          </w:tcPr>
          <w:p>
            <w:pPr>
              <w:pStyle w:val="TableText"/>
              <w:ind w:right="20"/>
              <w:spacing w:before="115" w:line="238" w:lineRule="auto"/>
              <w:jc w:val="right"/>
              <w:rPr/>
            </w:pPr>
            <w:r>
              <w:rPr>
                <w:color w:val="212529"/>
                <w:spacing w:val="-4"/>
              </w:rPr>
              <w:t>15.91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3"/>
              <w:spacing w:before="116" w:line="238" w:lineRule="auto"/>
              <w:jc w:val="right"/>
              <w:rPr/>
            </w:pPr>
            <w:r>
              <w:rPr>
                <w:color w:val="212529"/>
                <w:spacing w:val="-4"/>
              </w:rPr>
              <w:t>15.91</w:t>
            </w:r>
          </w:p>
        </w:tc>
        <w:tc>
          <w:tcPr>
            <w:tcW w:w="988" w:type="dxa"/>
            <w:vAlign w:val="top"/>
          </w:tcPr>
          <w:p>
            <w:pPr>
              <w:pStyle w:val="TableText"/>
              <w:ind w:right="20"/>
              <w:spacing w:before="116" w:line="238" w:lineRule="auto"/>
              <w:jc w:val="right"/>
              <w:rPr/>
            </w:pPr>
            <w:r>
              <w:rPr>
                <w:color w:val="212529"/>
                <w:spacing w:val="-4"/>
              </w:rPr>
              <w:t>15.91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6" w:line="239" w:lineRule="auto"/>
              <w:rPr/>
            </w:pPr>
            <w:r>
              <w:rPr>
                <w:color w:val="212529"/>
                <w:spacing w:val="-2"/>
              </w:rPr>
              <w:t>2080502</w:t>
            </w:r>
          </w:p>
        </w:tc>
        <w:tc>
          <w:tcPr>
            <w:tcW w:w="1512" w:type="dxa"/>
            <w:vAlign w:val="top"/>
          </w:tcPr>
          <w:p>
            <w:pPr>
              <w:pStyle w:val="TableText"/>
              <w:ind w:left="2"/>
              <w:spacing w:before="116" w:line="219" w:lineRule="auto"/>
              <w:rPr/>
            </w:pPr>
            <w:r>
              <w:rPr>
                <w:color w:val="212529"/>
                <w:spacing w:val="-2"/>
              </w:rPr>
              <w:t>事业单位离退休</w:t>
            </w:r>
          </w:p>
        </w:tc>
        <w:tc>
          <w:tcPr>
            <w:tcW w:w="988" w:type="dxa"/>
            <w:vAlign w:val="top"/>
          </w:tcPr>
          <w:p>
            <w:pPr>
              <w:pStyle w:val="TableText"/>
              <w:ind w:right="25"/>
              <w:spacing w:before="117" w:line="238" w:lineRule="auto"/>
              <w:jc w:val="right"/>
              <w:rPr/>
            </w:pPr>
            <w:r>
              <w:rPr>
                <w:color w:val="212529"/>
                <w:spacing w:val="-2"/>
              </w:rPr>
              <w:t>0.50</w:t>
            </w:r>
          </w:p>
        </w:tc>
        <w:tc>
          <w:tcPr>
            <w:tcW w:w="988" w:type="dxa"/>
            <w:vAlign w:val="top"/>
          </w:tcPr>
          <w:p>
            <w:pPr>
              <w:pStyle w:val="TableText"/>
              <w:ind w:right="22"/>
              <w:spacing w:before="117" w:line="238" w:lineRule="auto"/>
              <w:jc w:val="right"/>
              <w:rPr/>
            </w:pPr>
            <w:r>
              <w:rPr>
                <w:color w:val="212529"/>
                <w:spacing w:val="-2"/>
              </w:rPr>
              <w:t>0.50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7" w:line="239" w:lineRule="auto"/>
              <w:rPr/>
            </w:pPr>
            <w:r>
              <w:rPr>
                <w:color w:val="212529"/>
                <w:spacing w:val="-2"/>
              </w:rPr>
              <w:t>2080505</w:t>
            </w:r>
          </w:p>
        </w:tc>
        <w:tc>
          <w:tcPr>
            <w:tcW w:w="1512" w:type="dxa"/>
            <w:vAlign w:val="top"/>
          </w:tcPr>
          <w:p>
            <w:pPr>
              <w:pStyle w:val="TableText"/>
              <w:ind w:right="62"/>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3"/>
              <w:spacing w:before="118" w:line="238" w:lineRule="auto"/>
              <w:jc w:val="right"/>
              <w:rPr/>
            </w:pPr>
            <w:r>
              <w:rPr>
                <w:color w:val="212529"/>
                <w:spacing w:val="-4"/>
              </w:rPr>
              <w:t>10.41</w:t>
            </w:r>
          </w:p>
        </w:tc>
        <w:tc>
          <w:tcPr>
            <w:tcW w:w="988" w:type="dxa"/>
            <w:vAlign w:val="top"/>
          </w:tcPr>
          <w:p>
            <w:pPr>
              <w:pStyle w:val="TableText"/>
              <w:ind w:right="20"/>
              <w:spacing w:before="118" w:line="238" w:lineRule="auto"/>
              <w:jc w:val="right"/>
              <w:rPr/>
            </w:pPr>
            <w:r>
              <w:rPr>
                <w:color w:val="212529"/>
                <w:spacing w:val="-4"/>
              </w:rPr>
              <w:t>10.41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8" w:line="239" w:lineRule="auto"/>
              <w:rPr/>
            </w:pPr>
            <w:r>
              <w:rPr>
                <w:color w:val="212529"/>
                <w:spacing w:val="-2"/>
              </w:rPr>
              <w:t>2080506</w:t>
            </w:r>
          </w:p>
        </w:tc>
        <w:tc>
          <w:tcPr>
            <w:tcW w:w="1512" w:type="dxa"/>
            <w:vAlign w:val="top"/>
          </w:tcPr>
          <w:p>
            <w:pPr>
              <w:pStyle w:val="TableText"/>
              <w:ind w:left="1" w:right="62"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24"/>
              <w:spacing w:before="119" w:line="238" w:lineRule="auto"/>
              <w:jc w:val="right"/>
              <w:rPr/>
            </w:pPr>
            <w:r>
              <w:rPr>
                <w:color w:val="212529"/>
                <w:spacing w:val="-2"/>
              </w:rPr>
              <w:t>5.00</w:t>
            </w:r>
          </w:p>
        </w:tc>
        <w:tc>
          <w:tcPr>
            <w:tcW w:w="988" w:type="dxa"/>
            <w:vAlign w:val="top"/>
          </w:tcPr>
          <w:p>
            <w:pPr>
              <w:pStyle w:val="TableText"/>
              <w:ind w:right="22"/>
              <w:spacing w:before="119" w:line="238" w:lineRule="auto"/>
              <w:jc w:val="right"/>
              <w:rPr/>
            </w:pPr>
            <w:r>
              <w:rPr>
                <w:color w:val="212529"/>
                <w:spacing w:val="-2"/>
              </w:rPr>
              <w:t>5.00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9" w:line="239" w:lineRule="auto"/>
              <w:rPr/>
            </w:pPr>
            <w:r>
              <w:rPr>
                <w:color w:val="212529"/>
                <w:spacing w:val="-3"/>
              </w:rPr>
              <w:t>210</w:t>
            </w:r>
          </w:p>
        </w:tc>
        <w:tc>
          <w:tcPr>
            <w:tcW w:w="1512" w:type="dxa"/>
            <w:vAlign w:val="top"/>
          </w:tcPr>
          <w:p>
            <w:pPr>
              <w:pStyle w:val="TableText"/>
              <w:ind w:left="2"/>
              <w:spacing w:before="119" w:line="219" w:lineRule="auto"/>
              <w:rPr/>
            </w:pPr>
            <w:r>
              <w:rPr>
                <w:color w:val="212529"/>
                <w:spacing w:val="-2"/>
              </w:rPr>
              <w:t>卫生健康支出</w:t>
            </w:r>
          </w:p>
        </w:tc>
        <w:tc>
          <w:tcPr>
            <w:tcW w:w="988" w:type="dxa"/>
            <w:vAlign w:val="top"/>
          </w:tcPr>
          <w:p>
            <w:pPr>
              <w:pStyle w:val="TableText"/>
              <w:ind w:right="25"/>
              <w:spacing w:before="120" w:line="238" w:lineRule="auto"/>
              <w:jc w:val="right"/>
              <w:rPr/>
            </w:pPr>
            <w:r>
              <w:rPr>
                <w:color w:val="212529"/>
                <w:spacing w:val="-2"/>
              </w:rPr>
              <w:t>240.94</w:t>
            </w:r>
          </w:p>
        </w:tc>
        <w:tc>
          <w:tcPr>
            <w:tcW w:w="988" w:type="dxa"/>
            <w:vAlign w:val="top"/>
          </w:tcPr>
          <w:p>
            <w:pPr>
              <w:pStyle w:val="TableText"/>
              <w:ind w:right="23"/>
              <w:spacing w:before="120" w:line="238" w:lineRule="auto"/>
              <w:jc w:val="right"/>
              <w:rPr/>
            </w:pPr>
            <w:r>
              <w:rPr>
                <w:color w:val="212529"/>
                <w:spacing w:val="-2"/>
              </w:rPr>
              <w:t>221.54</w:t>
            </w:r>
          </w:p>
        </w:tc>
        <w:tc>
          <w:tcPr>
            <w:tcW w:w="913" w:type="dxa"/>
            <w:vAlign w:val="top"/>
          </w:tcPr>
          <w:p>
            <w:pPr>
              <w:rPr>
                <w:rFonts w:ascii="Arial"/>
                <w:sz w:val="21"/>
              </w:rPr>
            </w:pPr>
            <w:r/>
          </w:p>
        </w:tc>
        <w:tc>
          <w:tcPr>
            <w:tcW w:w="914" w:type="dxa"/>
            <w:vAlign w:val="top"/>
          </w:tcPr>
          <w:p>
            <w:pPr>
              <w:pStyle w:val="TableText"/>
              <w:ind w:right="26"/>
              <w:spacing w:before="120" w:line="238" w:lineRule="auto"/>
              <w:jc w:val="right"/>
              <w:rPr/>
            </w:pPr>
            <w:r>
              <w:rPr>
                <w:color w:val="212529"/>
                <w:spacing w:val="-4"/>
              </w:rPr>
              <w:t>13.50</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20" w:line="238" w:lineRule="auto"/>
              <w:jc w:val="right"/>
              <w:rPr/>
            </w:pPr>
            <w:r>
              <w:rPr>
                <w:color w:val="212529"/>
                <w:spacing w:val="-2"/>
              </w:rPr>
              <w:t>5.89</w:t>
            </w:r>
          </w:p>
        </w:tc>
      </w:tr>
      <w:tr>
        <w:trPr>
          <w:trHeight w:val="404" w:hRule="atLeast"/>
        </w:trPr>
        <w:tc>
          <w:tcPr>
            <w:tcW w:w="921" w:type="dxa"/>
            <w:vAlign w:val="top"/>
          </w:tcPr>
          <w:p>
            <w:pPr>
              <w:pStyle w:val="TableText"/>
              <w:ind w:left="9"/>
              <w:spacing w:before="120" w:line="239" w:lineRule="auto"/>
              <w:rPr/>
            </w:pPr>
            <w:r>
              <w:rPr>
                <w:color w:val="212529"/>
                <w:spacing w:val="-2"/>
              </w:rPr>
              <w:t>21003</w:t>
            </w:r>
          </w:p>
        </w:tc>
        <w:tc>
          <w:tcPr>
            <w:tcW w:w="1512" w:type="dxa"/>
            <w:vAlign w:val="top"/>
          </w:tcPr>
          <w:p>
            <w:pPr>
              <w:pStyle w:val="TableText"/>
              <w:spacing w:before="120" w:line="218" w:lineRule="auto"/>
              <w:rPr/>
            </w:pPr>
            <w:r>
              <w:rPr>
                <w:color w:val="212529"/>
                <w:spacing w:val="-1"/>
              </w:rPr>
              <w:t>基层医疗卫生机构</w:t>
            </w:r>
          </w:p>
        </w:tc>
        <w:tc>
          <w:tcPr>
            <w:tcW w:w="988" w:type="dxa"/>
            <w:vAlign w:val="top"/>
          </w:tcPr>
          <w:p>
            <w:pPr>
              <w:pStyle w:val="TableText"/>
              <w:ind w:right="24"/>
              <w:spacing w:before="121" w:line="238" w:lineRule="auto"/>
              <w:jc w:val="right"/>
              <w:rPr/>
            </w:pPr>
            <w:r>
              <w:rPr>
                <w:color w:val="212529"/>
                <w:spacing w:val="-3"/>
              </w:rPr>
              <w:t>197.24</w:t>
            </w:r>
          </w:p>
        </w:tc>
        <w:tc>
          <w:tcPr>
            <w:tcW w:w="988" w:type="dxa"/>
            <w:vAlign w:val="top"/>
          </w:tcPr>
          <w:p>
            <w:pPr>
              <w:pStyle w:val="TableText"/>
              <w:ind w:right="21"/>
              <w:spacing w:before="121" w:line="238" w:lineRule="auto"/>
              <w:jc w:val="right"/>
              <w:rPr/>
            </w:pPr>
            <w:r>
              <w:rPr>
                <w:color w:val="212529"/>
                <w:spacing w:val="-3"/>
              </w:rPr>
              <w:t>177.84</w:t>
            </w:r>
          </w:p>
        </w:tc>
        <w:tc>
          <w:tcPr>
            <w:tcW w:w="913" w:type="dxa"/>
            <w:vAlign w:val="top"/>
          </w:tcPr>
          <w:p>
            <w:pPr>
              <w:rPr>
                <w:rFonts w:ascii="Arial"/>
                <w:sz w:val="21"/>
              </w:rPr>
            </w:pPr>
            <w:r/>
          </w:p>
        </w:tc>
        <w:tc>
          <w:tcPr>
            <w:tcW w:w="914" w:type="dxa"/>
            <w:vAlign w:val="top"/>
          </w:tcPr>
          <w:p>
            <w:pPr>
              <w:pStyle w:val="TableText"/>
              <w:ind w:right="26"/>
              <w:spacing w:before="121" w:line="238" w:lineRule="auto"/>
              <w:jc w:val="right"/>
              <w:rPr/>
            </w:pPr>
            <w:r>
              <w:rPr>
                <w:color w:val="212529"/>
                <w:spacing w:val="-4"/>
              </w:rPr>
              <w:t>13.50</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21" w:line="238" w:lineRule="auto"/>
              <w:jc w:val="right"/>
              <w:rPr/>
            </w:pPr>
            <w:r>
              <w:rPr>
                <w:color w:val="212529"/>
                <w:spacing w:val="-2"/>
              </w:rPr>
              <w:t>5.89</w:t>
            </w:r>
          </w:p>
        </w:tc>
      </w:tr>
      <w:tr>
        <w:trPr>
          <w:trHeight w:val="404" w:hRule="atLeast"/>
        </w:trPr>
        <w:tc>
          <w:tcPr>
            <w:tcW w:w="921" w:type="dxa"/>
            <w:vAlign w:val="top"/>
          </w:tcPr>
          <w:p>
            <w:pPr>
              <w:pStyle w:val="TableText"/>
              <w:ind w:left="9"/>
              <w:spacing w:before="121" w:line="239" w:lineRule="auto"/>
              <w:rPr/>
            </w:pPr>
            <w:r>
              <w:rPr>
                <w:color w:val="212529"/>
                <w:spacing w:val="-2"/>
              </w:rPr>
              <w:t>2100302</w:t>
            </w:r>
          </w:p>
        </w:tc>
        <w:tc>
          <w:tcPr>
            <w:tcW w:w="1512" w:type="dxa"/>
            <w:vAlign w:val="top"/>
          </w:tcPr>
          <w:p>
            <w:pPr>
              <w:pStyle w:val="TableText"/>
              <w:ind w:left="8"/>
              <w:spacing w:before="121" w:line="219" w:lineRule="auto"/>
              <w:rPr/>
            </w:pPr>
            <w:r>
              <w:rPr>
                <w:color w:val="212529"/>
                <w:spacing w:val="-3"/>
              </w:rPr>
              <w:t>乡镇卫生院</w:t>
            </w:r>
          </w:p>
        </w:tc>
        <w:tc>
          <w:tcPr>
            <w:tcW w:w="988" w:type="dxa"/>
            <w:vAlign w:val="top"/>
          </w:tcPr>
          <w:p>
            <w:pPr>
              <w:pStyle w:val="TableText"/>
              <w:ind w:right="24"/>
              <w:spacing w:before="122" w:line="238" w:lineRule="auto"/>
              <w:jc w:val="right"/>
              <w:rPr/>
            </w:pPr>
            <w:r>
              <w:rPr>
                <w:color w:val="212529"/>
                <w:spacing w:val="-3"/>
              </w:rPr>
              <w:t>176.54</w:t>
            </w:r>
          </w:p>
        </w:tc>
        <w:tc>
          <w:tcPr>
            <w:tcW w:w="988" w:type="dxa"/>
            <w:vAlign w:val="top"/>
          </w:tcPr>
          <w:p>
            <w:pPr>
              <w:pStyle w:val="TableText"/>
              <w:ind w:right="21"/>
              <w:spacing w:before="122" w:line="238" w:lineRule="auto"/>
              <w:jc w:val="right"/>
              <w:rPr/>
            </w:pPr>
            <w:r>
              <w:rPr>
                <w:color w:val="212529"/>
                <w:spacing w:val="-3"/>
              </w:rPr>
              <w:t>157.14</w:t>
            </w:r>
          </w:p>
        </w:tc>
        <w:tc>
          <w:tcPr>
            <w:tcW w:w="913" w:type="dxa"/>
            <w:vAlign w:val="top"/>
          </w:tcPr>
          <w:p>
            <w:pPr>
              <w:rPr>
                <w:rFonts w:ascii="Arial"/>
                <w:sz w:val="21"/>
              </w:rPr>
            </w:pPr>
            <w:r/>
          </w:p>
        </w:tc>
        <w:tc>
          <w:tcPr>
            <w:tcW w:w="914" w:type="dxa"/>
            <w:vAlign w:val="top"/>
          </w:tcPr>
          <w:p>
            <w:pPr>
              <w:pStyle w:val="TableText"/>
              <w:ind w:right="26"/>
              <w:spacing w:before="122" w:line="238" w:lineRule="auto"/>
              <w:jc w:val="right"/>
              <w:rPr/>
            </w:pPr>
            <w:r>
              <w:rPr>
                <w:color w:val="212529"/>
                <w:spacing w:val="-4"/>
              </w:rPr>
              <w:t>13.50</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7"/>
              <w:spacing w:before="122" w:line="238" w:lineRule="auto"/>
              <w:jc w:val="right"/>
              <w:rPr/>
            </w:pPr>
            <w:r>
              <w:rPr>
                <w:color w:val="212529"/>
                <w:spacing w:val="-2"/>
              </w:rPr>
              <w:t>5.89</w:t>
            </w:r>
          </w:p>
        </w:tc>
      </w:tr>
      <w:tr>
        <w:trPr>
          <w:trHeight w:val="419" w:hRule="atLeast"/>
        </w:trPr>
        <w:tc>
          <w:tcPr>
            <w:tcW w:w="921" w:type="dxa"/>
            <w:vAlign w:val="top"/>
          </w:tcPr>
          <w:p>
            <w:pPr>
              <w:pStyle w:val="TableText"/>
              <w:ind w:left="9"/>
              <w:spacing w:before="122" w:line="239" w:lineRule="auto"/>
              <w:rPr/>
            </w:pPr>
            <w:r>
              <w:rPr>
                <w:color w:val="212529"/>
                <w:spacing w:val="-2"/>
              </w:rPr>
              <w:t>2100399</w:t>
            </w:r>
          </w:p>
        </w:tc>
        <w:tc>
          <w:tcPr>
            <w:tcW w:w="1512" w:type="dxa"/>
            <w:vAlign w:val="top"/>
          </w:tcPr>
          <w:p>
            <w:pPr>
              <w:pStyle w:val="TableText"/>
              <w:ind w:right="62"/>
              <w:spacing w:before="19" w:line="200"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5"/>
              <w:spacing w:before="123" w:line="238" w:lineRule="auto"/>
              <w:jc w:val="right"/>
              <w:rPr/>
            </w:pPr>
            <w:r>
              <w:rPr>
                <w:color w:val="212529"/>
                <w:spacing w:val="-2"/>
              </w:rPr>
              <w:t>20.71</w:t>
            </w:r>
          </w:p>
        </w:tc>
        <w:tc>
          <w:tcPr>
            <w:tcW w:w="988" w:type="dxa"/>
            <w:vAlign w:val="top"/>
          </w:tcPr>
          <w:p>
            <w:pPr>
              <w:pStyle w:val="TableText"/>
              <w:ind w:right="23"/>
              <w:spacing w:before="123" w:line="238" w:lineRule="auto"/>
              <w:jc w:val="right"/>
              <w:rPr/>
            </w:pPr>
            <w:r>
              <w:rPr>
                <w:color w:val="212529"/>
                <w:spacing w:val="-2"/>
              </w:rPr>
              <w:t>20.71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w:t>
            </w:r>
          </w:p>
        </w:tc>
        <w:tc>
          <w:tcPr>
            <w:tcW w:w="1512" w:type="dxa"/>
            <w:vAlign w:val="top"/>
          </w:tcPr>
          <w:p>
            <w:pPr>
              <w:pStyle w:val="TableText"/>
              <w:ind w:left="6"/>
              <w:spacing w:before="123" w:line="219" w:lineRule="auto"/>
              <w:rPr/>
            </w:pPr>
            <w:r>
              <w:rPr>
                <w:color w:val="212529"/>
                <w:spacing w:val="-3"/>
              </w:rPr>
              <w:t>公共卫生</w:t>
            </w:r>
          </w:p>
        </w:tc>
        <w:tc>
          <w:tcPr>
            <w:tcW w:w="988" w:type="dxa"/>
            <w:vAlign w:val="top"/>
          </w:tcPr>
          <w:p>
            <w:pPr>
              <w:pStyle w:val="TableText"/>
              <w:ind w:right="25"/>
              <w:spacing w:before="124" w:line="238" w:lineRule="auto"/>
              <w:jc w:val="right"/>
              <w:rPr/>
            </w:pPr>
            <w:r>
              <w:rPr>
                <w:color w:val="212529"/>
                <w:spacing w:val="-2"/>
              </w:rPr>
              <w:t>39.42</w:t>
            </w:r>
          </w:p>
        </w:tc>
        <w:tc>
          <w:tcPr>
            <w:tcW w:w="988" w:type="dxa"/>
            <w:vAlign w:val="top"/>
          </w:tcPr>
          <w:p>
            <w:pPr>
              <w:pStyle w:val="TableText"/>
              <w:ind w:right="22"/>
              <w:spacing w:before="124" w:line="238" w:lineRule="auto"/>
              <w:jc w:val="right"/>
              <w:rPr/>
            </w:pPr>
            <w:r>
              <w:rPr>
                <w:color w:val="212529"/>
                <w:spacing w:val="-2"/>
              </w:rPr>
              <w:t>39.42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2100401</w:t>
            </w:r>
          </w:p>
        </w:tc>
        <w:tc>
          <w:tcPr>
            <w:tcW w:w="1512" w:type="dxa"/>
            <w:vAlign w:val="top"/>
          </w:tcPr>
          <w:p>
            <w:pPr>
              <w:pStyle w:val="TableText"/>
              <w:spacing w:before="123" w:line="218" w:lineRule="auto"/>
              <w:rPr/>
            </w:pPr>
            <w:r>
              <w:rPr>
                <w:color w:val="212529"/>
                <w:spacing w:val="-1"/>
              </w:rPr>
              <w:t>疾病预防控制机构</w:t>
            </w:r>
          </w:p>
        </w:tc>
        <w:tc>
          <w:tcPr>
            <w:tcW w:w="988" w:type="dxa"/>
            <w:vAlign w:val="top"/>
          </w:tcPr>
          <w:p>
            <w:pPr>
              <w:pStyle w:val="TableText"/>
              <w:ind w:right="25"/>
              <w:spacing w:before="124" w:line="238" w:lineRule="auto"/>
              <w:jc w:val="right"/>
              <w:rPr/>
            </w:pPr>
            <w:r>
              <w:rPr>
                <w:color w:val="212529"/>
                <w:spacing w:val="-2"/>
              </w:rPr>
              <w:t>0.02</w:t>
            </w:r>
          </w:p>
        </w:tc>
        <w:tc>
          <w:tcPr>
            <w:tcW w:w="988" w:type="dxa"/>
            <w:vAlign w:val="top"/>
          </w:tcPr>
          <w:p>
            <w:pPr>
              <w:pStyle w:val="TableText"/>
              <w:ind w:right="22"/>
              <w:spacing w:before="124" w:line="238" w:lineRule="auto"/>
              <w:jc w:val="right"/>
              <w:rPr/>
            </w:pPr>
            <w:r>
              <w:rPr>
                <w:color w:val="212529"/>
                <w:spacing w:val="-2"/>
              </w:rPr>
              <w:t>0.02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5"/>
              <w:spacing w:before="124" w:line="238" w:lineRule="auto"/>
              <w:jc w:val="right"/>
              <w:rPr/>
            </w:pPr>
            <w:r>
              <w:rPr>
                <w:color w:val="212529"/>
                <w:spacing w:val="-2"/>
              </w:rPr>
              <w:t>39.40</w:t>
            </w:r>
          </w:p>
        </w:tc>
        <w:tc>
          <w:tcPr>
            <w:tcW w:w="988" w:type="dxa"/>
            <w:vAlign w:val="top"/>
          </w:tcPr>
          <w:p>
            <w:pPr>
              <w:pStyle w:val="TableText"/>
              <w:ind w:right="22"/>
              <w:spacing w:before="124" w:line="238" w:lineRule="auto"/>
              <w:jc w:val="right"/>
              <w:rPr/>
            </w:pPr>
            <w:r>
              <w:rPr>
                <w:color w:val="212529"/>
                <w:spacing w:val="-2"/>
              </w:rPr>
              <w:t>39.40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5"/>
              <w:spacing w:before="124" w:line="238" w:lineRule="auto"/>
              <w:jc w:val="right"/>
              <w:rPr/>
            </w:pPr>
            <w:r>
              <w:rPr>
                <w:color w:val="212529"/>
                <w:spacing w:val="-2"/>
              </w:rPr>
              <w:t>4.28</w:t>
            </w:r>
          </w:p>
        </w:tc>
        <w:tc>
          <w:tcPr>
            <w:tcW w:w="988" w:type="dxa"/>
            <w:vAlign w:val="top"/>
          </w:tcPr>
          <w:p>
            <w:pPr>
              <w:pStyle w:val="TableText"/>
              <w:ind w:right="23"/>
              <w:spacing w:before="124" w:line="238" w:lineRule="auto"/>
              <w:jc w:val="right"/>
              <w:rPr/>
            </w:pPr>
            <w:r>
              <w:rPr>
                <w:color w:val="212529"/>
                <w:spacing w:val="-2"/>
              </w:rPr>
              <w:t>4.28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5"/>
              <w:spacing w:before="124" w:line="238" w:lineRule="auto"/>
              <w:jc w:val="right"/>
              <w:rPr/>
            </w:pPr>
            <w:r>
              <w:rPr>
                <w:color w:val="212529"/>
                <w:spacing w:val="-2"/>
              </w:rPr>
              <w:t>4.28</w:t>
            </w:r>
          </w:p>
        </w:tc>
        <w:tc>
          <w:tcPr>
            <w:tcW w:w="988" w:type="dxa"/>
            <w:vAlign w:val="top"/>
          </w:tcPr>
          <w:p>
            <w:pPr>
              <w:pStyle w:val="TableText"/>
              <w:ind w:right="23"/>
              <w:spacing w:before="124" w:line="238" w:lineRule="auto"/>
              <w:jc w:val="right"/>
              <w:rPr/>
            </w:pPr>
            <w:r>
              <w:rPr>
                <w:color w:val="212529"/>
                <w:spacing w:val="-2"/>
              </w:rPr>
              <w:t>4.28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3"/>
              <w:spacing w:before="124" w:line="238" w:lineRule="auto"/>
              <w:jc w:val="right"/>
              <w:rPr/>
            </w:pPr>
            <w:r>
              <w:rPr>
                <w:color w:val="212529"/>
                <w:spacing w:val="-4"/>
              </w:rPr>
              <w:t>10.79</w:t>
            </w:r>
          </w:p>
        </w:tc>
        <w:tc>
          <w:tcPr>
            <w:tcW w:w="988" w:type="dxa"/>
            <w:vAlign w:val="top"/>
          </w:tcPr>
          <w:p>
            <w:pPr>
              <w:pStyle w:val="TableText"/>
              <w:ind w:right="20"/>
              <w:spacing w:before="124" w:line="238" w:lineRule="auto"/>
              <w:jc w:val="right"/>
              <w:rPr/>
            </w:pPr>
            <w:r>
              <w:rPr>
                <w:color w:val="212529"/>
                <w:spacing w:val="-4"/>
              </w:rPr>
              <w:t>10.79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3"/>
              <w:spacing w:before="124" w:line="238" w:lineRule="auto"/>
              <w:jc w:val="right"/>
              <w:rPr/>
            </w:pPr>
            <w:r>
              <w:rPr>
                <w:color w:val="212529"/>
                <w:spacing w:val="-4"/>
              </w:rPr>
              <w:t>10.79</w:t>
            </w:r>
          </w:p>
        </w:tc>
        <w:tc>
          <w:tcPr>
            <w:tcW w:w="988" w:type="dxa"/>
            <w:vAlign w:val="top"/>
          </w:tcPr>
          <w:p>
            <w:pPr>
              <w:pStyle w:val="TableText"/>
              <w:ind w:right="20"/>
              <w:spacing w:before="124" w:line="238" w:lineRule="auto"/>
              <w:jc w:val="right"/>
              <w:rPr/>
            </w:pPr>
            <w:r>
              <w:rPr>
                <w:color w:val="212529"/>
                <w:spacing w:val="-4"/>
              </w:rPr>
              <w:t>10.79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3"/>
              <w:spacing w:before="124" w:line="238" w:lineRule="auto"/>
              <w:jc w:val="right"/>
              <w:rPr/>
            </w:pPr>
            <w:r>
              <w:rPr>
                <w:color w:val="212529"/>
                <w:spacing w:val="-4"/>
              </w:rPr>
              <w:t>10.79</w:t>
            </w:r>
          </w:p>
        </w:tc>
        <w:tc>
          <w:tcPr>
            <w:tcW w:w="988" w:type="dxa"/>
            <w:vAlign w:val="top"/>
          </w:tcPr>
          <w:p>
            <w:pPr>
              <w:pStyle w:val="TableText"/>
              <w:ind w:right="20"/>
              <w:spacing w:before="124" w:line="238" w:lineRule="auto"/>
              <w:jc w:val="right"/>
              <w:rPr/>
            </w:pPr>
            <w:r>
              <w:rPr>
                <w:color w:val="212529"/>
                <w:spacing w:val="-4"/>
              </w:rPr>
              <w:t>10.79</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8"/>
          <w:footerReference w:type="default" r:id="rId9"/>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部门名称：兴县罗峪口镇中心卫生院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3" w:lineRule="auto"/>
              <w:rPr>
                <w:rFonts w:ascii="Arial" w:hAnsi="Arial" w:eastAsia="Arial" w:cs="Arial"/>
                <w:sz w:val="15"/>
                <w:szCs w:val="15"/>
              </w:rPr>
            </w:pPr>
            <w:r>
              <w:rPr>
                <w:rFonts w:ascii="Arial" w:hAnsi="Arial" w:eastAsia="Arial" w:cs="Arial"/>
                <w:sz w:val="15"/>
                <w:szCs w:val="15"/>
                <w:color w:val="212529"/>
                <w:spacing w:val="2"/>
              </w:rPr>
              <w:t>277.</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38</w:t>
            </w:r>
          </w:p>
        </w:tc>
        <w:tc>
          <w:tcPr>
            <w:tcW w:w="1108" w:type="dxa"/>
            <w:vAlign w:val="top"/>
          </w:tcPr>
          <w:p>
            <w:pPr>
              <w:ind w:left="547"/>
              <w:spacing w:before="135" w:line="212" w:lineRule="auto"/>
              <w:rPr>
                <w:rFonts w:ascii="Arial" w:hAnsi="Arial" w:eastAsia="Arial" w:cs="Arial"/>
                <w:sz w:val="13"/>
                <w:szCs w:val="13"/>
              </w:rPr>
            </w:pPr>
            <w:r>
              <w:rPr>
                <w:rFonts w:ascii="Arial" w:hAnsi="Arial" w:eastAsia="Arial" w:cs="Arial"/>
                <w:sz w:val="13"/>
                <w:szCs w:val="13"/>
                <w:color w:val="212529"/>
                <w:spacing w:val="11"/>
              </w:rPr>
              <w:t>151.</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70</w:t>
            </w:r>
          </w:p>
        </w:tc>
        <w:tc>
          <w:tcPr>
            <w:tcW w:w="1123" w:type="dxa"/>
            <w:vAlign w:val="top"/>
          </w:tcPr>
          <w:p>
            <w:pPr>
              <w:ind w:left="554"/>
              <w:spacing w:before="135" w:line="172" w:lineRule="auto"/>
              <w:rPr>
                <w:rFonts w:ascii="Arial" w:hAnsi="Arial" w:eastAsia="Arial" w:cs="Arial"/>
                <w:sz w:val="16"/>
                <w:szCs w:val="16"/>
              </w:rPr>
            </w:pPr>
            <w:r>
              <w:rPr>
                <w:rFonts w:ascii="Arial" w:hAnsi="Arial" w:eastAsia="Arial" w:cs="Arial"/>
                <w:sz w:val="16"/>
                <w:szCs w:val="16"/>
                <w:color w:val="212529"/>
                <w:spacing w:val="4"/>
              </w:rPr>
              <w:t>125.67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15.91</w:t>
            </w:r>
          </w:p>
        </w:tc>
        <w:tc>
          <w:tcPr>
            <w:tcW w:w="1108" w:type="dxa"/>
            <w:vAlign w:val="top"/>
          </w:tcPr>
          <w:p>
            <w:pPr>
              <w:pStyle w:val="TableText"/>
              <w:ind w:right="21"/>
              <w:spacing w:before="115" w:line="238" w:lineRule="auto"/>
              <w:jc w:val="right"/>
              <w:rPr/>
            </w:pPr>
            <w:r>
              <w:rPr>
                <w:color w:val="212529"/>
                <w:spacing w:val="-4"/>
              </w:rPr>
              <w:t>15.91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15.91</w:t>
            </w:r>
          </w:p>
        </w:tc>
        <w:tc>
          <w:tcPr>
            <w:tcW w:w="1108" w:type="dxa"/>
            <w:vAlign w:val="top"/>
          </w:tcPr>
          <w:p>
            <w:pPr>
              <w:pStyle w:val="TableText"/>
              <w:ind w:right="21"/>
              <w:spacing w:before="116" w:line="238" w:lineRule="auto"/>
              <w:jc w:val="right"/>
              <w:rPr/>
            </w:pPr>
            <w:r>
              <w:rPr>
                <w:color w:val="212529"/>
                <w:spacing w:val="-4"/>
              </w:rPr>
              <w:t>15.91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0.50</w:t>
            </w:r>
          </w:p>
        </w:tc>
        <w:tc>
          <w:tcPr>
            <w:tcW w:w="1108" w:type="dxa"/>
            <w:vAlign w:val="top"/>
          </w:tcPr>
          <w:p>
            <w:pPr>
              <w:pStyle w:val="TableText"/>
              <w:ind w:right="23"/>
              <w:spacing w:before="117" w:line="238" w:lineRule="auto"/>
              <w:jc w:val="right"/>
              <w:rPr/>
            </w:pPr>
            <w:r>
              <w:rPr>
                <w:color w:val="212529"/>
                <w:spacing w:val="-2"/>
              </w:rPr>
              <w:t>0.50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8" w:line="238" w:lineRule="auto"/>
              <w:jc w:val="right"/>
              <w:rPr/>
            </w:pPr>
            <w:r>
              <w:rPr>
                <w:color w:val="212529"/>
                <w:spacing w:val="-4"/>
              </w:rPr>
              <w:t>10.41</w:t>
            </w:r>
          </w:p>
        </w:tc>
        <w:tc>
          <w:tcPr>
            <w:tcW w:w="1108" w:type="dxa"/>
            <w:vAlign w:val="top"/>
          </w:tcPr>
          <w:p>
            <w:pPr>
              <w:pStyle w:val="TableText"/>
              <w:ind w:right="21"/>
              <w:spacing w:before="118" w:line="238" w:lineRule="auto"/>
              <w:jc w:val="right"/>
              <w:rPr/>
            </w:pPr>
            <w:r>
              <w:rPr>
                <w:color w:val="212529"/>
                <w:spacing w:val="-4"/>
              </w:rPr>
              <w:t>10.41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29"/>
              <w:spacing w:before="119" w:line="238" w:lineRule="auto"/>
              <w:jc w:val="right"/>
              <w:rPr/>
            </w:pPr>
            <w:r>
              <w:rPr>
                <w:color w:val="212529"/>
                <w:spacing w:val="-2"/>
              </w:rPr>
              <w:t>5.00</w:t>
            </w:r>
          </w:p>
        </w:tc>
        <w:tc>
          <w:tcPr>
            <w:tcW w:w="1108" w:type="dxa"/>
            <w:vAlign w:val="top"/>
          </w:tcPr>
          <w:p>
            <w:pPr>
              <w:pStyle w:val="TableText"/>
              <w:ind w:right="23"/>
              <w:spacing w:before="119" w:line="238" w:lineRule="auto"/>
              <w:jc w:val="right"/>
              <w:rPr/>
            </w:pPr>
            <w:r>
              <w:rPr>
                <w:color w:val="212529"/>
                <w:spacing w:val="-2"/>
              </w:rPr>
              <w:t>5.00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250.68</w:t>
            </w:r>
          </w:p>
        </w:tc>
        <w:tc>
          <w:tcPr>
            <w:tcW w:w="1108" w:type="dxa"/>
            <w:vAlign w:val="top"/>
          </w:tcPr>
          <w:p>
            <w:pPr>
              <w:pStyle w:val="TableText"/>
              <w:ind w:right="22"/>
              <w:spacing w:before="120" w:line="238" w:lineRule="auto"/>
              <w:jc w:val="right"/>
              <w:rPr/>
            </w:pPr>
            <w:r>
              <w:rPr>
                <w:color w:val="212529"/>
                <w:spacing w:val="-3"/>
              </w:rPr>
              <w:t>125.00</w:t>
            </w:r>
          </w:p>
        </w:tc>
        <w:tc>
          <w:tcPr>
            <w:tcW w:w="1123" w:type="dxa"/>
            <w:vAlign w:val="top"/>
          </w:tcPr>
          <w:p>
            <w:pPr>
              <w:pStyle w:val="TableText"/>
              <w:ind w:right="30"/>
              <w:spacing w:before="120" w:line="238" w:lineRule="auto"/>
              <w:jc w:val="right"/>
              <w:rPr/>
            </w:pPr>
            <w:r>
              <w:rPr>
                <w:color w:val="212529"/>
                <w:spacing w:val="-3"/>
              </w:rPr>
              <w:t>125.67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752" w:type="dxa"/>
            <w:vAlign w:val="top"/>
          </w:tcPr>
          <w:p>
            <w:pPr>
              <w:pStyle w:val="TableText"/>
              <w:ind w:left="5"/>
              <w:spacing w:before="120" w:line="218" w:lineRule="auto"/>
              <w:rPr/>
            </w:pPr>
            <w:r>
              <w:rPr>
                <w:color w:val="212529"/>
                <w:spacing w:val="-1"/>
              </w:rPr>
              <w:t>基层医疗卫生机构</w:t>
            </w:r>
          </w:p>
        </w:tc>
        <w:tc>
          <w:tcPr>
            <w:tcW w:w="1108" w:type="dxa"/>
            <w:vAlign w:val="top"/>
          </w:tcPr>
          <w:p>
            <w:pPr>
              <w:pStyle w:val="TableText"/>
              <w:ind w:right="30"/>
              <w:spacing w:before="121" w:line="238" w:lineRule="auto"/>
              <w:jc w:val="right"/>
              <w:rPr/>
            </w:pPr>
            <w:r>
              <w:rPr>
                <w:color w:val="212529"/>
                <w:spacing w:val="-2"/>
              </w:rPr>
              <w:t>206.98</w:t>
            </w:r>
          </w:p>
        </w:tc>
        <w:tc>
          <w:tcPr>
            <w:tcW w:w="1108" w:type="dxa"/>
            <w:vAlign w:val="top"/>
          </w:tcPr>
          <w:p>
            <w:pPr>
              <w:pStyle w:val="TableText"/>
              <w:ind w:right="22"/>
              <w:spacing w:before="121" w:line="238" w:lineRule="auto"/>
              <w:jc w:val="right"/>
              <w:rPr/>
            </w:pPr>
            <w:r>
              <w:rPr>
                <w:color w:val="212529"/>
                <w:spacing w:val="-3"/>
              </w:rPr>
              <w:t>120.72</w:t>
            </w:r>
          </w:p>
        </w:tc>
        <w:tc>
          <w:tcPr>
            <w:tcW w:w="1123" w:type="dxa"/>
            <w:vAlign w:val="top"/>
          </w:tcPr>
          <w:p>
            <w:pPr>
              <w:pStyle w:val="TableText"/>
              <w:ind w:right="32"/>
              <w:spacing w:before="121" w:line="238" w:lineRule="auto"/>
              <w:jc w:val="right"/>
              <w:rPr/>
            </w:pPr>
            <w:r>
              <w:rPr>
                <w:color w:val="212529"/>
                <w:spacing w:val="-2"/>
              </w:rPr>
              <w:t>86.25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752" w:type="dxa"/>
            <w:vAlign w:val="top"/>
          </w:tcPr>
          <w:p>
            <w:pPr>
              <w:pStyle w:val="TableText"/>
              <w:ind w:left="13"/>
              <w:spacing w:before="121" w:line="219" w:lineRule="auto"/>
              <w:rPr/>
            </w:pPr>
            <w:r>
              <w:rPr>
                <w:color w:val="212529"/>
                <w:spacing w:val="-3"/>
              </w:rPr>
              <w:t>乡镇卫生院</w:t>
            </w:r>
          </w:p>
        </w:tc>
        <w:tc>
          <w:tcPr>
            <w:tcW w:w="1108" w:type="dxa"/>
            <w:vAlign w:val="top"/>
          </w:tcPr>
          <w:p>
            <w:pPr>
              <w:pStyle w:val="TableText"/>
              <w:ind w:right="29"/>
              <w:spacing w:before="122" w:line="238" w:lineRule="auto"/>
              <w:jc w:val="right"/>
              <w:rPr/>
            </w:pPr>
            <w:r>
              <w:rPr>
                <w:color w:val="212529"/>
                <w:spacing w:val="-3"/>
              </w:rPr>
              <w:t>186.27</w:t>
            </w:r>
          </w:p>
        </w:tc>
        <w:tc>
          <w:tcPr>
            <w:tcW w:w="1108" w:type="dxa"/>
            <w:vAlign w:val="top"/>
          </w:tcPr>
          <w:p>
            <w:pPr>
              <w:pStyle w:val="TableText"/>
              <w:ind w:right="22"/>
              <w:spacing w:before="122" w:line="238" w:lineRule="auto"/>
              <w:jc w:val="right"/>
              <w:rPr/>
            </w:pPr>
            <w:r>
              <w:rPr>
                <w:color w:val="212529"/>
                <w:spacing w:val="-3"/>
              </w:rPr>
              <w:t>120.72</w:t>
            </w:r>
          </w:p>
        </w:tc>
        <w:tc>
          <w:tcPr>
            <w:tcW w:w="1123" w:type="dxa"/>
            <w:vAlign w:val="top"/>
          </w:tcPr>
          <w:p>
            <w:pPr>
              <w:pStyle w:val="TableText"/>
              <w:ind w:right="32"/>
              <w:spacing w:before="122" w:line="238" w:lineRule="auto"/>
              <w:jc w:val="right"/>
              <w:rPr/>
            </w:pPr>
            <w:r>
              <w:rPr>
                <w:color w:val="212529"/>
                <w:spacing w:val="-2"/>
              </w:rPr>
              <w:t>65.55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3" w:line="238" w:lineRule="auto"/>
              <w:jc w:val="right"/>
              <w:rPr/>
            </w:pPr>
            <w:r>
              <w:rPr>
                <w:color w:val="212529"/>
                <w:spacing w:val="-2"/>
              </w:rPr>
              <w:t>20.71</w:t>
            </w:r>
          </w:p>
        </w:tc>
        <w:tc>
          <w:tcPr>
            <w:tcW w:w="1108" w:type="dxa"/>
            <w:vAlign w:val="top"/>
          </w:tcPr>
          <w:p>
            <w:pPr>
              <w:rPr>
                <w:rFonts w:ascii="Arial"/>
                <w:sz w:val="21"/>
              </w:rPr>
            </w:pPr>
            <w:r/>
          </w:p>
        </w:tc>
        <w:tc>
          <w:tcPr>
            <w:tcW w:w="1123" w:type="dxa"/>
            <w:vAlign w:val="top"/>
          </w:tcPr>
          <w:p>
            <w:pPr>
              <w:pStyle w:val="TableText"/>
              <w:ind w:right="32"/>
              <w:spacing w:before="123" w:line="238" w:lineRule="auto"/>
              <w:jc w:val="right"/>
              <w:rPr/>
            </w:pPr>
            <w:r>
              <w:rPr>
                <w:color w:val="212529"/>
                <w:spacing w:val="-2"/>
              </w:rPr>
              <w:t>20.71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30"/>
              <w:spacing w:before="124" w:line="238" w:lineRule="auto"/>
              <w:jc w:val="right"/>
              <w:rPr/>
            </w:pPr>
            <w:r>
              <w:rPr>
                <w:color w:val="212529"/>
                <w:spacing w:val="-2"/>
              </w:rPr>
              <w:t>39.42</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39.42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0.02</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0.02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39.40</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39.40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4.28</w:t>
            </w:r>
          </w:p>
        </w:tc>
        <w:tc>
          <w:tcPr>
            <w:tcW w:w="1108" w:type="dxa"/>
            <w:vAlign w:val="top"/>
          </w:tcPr>
          <w:p>
            <w:pPr>
              <w:pStyle w:val="TableText"/>
              <w:ind w:right="24"/>
              <w:spacing w:before="124" w:line="238" w:lineRule="auto"/>
              <w:jc w:val="right"/>
              <w:rPr/>
            </w:pPr>
            <w:r>
              <w:rPr>
                <w:color w:val="212529"/>
                <w:spacing w:val="-2"/>
              </w:rPr>
              <w:t>4.28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4.28</w:t>
            </w:r>
          </w:p>
        </w:tc>
        <w:tc>
          <w:tcPr>
            <w:tcW w:w="1108" w:type="dxa"/>
            <w:vAlign w:val="top"/>
          </w:tcPr>
          <w:p>
            <w:pPr>
              <w:pStyle w:val="TableText"/>
              <w:ind w:right="24"/>
              <w:spacing w:before="124" w:line="238" w:lineRule="auto"/>
              <w:jc w:val="right"/>
              <w:rPr/>
            </w:pPr>
            <w:r>
              <w:rPr>
                <w:color w:val="212529"/>
                <w:spacing w:val="-2"/>
              </w:rPr>
              <w:t>4.28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10.79</w:t>
            </w:r>
          </w:p>
        </w:tc>
        <w:tc>
          <w:tcPr>
            <w:tcW w:w="1108" w:type="dxa"/>
            <w:vAlign w:val="top"/>
          </w:tcPr>
          <w:p>
            <w:pPr>
              <w:pStyle w:val="TableText"/>
              <w:ind w:right="21"/>
              <w:spacing w:before="124" w:line="238" w:lineRule="auto"/>
              <w:jc w:val="right"/>
              <w:rPr/>
            </w:pPr>
            <w:r>
              <w:rPr>
                <w:color w:val="212529"/>
                <w:spacing w:val="-4"/>
              </w:rPr>
              <w:t>10.79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10.79</w:t>
            </w:r>
          </w:p>
        </w:tc>
        <w:tc>
          <w:tcPr>
            <w:tcW w:w="1108" w:type="dxa"/>
            <w:vAlign w:val="top"/>
          </w:tcPr>
          <w:p>
            <w:pPr>
              <w:pStyle w:val="TableText"/>
              <w:ind w:right="21"/>
              <w:spacing w:before="124" w:line="238" w:lineRule="auto"/>
              <w:jc w:val="right"/>
              <w:rPr/>
            </w:pPr>
            <w:r>
              <w:rPr>
                <w:color w:val="212529"/>
                <w:spacing w:val="-4"/>
              </w:rPr>
              <w:t>10.79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10.79</w:t>
            </w:r>
          </w:p>
        </w:tc>
        <w:tc>
          <w:tcPr>
            <w:tcW w:w="1108" w:type="dxa"/>
            <w:vAlign w:val="top"/>
          </w:tcPr>
          <w:p>
            <w:pPr>
              <w:pStyle w:val="TableText"/>
              <w:ind w:right="21"/>
              <w:spacing w:before="124" w:line="238" w:lineRule="auto"/>
              <w:jc w:val="right"/>
              <w:rPr/>
            </w:pPr>
            <w:r>
              <w:rPr>
                <w:color w:val="212529"/>
                <w:spacing w:val="-4"/>
              </w:rPr>
              <w:t>10.79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10"/>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部门名称：兴县罗峪口镇中心卫生院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248.24</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15.91</w:t>
            </w:r>
          </w:p>
        </w:tc>
        <w:tc>
          <w:tcPr>
            <w:tcW w:w="1003" w:type="dxa"/>
            <w:vAlign w:val="top"/>
          </w:tcPr>
          <w:p>
            <w:pPr>
              <w:pStyle w:val="TableText"/>
              <w:ind w:right="18"/>
              <w:spacing w:before="181" w:line="238" w:lineRule="auto"/>
              <w:jc w:val="right"/>
              <w:rPr/>
            </w:pPr>
            <w:r>
              <w:rPr>
                <w:color w:val="212529"/>
                <w:spacing w:val="-4"/>
              </w:rPr>
              <w:t>15.91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20"/>
              <w:spacing w:before="182" w:line="238" w:lineRule="auto"/>
              <w:jc w:val="right"/>
              <w:rPr/>
            </w:pPr>
            <w:r>
              <w:rPr>
                <w:color w:val="212529"/>
                <w:spacing w:val="-2"/>
              </w:rPr>
              <w:t>221.54</w:t>
            </w:r>
          </w:p>
        </w:tc>
        <w:tc>
          <w:tcPr>
            <w:tcW w:w="1003" w:type="dxa"/>
            <w:vAlign w:val="top"/>
          </w:tcPr>
          <w:p>
            <w:pPr>
              <w:pStyle w:val="TableText"/>
              <w:ind w:right="21"/>
              <w:spacing w:before="182" w:line="238" w:lineRule="auto"/>
              <w:jc w:val="right"/>
              <w:rPr/>
            </w:pPr>
            <w:r>
              <w:rPr>
                <w:color w:val="212529"/>
                <w:spacing w:val="-2"/>
              </w:rPr>
              <w:t>221.54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10.79</w:t>
            </w:r>
          </w:p>
        </w:tc>
        <w:tc>
          <w:tcPr>
            <w:tcW w:w="1003" w:type="dxa"/>
            <w:vAlign w:val="top"/>
          </w:tcPr>
          <w:p>
            <w:pPr>
              <w:pStyle w:val="TableText"/>
              <w:ind w:right="18"/>
              <w:spacing w:before="184" w:line="238" w:lineRule="auto"/>
              <w:jc w:val="right"/>
              <w:rPr/>
            </w:pPr>
            <w:r>
              <w:rPr>
                <w:color w:val="212529"/>
                <w:spacing w:val="-4"/>
              </w:rPr>
              <w:t>10.79</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5"/>
          <w:footerReference w:type="default" r:id="rId11"/>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3" w:lineRule="auto"/>
              <w:rPr>
                <w:rFonts w:ascii="Arial" w:hAnsi="Arial" w:eastAsia="Arial" w:cs="Arial"/>
                <w:sz w:val="15"/>
                <w:szCs w:val="15"/>
              </w:rPr>
            </w:pPr>
            <w:r>
              <w:rPr>
                <w:rFonts w:ascii="Arial" w:hAnsi="Arial" w:eastAsia="Arial" w:cs="Arial"/>
                <w:sz w:val="15"/>
                <w:szCs w:val="15"/>
                <w:color w:val="212529"/>
                <w:spacing w:val="2"/>
              </w:rPr>
              <w:t>248.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24</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1"/>
              <w:spacing w:before="181" w:line="183" w:lineRule="auto"/>
              <w:rPr>
                <w:rFonts w:ascii="Arial" w:hAnsi="Arial" w:eastAsia="Arial" w:cs="Arial"/>
                <w:sz w:val="15"/>
                <w:szCs w:val="15"/>
              </w:rPr>
            </w:pPr>
            <w:r>
              <w:rPr>
                <w:rFonts w:ascii="Arial" w:hAnsi="Arial" w:eastAsia="Arial" w:cs="Arial"/>
                <w:sz w:val="15"/>
                <w:szCs w:val="15"/>
                <w:color w:val="212529"/>
                <w:spacing w:val="2"/>
              </w:rPr>
              <w:t>248.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24</w:t>
            </w:r>
          </w:p>
        </w:tc>
        <w:tc>
          <w:tcPr>
            <w:tcW w:w="1003" w:type="dxa"/>
            <w:vAlign w:val="top"/>
          </w:tcPr>
          <w:p>
            <w:pPr>
              <w:ind w:left="434"/>
              <w:spacing w:before="181" w:line="183" w:lineRule="auto"/>
              <w:rPr>
                <w:rFonts w:ascii="Arial" w:hAnsi="Arial" w:eastAsia="Arial" w:cs="Arial"/>
                <w:sz w:val="15"/>
                <w:szCs w:val="15"/>
              </w:rPr>
            </w:pPr>
            <w:r>
              <w:rPr>
                <w:rFonts w:ascii="Arial" w:hAnsi="Arial" w:eastAsia="Arial" w:cs="Arial"/>
                <w:sz w:val="15"/>
                <w:szCs w:val="15"/>
                <w:color w:val="212529"/>
                <w:spacing w:val="3"/>
              </w:rPr>
              <w:t>248.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24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3" w:lineRule="auto"/>
              <w:rPr>
                <w:rFonts w:ascii="Arial" w:hAnsi="Arial" w:eastAsia="Arial" w:cs="Arial"/>
                <w:sz w:val="15"/>
                <w:szCs w:val="15"/>
              </w:rPr>
            </w:pPr>
            <w:r>
              <w:rPr>
                <w:rFonts w:ascii="Arial" w:hAnsi="Arial" w:eastAsia="Arial" w:cs="Arial"/>
                <w:sz w:val="15"/>
                <w:szCs w:val="15"/>
                <w:color w:val="212529"/>
                <w:spacing w:val="2"/>
              </w:rPr>
              <w:t>248.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24</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248.24</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248.24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12"/>
          <w:footerReference w:type="default" r:id="rId13"/>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部门名称：兴县罗峪口镇中心卫生院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5"/>
                <w:position w:val="1"/>
              </w:rPr>
              <w:t>248.24</w:t>
            </w:r>
          </w:p>
        </w:tc>
        <w:tc>
          <w:tcPr>
            <w:tcW w:w="1423" w:type="dxa"/>
            <w:vAlign w:val="top"/>
          </w:tcPr>
          <w:p>
            <w:pPr>
              <w:pStyle w:val="TableText"/>
              <w:ind w:right="21"/>
              <w:spacing w:before="79" w:line="281" w:lineRule="exact"/>
              <w:jc w:val="right"/>
              <w:rPr>
                <w:sz w:val="21"/>
                <w:szCs w:val="21"/>
              </w:rPr>
            </w:pPr>
            <w:r>
              <w:rPr>
                <w:sz w:val="21"/>
                <w:szCs w:val="21"/>
                <w:color w:val="212529"/>
                <w:spacing w:val="2"/>
                <w:position w:val="1"/>
              </w:rPr>
              <w:t>122.57</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125.67</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2"/>
                <w:position w:val="1"/>
              </w:rPr>
              <w:t>15.91</w:t>
            </w:r>
          </w:p>
        </w:tc>
        <w:tc>
          <w:tcPr>
            <w:tcW w:w="1423" w:type="dxa"/>
            <w:vAlign w:val="top"/>
          </w:tcPr>
          <w:p>
            <w:pPr>
              <w:pStyle w:val="TableText"/>
              <w:ind w:right="21"/>
              <w:spacing w:before="80" w:line="281" w:lineRule="exact"/>
              <w:jc w:val="right"/>
              <w:rPr>
                <w:sz w:val="21"/>
                <w:szCs w:val="21"/>
              </w:rPr>
            </w:pPr>
            <w:r>
              <w:rPr>
                <w:sz w:val="21"/>
                <w:szCs w:val="21"/>
                <w:color w:val="212529"/>
                <w:spacing w:val="2"/>
                <w:position w:val="1"/>
              </w:rPr>
              <w:t>15.91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2"/>
                <w:position w:val="1"/>
              </w:rPr>
              <w:t>15.91</w:t>
            </w:r>
          </w:p>
        </w:tc>
        <w:tc>
          <w:tcPr>
            <w:tcW w:w="1423" w:type="dxa"/>
            <w:vAlign w:val="top"/>
          </w:tcPr>
          <w:p>
            <w:pPr>
              <w:pStyle w:val="TableText"/>
              <w:ind w:right="21"/>
              <w:spacing w:before="156" w:line="281" w:lineRule="exact"/>
              <w:jc w:val="right"/>
              <w:rPr>
                <w:sz w:val="21"/>
                <w:szCs w:val="21"/>
              </w:rPr>
            </w:pPr>
            <w:r>
              <w:rPr>
                <w:sz w:val="21"/>
                <w:szCs w:val="21"/>
                <w:color w:val="212529"/>
                <w:spacing w:val="2"/>
                <w:position w:val="1"/>
              </w:rPr>
              <w:t>15.91</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291" w:type="dxa"/>
            <w:vAlign w:val="top"/>
          </w:tcPr>
          <w:p>
            <w:pPr>
              <w:pStyle w:val="TableText"/>
              <w:ind w:left="6"/>
              <w:spacing w:before="83" w:line="227" w:lineRule="auto"/>
              <w:rPr>
                <w:sz w:val="21"/>
                <w:szCs w:val="21"/>
              </w:rPr>
            </w:pPr>
            <w:r>
              <w:rPr>
                <w:sz w:val="21"/>
                <w:szCs w:val="21"/>
                <w:color w:val="212529"/>
                <w:spacing w:val="12"/>
              </w:rPr>
              <w:t>事业单位离退休</w:t>
            </w:r>
          </w:p>
        </w:tc>
        <w:tc>
          <w:tcPr>
            <w:tcW w:w="1557" w:type="dxa"/>
            <w:vAlign w:val="top"/>
          </w:tcPr>
          <w:p>
            <w:pPr>
              <w:pStyle w:val="TableText"/>
              <w:ind w:right="36"/>
              <w:spacing w:before="82" w:line="281" w:lineRule="exact"/>
              <w:jc w:val="right"/>
              <w:rPr>
                <w:sz w:val="21"/>
                <w:szCs w:val="21"/>
              </w:rPr>
            </w:pPr>
            <w:r>
              <w:rPr>
                <w:sz w:val="21"/>
                <w:szCs w:val="21"/>
                <w:color w:val="212529"/>
                <w:spacing w:val="4"/>
                <w:position w:val="1"/>
              </w:rPr>
              <w:t>0.50</w:t>
            </w:r>
          </w:p>
        </w:tc>
        <w:tc>
          <w:tcPr>
            <w:tcW w:w="1423" w:type="dxa"/>
            <w:vAlign w:val="top"/>
          </w:tcPr>
          <w:p>
            <w:pPr>
              <w:pStyle w:val="TableText"/>
              <w:ind w:right="21"/>
              <w:spacing w:before="82" w:line="281" w:lineRule="exact"/>
              <w:jc w:val="right"/>
              <w:rPr>
                <w:sz w:val="21"/>
                <w:szCs w:val="21"/>
              </w:rPr>
            </w:pPr>
            <w:r>
              <w:rPr>
                <w:sz w:val="21"/>
                <w:szCs w:val="21"/>
                <w:color w:val="212529"/>
                <w:spacing w:val="4"/>
                <w:position w:val="1"/>
              </w:rPr>
              <w:t>0.50</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8" w:line="281" w:lineRule="exact"/>
              <w:jc w:val="right"/>
              <w:rPr>
                <w:sz w:val="21"/>
                <w:szCs w:val="21"/>
              </w:rPr>
            </w:pPr>
            <w:r>
              <w:rPr>
                <w:sz w:val="21"/>
                <w:szCs w:val="21"/>
                <w:color w:val="212529"/>
                <w:spacing w:val="2"/>
                <w:position w:val="1"/>
              </w:rPr>
              <w:t>10.41</w:t>
            </w:r>
          </w:p>
        </w:tc>
        <w:tc>
          <w:tcPr>
            <w:tcW w:w="1423" w:type="dxa"/>
            <w:vAlign w:val="top"/>
          </w:tcPr>
          <w:p>
            <w:pPr>
              <w:pStyle w:val="TableText"/>
              <w:ind w:right="21"/>
              <w:spacing w:before="158" w:line="281" w:lineRule="exact"/>
              <w:jc w:val="right"/>
              <w:rPr>
                <w:sz w:val="21"/>
                <w:szCs w:val="21"/>
              </w:rPr>
            </w:pPr>
            <w:r>
              <w:rPr>
                <w:sz w:val="21"/>
                <w:szCs w:val="21"/>
                <w:color w:val="212529"/>
                <w:spacing w:val="2"/>
                <w:position w:val="1"/>
              </w:rPr>
              <w:t>10.41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5" w:line="208"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59" w:line="281" w:lineRule="exact"/>
              <w:jc w:val="right"/>
              <w:rPr>
                <w:sz w:val="21"/>
                <w:szCs w:val="21"/>
              </w:rPr>
            </w:pPr>
            <w:r>
              <w:rPr>
                <w:sz w:val="21"/>
                <w:szCs w:val="21"/>
                <w:color w:val="212529"/>
                <w:spacing w:val="3"/>
                <w:position w:val="1"/>
              </w:rPr>
              <w:t>5.00</w:t>
            </w:r>
          </w:p>
        </w:tc>
        <w:tc>
          <w:tcPr>
            <w:tcW w:w="1423" w:type="dxa"/>
            <w:vAlign w:val="top"/>
          </w:tcPr>
          <w:p>
            <w:pPr>
              <w:pStyle w:val="TableText"/>
              <w:ind w:right="21"/>
              <w:spacing w:before="159" w:line="281" w:lineRule="exact"/>
              <w:jc w:val="right"/>
              <w:rPr>
                <w:sz w:val="21"/>
                <w:szCs w:val="21"/>
              </w:rPr>
            </w:pPr>
            <w:r>
              <w:rPr>
                <w:sz w:val="21"/>
                <w:szCs w:val="21"/>
                <w:color w:val="212529"/>
                <w:spacing w:val="3"/>
                <w:position w:val="1"/>
              </w:rPr>
              <w:t>5.00</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291" w:type="dxa"/>
            <w:vAlign w:val="top"/>
          </w:tcPr>
          <w:p>
            <w:pPr>
              <w:pStyle w:val="TableText"/>
              <w:ind w:left="6"/>
              <w:spacing w:before="86"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5" w:line="279" w:lineRule="exact"/>
              <w:jc w:val="right"/>
              <w:rPr>
                <w:sz w:val="21"/>
                <w:szCs w:val="21"/>
              </w:rPr>
            </w:pPr>
            <w:r>
              <w:rPr>
                <w:sz w:val="21"/>
                <w:szCs w:val="21"/>
                <w:color w:val="212529"/>
                <w:spacing w:val="5"/>
                <w:position w:val="1"/>
              </w:rPr>
              <w:t>221.54</w:t>
            </w:r>
          </w:p>
        </w:tc>
        <w:tc>
          <w:tcPr>
            <w:tcW w:w="1423" w:type="dxa"/>
            <w:vAlign w:val="top"/>
          </w:tcPr>
          <w:p>
            <w:pPr>
              <w:pStyle w:val="TableText"/>
              <w:ind w:right="21"/>
              <w:spacing w:before="85" w:line="279" w:lineRule="exact"/>
              <w:jc w:val="right"/>
              <w:rPr>
                <w:sz w:val="21"/>
                <w:szCs w:val="21"/>
              </w:rPr>
            </w:pPr>
            <w:r>
              <w:rPr>
                <w:sz w:val="21"/>
                <w:szCs w:val="21"/>
                <w:color w:val="212529"/>
                <w:spacing w:val="5"/>
                <w:position w:val="1"/>
              </w:rPr>
              <w:t>95.87</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125.67</w:t>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291" w:type="dxa"/>
            <w:vAlign w:val="top"/>
          </w:tcPr>
          <w:p>
            <w:pPr>
              <w:pStyle w:val="TableText"/>
              <w:ind w:left="3"/>
              <w:spacing w:before="86"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6" w:line="278" w:lineRule="exact"/>
              <w:jc w:val="right"/>
              <w:rPr>
                <w:sz w:val="21"/>
                <w:szCs w:val="21"/>
              </w:rPr>
            </w:pPr>
            <w:r>
              <w:rPr>
                <w:sz w:val="21"/>
                <w:szCs w:val="21"/>
                <w:color w:val="212529"/>
                <w:spacing w:val="2"/>
                <w:position w:val="1"/>
              </w:rPr>
              <w:t>177.84</w:t>
            </w:r>
          </w:p>
        </w:tc>
        <w:tc>
          <w:tcPr>
            <w:tcW w:w="1423" w:type="dxa"/>
            <w:vAlign w:val="top"/>
          </w:tcPr>
          <w:p>
            <w:pPr>
              <w:pStyle w:val="TableText"/>
              <w:ind w:right="21"/>
              <w:spacing w:before="86" w:line="278" w:lineRule="exact"/>
              <w:jc w:val="right"/>
              <w:rPr>
                <w:sz w:val="21"/>
                <w:szCs w:val="21"/>
              </w:rPr>
            </w:pPr>
            <w:r>
              <w:rPr>
                <w:sz w:val="21"/>
                <w:szCs w:val="21"/>
                <w:color w:val="212529"/>
                <w:spacing w:val="5"/>
                <w:position w:val="1"/>
              </w:rPr>
              <w:t>91.59</w:t>
            </w:r>
          </w:p>
        </w:tc>
        <w:tc>
          <w:tcPr>
            <w:tcW w:w="1505" w:type="dxa"/>
            <w:vAlign w:val="top"/>
          </w:tcPr>
          <w:p>
            <w:pPr>
              <w:pStyle w:val="TableText"/>
              <w:ind w:right="32"/>
              <w:spacing w:before="86" w:line="278" w:lineRule="exact"/>
              <w:jc w:val="right"/>
              <w:rPr>
                <w:sz w:val="21"/>
                <w:szCs w:val="21"/>
              </w:rPr>
            </w:pPr>
            <w:r>
              <w:rPr>
                <w:sz w:val="21"/>
                <w:szCs w:val="21"/>
                <w:color w:val="212529"/>
                <w:spacing w:val="5"/>
                <w:position w:val="1"/>
              </w:rPr>
              <w:t>86.25</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291" w:type="dxa"/>
            <w:vAlign w:val="top"/>
          </w:tcPr>
          <w:p>
            <w:pPr>
              <w:pStyle w:val="TableText"/>
              <w:ind w:left="13"/>
              <w:spacing w:before="88" w:line="227" w:lineRule="auto"/>
              <w:rPr>
                <w:sz w:val="21"/>
                <w:szCs w:val="21"/>
              </w:rPr>
            </w:pPr>
            <w:r>
              <w:rPr>
                <w:sz w:val="21"/>
                <w:szCs w:val="21"/>
                <w:color w:val="212529"/>
                <w:spacing w:val="10"/>
              </w:rPr>
              <w:t>乡镇卫生院</w:t>
            </w:r>
          </w:p>
        </w:tc>
        <w:tc>
          <w:tcPr>
            <w:tcW w:w="1557" w:type="dxa"/>
            <w:vAlign w:val="top"/>
          </w:tcPr>
          <w:p>
            <w:pPr>
              <w:pStyle w:val="TableText"/>
              <w:ind w:right="36"/>
              <w:spacing w:before="87" w:line="277" w:lineRule="exact"/>
              <w:jc w:val="right"/>
              <w:rPr>
                <w:sz w:val="21"/>
                <w:szCs w:val="21"/>
              </w:rPr>
            </w:pPr>
            <w:r>
              <w:rPr>
                <w:sz w:val="21"/>
                <w:szCs w:val="21"/>
                <w:color w:val="212529"/>
                <w:spacing w:val="2"/>
                <w:position w:val="1"/>
              </w:rPr>
              <w:t>157.14</w:t>
            </w:r>
          </w:p>
        </w:tc>
        <w:tc>
          <w:tcPr>
            <w:tcW w:w="1423" w:type="dxa"/>
            <w:vAlign w:val="top"/>
          </w:tcPr>
          <w:p>
            <w:pPr>
              <w:pStyle w:val="TableText"/>
              <w:ind w:right="21"/>
              <w:spacing w:before="87" w:line="277" w:lineRule="exact"/>
              <w:jc w:val="right"/>
              <w:rPr>
                <w:sz w:val="21"/>
                <w:szCs w:val="21"/>
              </w:rPr>
            </w:pPr>
            <w:r>
              <w:rPr>
                <w:sz w:val="21"/>
                <w:szCs w:val="21"/>
                <w:color w:val="212529"/>
                <w:spacing w:val="5"/>
                <w:position w:val="1"/>
              </w:rPr>
              <w:t>91.59</w:t>
            </w:r>
          </w:p>
        </w:tc>
        <w:tc>
          <w:tcPr>
            <w:tcW w:w="1505" w:type="dxa"/>
            <w:vAlign w:val="top"/>
          </w:tcPr>
          <w:p>
            <w:pPr>
              <w:pStyle w:val="TableText"/>
              <w:ind w:right="32"/>
              <w:spacing w:before="87" w:line="277" w:lineRule="exact"/>
              <w:jc w:val="right"/>
              <w:rPr>
                <w:sz w:val="21"/>
                <w:szCs w:val="21"/>
              </w:rPr>
            </w:pPr>
            <w:r>
              <w:rPr>
                <w:sz w:val="21"/>
                <w:szCs w:val="21"/>
                <w:color w:val="212529"/>
                <w:spacing w:val="4"/>
                <w:position w:val="1"/>
              </w:rPr>
              <w:t>65.55</w:t>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20.71</w:t>
            </w:r>
          </w:p>
        </w:tc>
        <w:tc>
          <w:tcPr>
            <w:tcW w:w="1423" w:type="dxa"/>
            <w:vAlign w:val="top"/>
          </w:tcPr>
          <w:p>
            <w:pPr>
              <w:rPr>
                <w:rFonts w:ascii="Arial"/>
                <w:sz w:val="21"/>
              </w:rPr>
            </w:pPr>
            <w:r/>
          </w:p>
        </w:tc>
        <w:tc>
          <w:tcPr>
            <w:tcW w:w="1505" w:type="dxa"/>
            <w:vAlign w:val="top"/>
          </w:tcPr>
          <w:p>
            <w:pPr>
              <w:pStyle w:val="TableText"/>
              <w:ind w:right="32"/>
              <w:spacing w:before="163" w:line="281" w:lineRule="exact"/>
              <w:jc w:val="right"/>
              <w:rPr>
                <w:sz w:val="21"/>
                <w:szCs w:val="21"/>
              </w:rPr>
            </w:pPr>
            <w:r>
              <w:rPr>
                <w:sz w:val="21"/>
                <w:szCs w:val="21"/>
                <w:color w:val="212529"/>
                <w:spacing w:val="4"/>
                <w:position w:val="1"/>
              </w:rPr>
              <w:t>20.71</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21004</w:t>
            </w:r>
          </w:p>
        </w:tc>
        <w:tc>
          <w:tcPr>
            <w:tcW w:w="2291" w:type="dxa"/>
            <w:vAlign w:val="top"/>
          </w:tcPr>
          <w:p>
            <w:pPr>
              <w:pStyle w:val="TableText"/>
              <w:ind w:left="11"/>
              <w:spacing w:before="90" w:line="227" w:lineRule="auto"/>
              <w:rPr>
                <w:sz w:val="21"/>
                <w:szCs w:val="21"/>
              </w:rPr>
            </w:pPr>
            <w:r>
              <w:rPr>
                <w:sz w:val="21"/>
                <w:szCs w:val="21"/>
                <w:color w:val="212529"/>
                <w:spacing w:val="9"/>
              </w:rPr>
              <w:t>公共卫生</w:t>
            </w:r>
          </w:p>
        </w:tc>
        <w:tc>
          <w:tcPr>
            <w:tcW w:w="1557" w:type="dxa"/>
            <w:vAlign w:val="top"/>
          </w:tcPr>
          <w:p>
            <w:pPr>
              <w:pStyle w:val="TableText"/>
              <w:ind w:right="36"/>
              <w:spacing w:before="89" w:line="242" w:lineRule="auto"/>
              <w:jc w:val="right"/>
              <w:rPr>
                <w:sz w:val="21"/>
                <w:szCs w:val="21"/>
              </w:rPr>
            </w:pPr>
            <w:r>
              <w:rPr>
                <w:sz w:val="21"/>
                <w:szCs w:val="21"/>
                <w:color w:val="212529"/>
                <w:spacing w:val="4"/>
              </w:rPr>
              <w:t>39.42</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39.42</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2100401</w:t>
            </w:r>
          </w:p>
        </w:tc>
        <w:tc>
          <w:tcPr>
            <w:tcW w:w="2291" w:type="dxa"/>
            <w:vAlign w:val="top"/>
          </w:tcPr>
          <w:p>
            <w:pPr>
              <w:pStyle w:val="TableText"/>
              <w:ind w:left="3"/>
              <w:spacing w:before="89"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9" w:line="242" w:lineRule="auto"/>
              <w:jc w:val="right"/>
              <w:rPr>
                <w:sz w:val="21"/>
                <w:szCs w:val="21"/>
              </w:rPr>
            </w:pPr>
            <w:r>
              <w:rPr>
                <w:sz w:val="21"/>
                <w:szCs w:val="21"/>
                <w:color w:val="212529"/>
                <w:spacing w:val="4"/>
              </w:rPr>
              <w:t>0.02</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0.02</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4"/>
              </w:rPr>
              <w:t>39.40</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39.40</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4.28</w:t>
            </w:r>
          </w:p>
        </w:tc>
        <w:tc>
          <w:tcPr>
            <w:tcW w:w="1423" w:type="dxa"/>
            <w:vAlign w:val="top"/>
          </w:tcPr>
          <w:p>
            <w:pPr>
              <w:pStyle w:val="TableText"/>
              <w:ind w:right="21"/>
              <w:spacing w:before="89" w:line="242" w:lineRule="auto"/>
              <w:jc w:val="right"/>
              <w:rPr>
                <w:sz w:val="21"/>
                <w:szCs w:val="21"/>
              </w:rPr>
            </w:pPr>
            <w:r>
              <w:rPr>
                <w:sz w:val="21"/>
                <w:szCs w:val="21"/>
                <w:color w:val="212529"/>
                <w:spacing w:val="4"/>
              </w:rPr>
              <w:t>4.28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4.28</w:t>
            </w:r>
          </w:p>
        </w:tc>
        <w:tc>
          <w:tcPr>
            <w:tcW w:w="1423" w:type="dxa"/>
            <w:vAlign w:val="top"/>
          </w:tcPr>
          <w:p>
            <w:pPr>
              <w:pStyle w:val="TableText"/>
              <w:ind w:right="21"/>
              <w:spacing w:before="89" w:line="242" w:lineRule="auto"/>
              <w:jc w:val="right"/>
              <w:rPr>
                <w:sz w:val="21"/>
                <w:szCs w:val="21"/>
              </w:rPr>
            </w:pPr>
            <w:r>
              <w:rPr>
                <w:sz w:val="21"/>
                <w:szCs w:val="21"/>
                <w:color w:val="212529"/>
                <w:spacing w:val="4"/>
              </w:rPr>
              <w:t>4.28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10.79</w:t>
            </w:r>
          </w:p>
        </w:tc>
        <w:tc>
          <w:tcPr>
            <w:tcW w:w="1423" w:type="dxa"/>
            <w:vAlign w:val="top"/>
          </w:tcPr>
          <w:p>
            <w:pPr>
              <w:pStyle w:val="TableText"/>
              <w:ind w:right="21"/>
              <w:spacing w:before="89" w:line="242" w:lineRule="auto"/>
              <w:jc w:val="right"/>
              <w:rPr>
                <w:sz w:val="21"/>
                <w:szCs w:val="21"/>
              </w:rPr>
            </w:pPr>
            <w:r>
              <w:rPr>
                <w:sz w:val="21"/>
                <w:szCs w:val="21"/>
                <w:color w:val="212529"/>
                <w:spacing w:val="2"/>
              </w:rPr>
              <w:t>10.79</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10.79</w:t>
            </w:r>
          </w:p>
        </w:tc>
        <w:tc>
          <w:tcPr>
            <w:tcW w:w="1423" w:type="dxa"/>
            <w:vAlign w:val="top"/>
          </w:tcPr>
          <w:p>
            <w:pPr>
              <w:pStyle w:val="TableText"/>
              <w:ind w:right="21"/>
              <w:spacing w:before="89" w:line="242" w:lineRule="auto"/>
              <w:jc w:val="right"/>
              <w:rPr>
                <w:sz w:val="21"/>
                <w:szCs w:val="21"/>
              </w:rPr>
            </w:pPr>
            <w:r>
              <w:rPr>
                <w:sz w:val="21"/>
                <w:szCs w:val="21"/>
                <w:color w:val="212529"/>
                <w:spacing w:val="2"/>
              </w:rPr>
              <w:t>10.79</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2"/>
              </w:rPr>
              <w:t>10.79</w:t>
            </w:r>
          </w:p>
        </w:tc>
        <w:tc>
          <w:tcPr>
            <w:tcW w:w="1423" w:type="dxa"/>
            <w:vAlign w:val="top"/>
          </w:tcPr>
          <w:p>
            <w:pPr>
              <w:pStyle w:val="TableText"/>
              <w:ind w:right="21"/>
              <w:spacing w:before="89" w:line="242" w:lineRule="auto"/>
              <w:jc w:val="right"/>
              <w:rPr>
                <w:sz w:val="21"/>
                <w:szCs w:val="21"/>
              </w:rPr>
            </w:pPr>
            <w:r>
              <w:rPr>
                <w:sz w:val="21"/>
                <w:szCs w:val="21"/>
                <w:color w:val="212529"/>
                <w:spacing w:val="2"/>
              </w:rPr>
              <w:t>10.79</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14"/>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部门名称：兴县罗峪口镇中心卫生院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113.85</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8.22</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right="34"/>
              <w:spacing w:before="174" w:line="238" w:lineRule="auto"/>
              <w:jc w:val="right"/>
              <w:rPr/>
            </w:pPr>
            <w:r>
              <w:rPr>
                <w:color w:val="212529"/>
                <w:spacing w:val="-2"/>
              </w:rPr>
              <w:t>37.02</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right="32"/>
              <w:spacing w:before="174" w:line="238" w:lineRule="auto"/>
              <w:jc w:val="right"/>
              <w:rPr/>
            </w:pPr>
            <w:r>
              <w:rPr>
                <w:color w:val="212529"/>
                <w:spacing w:val="-2"/>
              </w:rPr>
              <w:t>5.25</w:t>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19.19</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26.13</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2"/>
              <w:spacing w:before="179" w:line="238" w:lineRule="auto"/>
              <w:jc w:val="right"/>
              <w:rPr/>
            </w:pPr>
            <w:r>
              <w:rPr>
                <w:color w:val="212529"/>
                <w:spacing w:val="-4"/>
              </w:rPr>
              <w:t>10.41</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right="33"/>
              <w:spacing w:before="180" w:line="238" w:lineRule="auto"/>
              <w:jc w:val="right"/>
              <w:rPr/>
            </w:pPr>
            <w:r>
              <w:rPr>
                <w:color w:val="212529"/>
                <w:spacing w:val="-2"/>
              </w:rPr>
              <w:t>5.00</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3"/>
              <w:spacing w:before="181" w:line="238" w:lineRule="auto"/>
              <w:rPr/>
            </w:pPr>
            <w:r>
              <w:rPr>
                <w:color w:val="212529"/>
                <w:spacing w:val="-2"/>
              </w:rPr>
              <w:t>4.23</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2"/>
              </w:rPr>
              <w:t>2.25</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0.24</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10.79</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4"/>
              <w:spacing w:before="154" w:line="238" w:lineRule="auto"/>
              <w:jc w:val="right"/>
              <w:rPr/>
            </w:pPr>
            <w:r>
              <w:rPr>
                <w:color w:val="212529"/>
                <w:spacing w:val="-2"/>
              </w:rPr>
              <w:t>0.83</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4"/>
              <w:spacing w:before="155" w:line="238" w:lineRule="auto"/>
              <w:jc w:val="right"/>
              <w:rPr/>
            </w:pPr>
            <w:r>
              <w:rPr>
                <w:color w:val="212529"/>
                <w:spacing w:val="-2"/>
              </w:rPr>
              <w:t>0.50</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4"/>
              <w:spacing w:before="157" w:line="238" w:lineRule="auto"/>
              <w:jc w:val="right"/>
              <w:rPr/>
            </w:pPr>
            <w:r>
              <w:rPr>
                <w:color w:val="212529"/>
                <w:spacing w:val="-2"/>
              </w:rPr>
              <w:t>0.50</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pStyle w:val="TableText"/>
              <w:ind w:right="32"/>
              <w:spacing w:before="224" w:line="238" w:lineRule="auto"/>
              <w:jc w:val="right"/>
              <w:rPr/>
            </w:pPr>
            <w:r>
              <w:rPr>
                <w:color w:val="212529"/>
                <w:spacing w:val="-2"/>
              </w:rPr>
              <w:t>0.72</w:t>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114.35</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8.22</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部门名称：兴县罗峪口镇中心卫生院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2"/>
          <w:footerReference w:type="default" r:id="rId19"/>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部门名称：兴县罗峪口镇中心卫生院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0"/>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3" w:right="114"/>
              <w:spacing w:before="66" w:line="218" w:lineRule="auto"/>
              <w:rPr/>
            </w:pPr>
            <w:r>
              <w:rPr>
                <w:color w:val="212529"/>
                <w:spacing w:val="-1"/>
              </w:rPr>
              <w:t>部门名称：兴县罗峪口镇中心</w:t>
            </w:r>
            <w:r>
              <w:rPr>
                <w:color w:val="212529"/>
                <w:spacing w:val="2"/>
              </w:rPr>
              <w:t xml:space="preserve"> </w:t>
            </w:r>
            <w:r>
              <w:rPr>
                <w:color w:val="212529"/>
                <w:spacing w:val="-2"/>
              </w:rPr>
              <w:t>卫生院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56"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1"/>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单位名称：兴县罗峪口镇中心卫生院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2"/>
          <w:footerReference w:type="default" r:id="rId23"/>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4" w:line="322" w:lineRule="auto"/>
        <w:jc w:val="both"/>
        <w:rPr>
          <w:rFonts w:ascii="FangSong" w:hAnsi="FangSong" w:eastAsia="FangSong" w:cs="FangSong"/>
          <w:sz w:val="23"/>
          <w:szCs w:val="23"/>
        </w:rPr>
      </w:pPr>
      <w:r>
        <w:rPr>
          <w:rFonts w:ascii="FangSong" w:hAnsi="FangSong" w:eastAsia="FangSong" w:cs="FangSong"/>
          <w:sz w:val="23"/>
          <w:szCs w:val="23"/>
          <w:spacing w:val="2"/>
        </w:rPr>
        <w:t>2024年度收入总计293.61万元，支出总计293.61万元。与上年相比，收入总计增加37.59</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万元，增长14.68%，支出总计增加37.59万元，增长14.68%。主要原因是维修卫生院外墙</w:t>
      </w:r>
      <w:r>
        <w:rPr>
          <w:rFonts w:ascii="FangSong" w:hAnsi="FangSong" w:eastAsia="FangSong" w:cs="FangSong"/>
          <w:sz w:val="23"/>
          <w:szCs w:val="23"/>
          <w:spacing w:val="1"/>
        </w:rPr>
        <w:t>项目</w:t>
      </w:r>
      <w:r>
        <w:rPr>
          <w:rFonts w:ascii="FangSong" w:hAnsi="FangSong" w:eastAsia="FangSong" w:cs="FangSong"/>
          <w:sz w:val="23"/>
          <w:szCs w:val="23"/>
        </w:rPr>
        <w:t xml:space="preserve"> </w:t>
      </w:r>
      <w:r>
        <w:rPr>
          <w:rFonts w:ascii="FangSong" w:hAnsi="FangSong" w:eastAsia="FangSong" w:cs="FangSong"/>
          <w:sz w:val="23"/>
          <w:szCs w:val="23"/>
          <w:spacing w:val="-3"/>
        </w:rPr>
        <w:t>经费增加。</w:t>
      </w:r>
    </w:p>
    <w:p>
      <w:pPr>
        <w:ind w:left="1722"/>
        <w:spacing w:before="3"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2024年度收入合计267.64万元，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财政拨款收入248.24万元，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占比92.75%；</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事业收入13.50万元，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占比5.05%；</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其他收入5.89万元，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占比2.20%。</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2024年度支出合计277.38万元，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基本支出151.70万元，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占比54.69%；</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项目支出125.67万元，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占比45.31%。</w:t>
      </w:r>
    </w:p>
    <w:p>
      <w:pPr>
        <w:ind w:left="1732"/>
        <w:spacing w:before="127"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2024年度财政拨款收入总计248.24万元，支出总计248</w:t>
      </w:r>
      <w:r>
        <w:rPr>
          <w:rFonts w:ascii="FangSong" w:hAnsi="FangSong" w:eastAsia="FangSong" w:cs="FangSong"/>
          <w:sz w:val="23"/>
          <w:szCs w:val="23"/>
          <w:spacing w:val="4"/>
        </w:rPr>
        <w:t>.24万元。与上年相比，财政拨款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收入总计增加38.86万元，增长18.56%；财政拨款支出总计增加38.86万元，增长18.56%。主</w:t>
      </w:r>
      <w:r>
        <w:rPr>
          <w:rFonts w:ascii="FangSong" w:hAnsi="FangSong" w:eastAsia="FangSong" w:cs="FangSong"/>
          <w:sz w:val="23"/>
          <w:szCs w:val="23"/>
          <w:spacing w:val="2"/>
        </w:rPr>
        <w:t xml:space="preserve"> </w:t>
      </w:r>
      <w:r>
        <w:rPr>
          <w:rFonts w:ascii="FangSong" w:hAnsi="FangSong" w:eastAsia="FangSong" w:cs="FangSong"/>
          <w:sz w:val="23"/>
          <w:szCs w:val="23"/>
          <w:spacing w:val="-1"/>
        </w:rPr>
        <w:t>要原因是维修卫生院外墙项目经费增加。</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4" w:right="1223" w:firstLine="455"/>
        <w:spacing w:before="135" w:line="322"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2024年一般公共预算财政拨款决算支出248.24万元，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占本年支出合计的89.49%。与上年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相比，一般公共预算财政拨款支出增加38.86万元，增长18.56%。主要原因是维修卫生院外墙</w:t>
      </w:r>
      <w:r>
        <w:rPr>
          <w:rFonts w:ascii="FangSong" w:hAnsi="FangSong" w:eastAsia="FangSong" w:cs="FangSong"/>
          <w:sz w:val="23"/>
          <w:szCs w:val="23"/>
          <w:spacing w:val="3"/>
        </w:rPr>
        <w:t xml:space="preserve"> </w:t>
      </w:r>
      <w:r>
        <w:rPr>
          <w:rFonts w:ascii="FangSong" w:hAnsi="FangSong" w:eastAsia="FangSong" w:cs="FangSong"/>
          <w:sz w:val="23"/>
          <w:szCs w:val="23"/>
          <w:spacing w:val="-2"/>
        </w:rPr>
        <w:t>项目经费增加。</w:t>
      </w:r>
    </w:p>
    <w:p>
      <w:pPr>
        <w:ind w:left="1734"/>
        <w:spacing w:before="8"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2024年度一般公共预算财政拨款支出248.24万元，主要用于以下方面：</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社会保障和就业支出(类)15.91万元，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41%；</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卫生健康支出(类)221.54万元，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占比89.24%；</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住房保障支出(类)10.79万元，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占比4.35%。</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2024年度一般公共预算财政拨款支出年初预算193.88万元</w:t>
      </w:r>
      <w:r>
        <w:rPr>
          <w:rFonts w:ascii="FangSong" w:hAnsi="FangSong" w:eastAsia="FangSong" w:cs="FangSong"/>
          <w:sz w:val="23"/>
          <w:szCs w:val="23"/>
          <w:spacing w:val="4"/>
        </w:rPr>
        <w:t>，支出决算248.24万元，完成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年初预算的128.04%。其中：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年初预算16.07</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出决算15.91万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1"/>
        </w:rPr>
        <w:t>99.00%</w:t>
      </w:r>
      <w:r>
        <w:rPr>
          <w:rFonts w:ascii="FangSong" w:hAnsi="FangSong" w:eastAsia="FangSong" w:cs="FangSong"/>
          <w:sz w:val="23"/>
          <w:szCs w:val="23"/>
          <w:spacing w:val="-64"/>
        </w:rPr>
        <w:t xml:space="preserve"> </w:t>
      </w:r>
      <w:r>
        <w:rPr>
          <w:rFonts w:ascii="FangSong" w:hAnsi="FangSong" w:eastAsia="FangSong" w:cs="FangSong"/>
          <w:sz w:val="23"/>
          <w:szCs w:val="23"/>
          <w:spacing w:val="11"/>
        </w:rPr>
        <w:t>，用于缴纳在职人员</w:t>
      </w:r>
      <w:r>
        <w:rPr>
          <w:rFonts w:ascii="FangSong" w:hAnsi="FangSong" w:eastAsia="FangSong" w:cs="FangSong"/>
          <w:sz w:val="23"/>
          <w:szCs w:val="23"/>
          <w:spacing w:val="-64"/>
        </w:rPr>
        <w:t xml:space="preserve"> </w:t>
      </w:r>
      <w:r>
        <w:rPr>
          <w:rFonts w:ascii="FangSong" w:hAnsi="FangSong" w:eastAsia="FangSong" w:cs="FangSong"/>
          <w:sz w:val="23"/>
          <w:szCs w:val="23"/>
          <w:spacing w:val="11"/>
        </w:rPr>
        <w:t>，退休人员养老金等社保</w:t>
      </w:r>
      <w:r>
        <w:rPr>
          <w:rFonts w:ascii="FangSong" w:hAnsi="FangSong" w:eastAsia="FangSong" w:cs="FangSong"/>
          <w:sz w:val="23"/>
          <w:szCs w:val="23"/>
          <w:spacing w:val="-63"/>
        </w:rPr>
        <w:t xml:space="preserve"> </w:t>
      </w:r>
      <w:r>
        <w:rPr>
          <w:rFonts w:ascii="FangSong" w:hAnsi="FangSong" w:eastAsia="FangSong" w:cs="FangSong"/>
          <w:sz w:val="23"/>
          <w:szCs w:val="23"/>
          <w:spacing w:val="11"/>
        </w:rPr>
        <w:t>。较上年决算减少2.67万元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，下降</w:t>
      </w:r>
      <w:r>
        <w:rPr>
          <w:rFonts w:ascii="FangSong" w:hAnsi="FangSong" w:eastAsia="FangSong" w:cs="FangSong"/>
          <w:sz w:val="23"/>
          <w:szCs w:val="23"/>
        </w:rPr>
        <w:t xml:space="preserve"> </w:t>
      </w:r>
      <w:r>
        <w:rPr>
          <w:rFonts w:ascii="FangSong" w:hAnsi="FangSong" w:eastAsia="FangSong" w:cs="FangSong"/>
          <w:sz w:val="23"/>
          <w:szCs w:val="23"/>
        </w:rPr>
        <w:t>14.37%，主要原因是上年度补缴退休人员职业年金纪实款。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59" w:right="1223" w:firstLine="469"/>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卫生健康支出年初预算167.01万元，支出决算221.54万元，完成年初预算的132.</w:t>
      </w:r>
      <w:r>
        <w:rPr>
          <w:rFonts w:ascii="FangSong" w:hAnsi="FangSong" w:eastAsia="FangSong" w:cs="FangSong"/>
          <w:sz w:val="23"/>
          <w:szCs w:val="23"/>
          <w:spacing w:val="1"/>
        </w:rPr>
        <w:t>65%，用</w:t>
      </w:r>
      <w:r>
        <w:rPr>
          <w:rFonts w:ascii="FangSong" w:hAnsi="FangSong" w:eastAsia="FangSong" w:cs="FangSong"/>
          <w:sz w:val="23"/>
          <w:szCs w:val="23"/>
        </w:rPr>
        <w:t xml:space="preserve"> </w:t>
      </w:r>
      <w:r>
        <w:rPr>
          <w:rFonts w:ascii="FangSong" w:hAnsi="FangSong" w:eastAsia="FangSong" w:cs="FangSong"/>
          <w:sz w:val="23"/>
          <w:szCs w:val="23"/>
          <w:spacing w:val="8"/>
        </w:rPr>
        <w:t>于公共卫生支出、基本药物补助支出、维修卫生院外墙。较上年决算增加40.9</w:t>
      </w:r>
      <w:r>
        <w:rPr>
          <w:rFonts w:ascii="FangSong" w:hAnsi="FangSong" w:eastAsia="FangSong" w:cs="FangSong"/>
          <w:sz w:val="23"/>
          <w:szCs w:val="23"/>
          <w:spacing w:val="7"/>
        </w:rPr>
        <w:t>3万元，增长</w:t>
      </w:r>
      <w:r>
        <w:rPr>
          <w:rFonts w:ascii="FangSong" w:hAnsi="FangSong" w:eastAsia="FangSong" w:cs="FangSong"/>
          <w:sz w:val="23"/>
          <w:szCs w:val="23"/>
        </w:rPr>
        <w:t xml:space="preserve"> </w:t>
      </w:r>
      <w:r>
        <w:rPr>
          <w:rFonts w:ascii="FangSong" w:hAnsi="FangSong" w:eastAsia="FangSong" w:cs="FangSong"/>
          <w:sz w:val="23"/>
          <w:szCs w:val="23"/>
        </w:rPr>
        <w:t>22.66%，主要原因是维修卫生院外墙项目经费增加。</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住房保障支出年初预算10.79万元，支出决算10.79万元，完成年初预算的100.00%，用于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2"/>
        </w:rPr>
        <w:t>缴纳在职人员住房公积金。较上年决算增加0.61万元，增长5.99%，主要原因是本年度住房公</w:t>
      </w:r>
      <w:r>
        <w:rPr>
          <w:rFonts w:ascii="FangSong" w:hAnsi="FangSong" w:eastAsia="FangSong" w:cs="FangSong"/>
          <w:sz w:val="23"/>
          <w:szCs w:val="23"/>
          <w:spacing w:val="5"/>
        </w:rPr>
        <w:t xml:space="preserve"> </w:t>
      </w:r>
      <w:r>
        <w:rPr>
          <w:rFonts w:ascii="FangSong" w:hAnsi="FangSong" w:eastAsia="FangSong" w:cs="FangSong"/>
          <w:sz w:val="23"/>
          <w:szCs w:val="23"/>
          <w:spacing w:val="-2"/>
        </w:rPr>
        <w:t>积金基数增加。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2024年度财政拨款基本支出122.57万元，其中：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人员经费114.35万元，主要包括基本工资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37.02万元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19.19万元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26.13万元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10.41万元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4.23万元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0.24万元</w:t>
      </w:r>
      <w:r>
        <w:rPr>
          <w:rFonts w:ascii="FangSong" w:hAnsi="FangSong" w:eastAsia="FangSong" w:cs="FangSong"/>
          <w:sz w:val="23"/>
          <w:szCs w:val="23"/>
          <w:spacing w:val="4"/>
        </w:rPr>
        <w:t xml:space="preserve"> </w:t>
      </w:r>
      <w:r>
        <w:rPr>
          <w:rFonts w:ascii="FangSong" w:hAnsi="FangSong" w:eastAsia="FangSong" w:cs="FangSong"/>
          <w:sz w:val="23"/>
          <w:szCs w:val="23"/>
          <w:spacing w:val="-3"/>
        </w:rPr>
        <w:t>住房公积金</w:t>
      </w:r>
      <w:r>
        <w:rPr>
          <w:rFonts w:ascii="FangSong" w:hAnsi="FangSong" w:eastAsia="FangSong" w:cs="FangSong"/>
          <w:sz w:val="23"/>
          <w:szCs w:val="23"/>
          <w:spacing w:val="25"/>
        </w:rPr>
        <w:t xml:space="preserve"> </w:t>
      </w:r>
      <w:r>
        <w:rPr>
          <w:rFonts w:ascii="FangSong" w:hAnsi="FangSong" w:eastAsia="FangSong" w:cs="FangSong"/>
          <w:sz w:val="23"/>
          <w:szCs w:val="23"/>
          <w:spacing w:val="-3"/>
        </w:rPr>
        <w:t>11.30万元</w:t>
      </w:r>
    </w:p>
    <w:p>
      <w:pPr>
        <w:ind w:left="1496"/>
        <w:spacing w:line="222" w:lineRule="auto"/>
        <w:rPr>
          <w:rFonts w:ascii="FangSong" w:hAnsi="FangSong" w:eastAsia="FangSong" w:cs="FangSong"/>
          <w:sz w:val="23"/>
          <w:szCs w:val="23"/>
        </w:rPr>
      </w:pPr>
      <w:r>
        <w:rPr>
          <w:rFonts w:ascii="FangSong" w:hAnsi="FangSong" w:eastAsia="FangSong" w:cs="FangSong"/>
          <w:sz w:val="23"/>
          <w:szCs w:val="23"/>
          <w:spacing w:val="-1"/>
        </w:rPr>
        <w:t>其他工资福利支出</w:t>
      </w:r>
      <w:r>
        <w:rPr>
          <w:rFonts w:ascii="FangSong" w:hAnsi="FangSong" w:eastAsia="FangSong" w:cs="FangSong"/>
          <w:sz w:val="23"/>
          <w:szCs w:val="23"/>
          <w:spacing w:val="-1"/>
        </w:rPr>
        <w:t xml:space="preserve"> </w:t>
      </w:r>
      <w:r>
        <w:rPr>
          <w:rFonts w:ascii="FangSong" w:hAnsi="FangSong" w:eastAsia="FangSong" w:cs="FangSong"/>
          <w:sz w:val="23"/>
          <w:szCs w:val="23"/>
          <w:spacing w:val="-1"/>
        </w:rPr>
        <w:t>0.83万元</w:t>
      </w:r>
    </w:p>
    <w:p>
      <w:pPr>
        <w:ind w:left="1496"/>
        <w:spacing w:before="124" w:line="222" w:lineRule="auto"/>
        <w:rPr>
          <w:rFonts w:ascii="FangSong" w:hAnsi="FangSong" w:eastAsia="FangSong" w:cs="FangSong"/>
          <w:sz w:val="23"/>
          <w:szCs w:val="23"/>
        </w:rPr>
      </w:pPr>
      <w:r>
        <w:rPr>
          <w:rFonts w:ascii="FangSong" w:hAnsi="FangSong" w:eastAsia="FangSong" w:cs="FangSong"/>
          <w:sz w:val="23"/>
          <w:szCs w:val="23"/>
          <w:spacing w:val="-1"/>
        </w:rPr>
        <w:t>其他对个人和家庭的补助</w:t>
      </w:r>
      <w:r>
        <w:rPr>
          <w:rFonts w:ascii="FangSong" w:hAnsi="FangSong" w:eastAsia="FangSong" w:cs="FangSong"/>
          <w:sz w:val="23"/>
          <w:szCs w:val="23"/>
          <w:spacing w:val="-1"/>
        </w:rPr>
        <w:t xml:space="preserve"> </w:t>
      </w:r>
      <w:r>
        <w:rPr>
          <w:rFonts w:ascii="FangSong" w:hAnsi="FangSong" w:eastAsia="FangSong" w:cs="FangSong"/>
          <w:sz w:val="23"/>
          <w:szCs w:val="23"/>
          <w:spacing w:val="-1"/>
        </w:rPr>
        <w:t>5.00万元；</w:t>
      </w:r>
    </w:p>
    <w:p>
      <w:pPr>
        <w:ind w:left="1500" w:right="5463" w:firstLine="229"/>
        <w:spacing w:before="134" w:line="321" w:lineRule="auto"/>
        <w:rPr>
          <w:rFonts w:ascii="FangSong" w:hAnsi="FangSong" w:eastAsia="FangSong" w:cs="FangSong"/>
          <w:sz w:val="23"/>
          <w:szCs w:val="23"/>
        </w:rPr>
      </w:pPr>
      <w:r>
        <w:rPr>
          <w:rFonts w:ascii="FangSong" w:hAnsi="FangSong" w:eastAsia="FangSong" w:cs="FangSong"/>
          <w:sz w:val="23"/>
          <w:szCs w:val="23"/>
          <w:spacing w:val="-1"/>
        </w:rPr>
        <w:t>公用经费8.22万元，主要包括取暖费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2.25万元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0.72万元</w:t>
      </w:r>
    </w:p>
    <w:p>
      <w:pPr>
        <w:ind w:left="1501"/>
        <w:spacing w:line="224" w:lineRule="auto"/>
        <w:rPr>
          <w:rFonts w:ascii="FangSong" w:hAnsi="FangSong" w:eastAsia="FangSong" w:cs="FangSong"/>
          <w:sz w:val="23"/>
          <w:szCs w:val="23"/>
        </w:rPr>
      </w:pPr>
      <w:r>
        <w:rPr>
          <w:rFonts w:ascii="FangSong" w:hAnsi="FangSong" w:eastAsia="FangSong" w:cs="FangSong"/>
          <w:sz w:val="23"/>
          <w:szCs w:val="23"/>
          <w:spacing w:val="-4"/>
        </w:rPr>
        <w:t>办公费</w:t>
      </w:r>
      <w:r>
        <w:rPr>
          <w:rFonts w:ascii="FangSong" w:hAnsi="FangSong" w:eastAsia="FangSong" w:cs="FangSong"/>
          <w:sz w:val="23"/>
          <w:szCs w:val="23"/>
          <w:spacing w:val="2"/>
        </w:rPr>
        <w:t xml:space="preserve">            </w:t>
      </w:r>
      <w:r>
        <w:rPr>
          <w:rFonts w:ascii="FangSong" w:hAnsi="FangSong" w:eastAsia="FangSong" w:cs="FangSong"/>
          <w:sz w:val="23"/>
          <w:szCs w:val="23"/>
          <w:spacing w:val="-4"/>
        </w:rPr>
        <w:t>5.25万元。</w:t>
      </w:r>
    </w:p>
    <w:p>
      <w:pPr>
        <w:ind w:left="1716"/>
        <w:spacing w:before="128"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9"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0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30"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6"/>
          <w:footerReference w:type="default" r:id="rId27"/>
          <w:pgSz w:w="11900" w:h="16840"/>
          <w:pgMar w:top="642" w:right="0" w:bottom="340" w:left="0" w:header="326" w:footer="111" w:gutter="0"/>
        </w:sectPr>
        <w:rPr>
          <w:rFonts w:ascii="SimHei" w:hAnsi="SimHei" w:eastAsia="SimHei" w:cs="SimHei"/>
          <w:sz w:val="23"/>
          <w:szCs w:val="23"/>
        </w:rPr>
      </w:pPr>
    </w:p>
    <w:p>
      <w:pPr>
        <w:spacing w:line="282" w:lineRule="auto"/>
        <w:rPr>
          <w:rFonts w:ascii="Arial"/>
          <w:sz w:val="21"/>
        </w:rPr>
      </w:pPr>
      <w:r/>
    </w:p>
    <w:p>
      <w:pPr>
        <w:spacing w:line="283" w:lineRule="auto"/>
        <w:rPr>
          <w:rFonts w:ascii="Arial"/>
          <w:sz w:val="21"/>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3"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资金67.99万元：7个项目自评等级为“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8"/>
          <w:footerReference w:type="default" r:id="rId28"/>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02" style="position:absolute;margin-left:638.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12.92pt;margin-top:45.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7290" w:lineRule="exact"/>
        <w:rPr/>
      </w:pPr>
      <w:r>
        <w:pict>
          <v:shape id="_x0000_s206" style="position:absolute;margin-left:-45.0434pt;margin-top:347.362pt;mso-position-vertical-relative:text;mso-position-horizontal-relative:text;width:609.35pt;height:22.25pt;z-index:251665408;rotation:330;" fillcolor="#404040" filled="true" stroked="false" type="#_x0000_t136">
            <v:fill opacity="0.400000"/>
            <v:textpath style="font-family:&quot;SimSun&quot;;font-size:20;v-text-kern:t;mso-text-shadow:auto" string="仅供内部审核                                     仅供内部审核"/>
          </v:shape>
        </w:pict>
      </w:r>
      <w:r>
        <w:pict>
          <v:shape id="_x0000_s208" style="position:absolute;margin-left:86.92pt;margin-top:228.073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145"/>
        </w:rPr>
        <w:drawing>
          <wp:inline distT="0" distB="0" distL="0" distR="0">
            <wp:extent cx="6791325" cy="4629150"/>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6791325" cy="4629150"/>
                    </a:xfrm>
                    <a:prstGeom prst="rect">
                      <a:avLst/>
                    </a:prstGeom>
                  </pic:spPr>
                </pic:pic>
              </a:graphicData>
            </a:graphic>
          </wp:inline>
        </w:drawing>
      </w:r>
    </w:p>
    <w:p>
      <w:pPr>
        <w:spacing w:line="7290" w:lineRule="exact"/>
        <w:sectPr>
          <w:headerReference w:type="default" r:id="rId30"/>
          <w:footerReference w:type="default" r:id="rId31"/>
          <w:pgSz w:w="16840" w:h="11900"/>
          <w:pgMar w:top="642" w:right="0" w:bottom="340" w:left="0" w:header="326" w:footer="111" w:gutter="0"/>
        </w:sectPr>
        <w:rPr/>
      </w:pPr>
    </w:p>
    <w:p>
      <w:pPr>
        <w:spacing w:line="267" w:lineRule="auto"/>
        <w:rPr>
          <w:rFonts w:ascii="Arial"/>
          <w:sz w:val="21"/>
        </w:rPr>
      </w:pPr>
      <w:r>
        <w:pict>
          <v:shape id="_x0000_s214" style="position:absolute;margin-left:638.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16"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925" w:lineRule="exact"/>
        <w:rPr/>
      </w:pPr>
      <w:r>
        <w:pict>
          <v:shape id="_x0000_s218" style="position:absolute;margin-left:86.92pt;margin-top:228.073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20" style="position:absolute;margin-left:280.957pt;margin-top:347.362pt;mso-position-vertical-relative:text;mso-position-horizontal-relative:text;width:609.35pt;height:22.25pt;z-index:251671552;rotation:330;" fillcolor="#404040" filled="true" stroked="false" type="#_x0000_t136">
            <v:fill opacity="0.400000"/>
            <v:textpath style="font-family:&quot;SimSun&quot;;font-size:20;v-text-kern:t;mso-text-shadow:auto" string="仅供内部审核                                     仅供内部审核"/>
          </v:shape>
        </w:pict>
      </w:r>
      <w:r>
        <w:pict>
          <v:shape id="_x0000_s222" style="position:absolute;margin-left:638.92pt;margin-top:470.073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24" style="position:absolute;margin-left:-45.0434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6791325" cy="5667375"/>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791325" cy="5667375"/>
                    </a:xfrm>
                    <a:prstGeom prst="rect">
                      <a:avLst/>
                    </a:prstGeom>
                  </pic:spPr>
                </pic:pic>
              </a:graphicData>
            </a:graphic>
          </wp:inline>
        </w:drawing>
      </w:r>
    </w:p>
    <w:p>
      <w:pPr>
        <w:spacing w:line="8925" w:lineRule="exact"/>
        <w:sectPr>
          <w:headerReference w:type="default" r:id="rId33"/>
          <w:footerReference w:type="default" r:id="rId34"/>
          <w:pgSz w:w="16840" w:h="11900"/>
          <w:pgMar w:top="642" w:right="0" w:bottom="340" w:left="0" w:header="326" w:footer="111" w:gutter="0"/>
        </w:sectPr>
        <w:rPr/>
      </w:pPr>
    </w:p>
    <w:p>
      <w:pPr>
        <w:spacing w:line="267" w:lineRule="auto"/>
        <w:rPr>
          <w:rFonts w:ascii="Arial"/>
          <w:sz w:val="21"/>
        </w:rPr>
      </w:pPr>
      <w:r>
        <w:pict>
          <v:shape id="_x0000_s226"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638.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865" w:lineRule="exact"/>
        <w:rPr/>
      </w:pPr>
      <w:r>
        <w:pict>
          <v:shape id="_x0000_s230" style="position:absolute;margin-left:-45.0434pt;margin-top:347.362pt;mso-position-vertical-relative:text;mso-position-horizontal-relative:text;width:609.35pt;height:22.25pt;z-index:251674624;rotation:330;" fillcolor="#404040" filled="true" stroked="false" type="#_x0000_t136">
            <v:fill opacity="0.400000"/>
            <v:textpath style="font-family:&quot;SimSun&quot;;font-size:20;v-text-kern:t;mso-text-shadow:auto" string="仅供内部审核                                     仅供内部审核"/>
          </v:shape>
        </w:pict>
      </w:r>
      <w:r>
        <w:pict>
          <v:shape id="_x0000_s232" style="position:absolute;margin-left:86.92pt;margin-top:228.073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34" style="position:absolute;margin-left:638.92pt;margin-top:470.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36" style="position:absolute;margin-left:280.957pt;margin-top:347.362pt;mso-position-vertical-relative:text;mso-position-horizontal-relative:text;width:609.35pt;height:22.25pt;z-index:251679744;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791325" cy="5629275"/>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791325" cy="5629275"/>
                    </a:xfrm>
                    <a:prstGeom prst="rect">
                      <a:avLst/>
                    </a:prstGeom>
                  </pic:spPr>
                </pic:pic>
              </a:graphicData>
            </a:graphic>
          </wp:inline>
        </w:drawing>
      </w:r>
    </w:p>
    <w:p>
      <w:pPr>
        <w:spacing w:line="8865" w:lineRule="exact"/>
        <w:sectPr>
          <w:footerReference w:type="default" r:id="rId36"/>
          <w:pgSz w:w="16840" w:h="11900"/>
          <w:pgMar w:top="642" w:right="0" w:bottom="340" w:left="0" w:header="326" w:footer="110" w:gutter="0"/>
        </w:sectPr>
        <w:rPr/>
      </w:pPr>
    </w:p>
    <w:p>
      <w:pPr>
        <w:spacing w:line="267" w:lineRule="auto"/>
        <w:rPr>
          <w:rFonts w:ascii="Arial"/>
          <w:sz w:val="21"/>
        </w:rPr>
      </w:pPr>
      <w:r>
        <w:pict>
          <v:shape id="_x0000_s238" style="position:absolute;margin-left:638.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12.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715" w:lineRule="exact"/>
        <w:rPr/>
      </w:pPr>
      <w:r>
        <w:pict>
          <v:shape id="_x0000_s242" style="position:absolute;margin-left:86.92pt;margin-top:228.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44" style="position:absolute;margin-left:-45.0434pt;margin-top:347.362pt;mso-position-vertical-relative:text;mso-position-horizontal-relative:text;width:609.35pt;height:22.25pt;z-index:251683840;rotation:330;" fillcolor="#404040" filled="true" stroked="false" type="#_x0000_t136">
            <v:fill opacity="0.400000"/>
            <v:textpath style="font-family:&quot;SimSun&quot;;font-size:20;v-text-kern:t;mso-text-shadow:auto" string="仅供内部审核                                     仅供内部审核"/>
          </v:shape>
        </w:pict>
      </w:r>
      <w:r>
        <w:rPr>
          <w:position w:val="-174"/>
        </w:rPr>
        <w:drawing>
          <wp:inline distT="0" distB="0" distL="0" distR="0">
            <wp:extent cx="6791325" cy="5534025"/>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791325" cy="5534025"/>
                    </a:xfrm>
                    <a:prstGeom prst="rect">
                      <a:avLst/>
                    </a:prstGeom>
                  </pic:spPr>
                </pic:pic>
              </a:graphicData>
            </a:graphic>
          </wp:inline>
        </w:drawing>
      </w:r>
    </w:p>
    <w:p>
      <w:pPr>
        <w:spacing w:line="8715" w:lineRule="exact"/>
        <w:sectPr>
          <w:headerReference w:type="default" r:id="rId30"/>
          <w:footerReference w:type="default" r:id="rId38"/>
          <w:pgSz w:w="16840" w:h="11900"/>
          <w:pgMar w:top="642" w:right="0" w:bottom="340" w:left="0" w:header="326" w:footer="110" w:gutter="0"/>
        </w:sectPr>
        <w:rPr/>
      </w:pPr>
    </w:p>
    <w:p>
      <w:pPr>
        <w:spacing w:line="267" w:lineRule="auto"/>
        <w:rPr>
          <w:rFonts w:ascii="Arial"/>
          <w:sz w:val="21"/>
        </w:rPr>
      </w:pPr>
      <w:r>
        <w:pict>
          <v:shape id="_x0000_s246" style="position:absolute;margin-left:638.92pt;margin-top:45.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312.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625" w:lineRule="exact"/>
        <w:rPr/>
      </w:pPr>
      <w:r>
        <w:pict>
          <v:shape id="_x0000_s250" style="position:absolute;margin-left:86.92pt;margin-top:228.073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52"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rPr>
          <w:position w:val="-172"/>
        </w:rPr>
        <w:drawing>
          <wp:inline distT="0" distB="0" distL="0" distR="0">
            <wp:extent cx="6791325" cy="547687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791325" cy="5476875"/>
                    </a:xfrm>
                    <a:prstGeom prst="rect">
                      <a:avLst/>
                    </a:prstGeom>
                  </pic:spPr>
                </pic:pic>
              </a:graphicData>
            </a:graphic>
          </wp:inline>
        </w:drawing>
      </w:r>
    </w:p>
    <w:p>
      <w:pPr>
        <w:spacing w:line="8625" w:lineRule="exact"/>
        <w:sectPr>
          <w:footerReference w:type="default" r:id="rId40"/>
          <w:pgSz w:w="16840" w:h="11900"/>
          <w:pgMar w:top="642" w:right="0" w:bottom="340" w:left="0" w:header="326" w:footer="111" w:gutter="0"/>
        </w:sectPr>
        <w:rPr/>
      </w:pPr>
    </w:p>
    <w:p>
      <w:pPr>
        <w:spacing w:line="267" w:lineRule="auto"/>
        <w:rPr>
          <w:rFonts w:ascii="Arial"/>
          <w:sz w:val="21"/>
        </w:rPr>
      </w:pPr>
      <w:r>
        <w:pict>
          <v:shape id="_x0000_s254" style="position:absolute;margin-left:638.92pt;margin-top:45.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12.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835" w:lineRule="exact"/>
        <w:rPr/>
      </w:pPr>
      <w:r>
        <w:pict>
          <v:shape id="_x0000_s258" style="position:absolute;margin-left:86.92pt;margin-top:228.073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260" style="position:absolute;margin-left:-45.0434pt;margin-top:347.362pt;mso-position-vertical-relative:text;mso-position-horizontal-relative:text;width:609.35pt;height:22.25pt;z-index:251695104;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791325" cy="561022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791325" cy="5610225"/>
                    </a:xfrm>
                    <a:prstGeom prst="rect">
                      <a:avLst/>
                    </a:prstGeom>
                  </pic:spPr>
                </pic:pic>
              </a:graphicData>
            </a:graphic>
          </wp:inline>
        </w:drawing>
      </w:r>
    </w:p>
    <w:p>
      <w:pPr>
        <w:spacing w:line="8835"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62" style="position:absolute;margin-left:312.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265" w:lineRule="exact"/>
        <w:rPr/>
      </w:pPr>
      <w:r>
        <w:pict>
          <v:shape id="_x0000_s266" style="position:absolute;margin-left:-45.0434pt;margin-top:347.362pt;mso-position-vertical-relative:text;mso-position-horizontal-relative:text;width:609.35pt;height:22.25pt;z-index:251699200;rotation:330;" fillcolor="#404040" filled="true" stroked="false" type="#_x0000_t136">
            <v:fill opacity="0.400000"/>
            <v:textpath style="font-family:&quot;SimSun&quot;;font-size:20;v-text-kern:t;mso-text-shadow:auto" string="仅供内部审核                                     仅供内部审核"/>
          </v:shape>
        </w:pict>
      </w:r>
      <w:r>
        <w:pict>
          <v:shape id="_x0000_s268" style="position:absolute;margin-left:86.92pt;margin-top:228.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6791325" cy="524827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791325" cy="5248275"/>
                    </a:xfrm>
                    <a:prstGeom prst="rect">
                      <a:avLst/>
                    </a:prstGeom>
                  </pic:spPr>
                </pic:pic>
              </a:graphicData>
            </a:graphic>
          </wp:inline>
        </w:drawing>
      </w:r>
    </w:p>
    <w:p>
      <w:pPr>
        <w:spacing w:line="8265"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70" style="position:absolute;margin-left:312.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638.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880" w:lineRule="exact"/>
        <w:rPr/>
      </w:pPr>
      <w:r>
        <w:pict>
          <v:shape id="_x0000_s274" style="position:absolute;margin-left:638.92pt;margin-top:470.07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276" style="position:absolute;margin-left:280.957pt;margin-top:347.362pt;mso-position-vertical-relative:text;mso-position-horizontal-relative:text;width:609.35pt;height:22.25pt;z-index:251706368;rotation:330;" fillcolor="#404040" filled="true" stroked="false" type="#_x0000_t136">
            <v:fill opacity="0.400000"/>
            <v:textpath style="font-family:&quot;SimSun&quot;;font-size:20;v-text-kern:t;mso-text-shadow:auto" string="仅供内部审核                                     仅供内部审核"/>
          </v:shape>
        </w:pict>
      </w:r>
      <w:r>
        <w:pict>
          <v:shape id="_x0000_s278"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280" style="position:absolute;margin-left:86.92pt;margin-top:228.073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791325" cy="563880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791325" cy="5638800"/>
                    </a:xfrm>
                    <a:prstGeom prst="rect">
                      <a:avLst/>
                    </a:prstGeom>
                  </pic:spPr>
                </pic:pic>
              </a:graphicData>
            </a:graphic>
          </wp:inline>
        </w:drawing>
      </w:r>
    </w:p>
    <w:p>
      <w:pPr>
        <w:spacing w:line="8880" w:lineRule="exact"/>
        <w:sectPr>
          <w:headerReference w:type="default" r:id="rId33"/>
          <w:footerReference w:type="default" r:id="rId46"/>
          <w:pgSz w:w="16840" w:h="11900"/>
          <w:pgMar w:top="642" w:right="0" w:bottom="340" w:left="0" w:header="326" w:footer="111" w:gutter="0"/>
        </w:sectPr>
        <w:rPr/>
      </w:pPr>
    </w:p>
    <w:p>
      <w:pPr>
        <w:spacing w:line="267" w:lineRule="auto"/>
        <w:rPr>
          <w:rFonts w:ascii="Arial"/>
          <w:sz w:val="21"/>
        </w:rPr>
      </w:pPr>
      <w:r>
        <w:pict>
          <v:shape id="_x0000_s282" style="position:absolute;margin-left:638.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7425" w:lineRule="exact"/>
        <w:rPr/>
      </w:pPr>
      <w:r>
        <w:pict>
          <v:shape id="_x0000_s286" style="position:absolute;margin-left:86.92pt;margin-top:228.07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288" style="position:absolute;margin-left:-45.0434pt;margin-top:347.362pt;mso-position-vertical-relative:text;mso-position-horizontal-relative:text;width:609.35pt;height:22.25pt;z-index:251714560;rotation:330;" fillcolor="#404040" filled="true" stroked="false" type="#_x0000_t136">
            <v:fill opacity="0.400000"/>
            <v:textpath style="font-family:&quot;SimSun&quot;;font-size:20;v-text-kern:t;mso-text-shadow:auto" string="仅供内部审核                                     仅供内部审核"/>
          </v:shape>
        </w:pict>
      </w:r>
      <w:r>
        <w:rPr>
          <w:position w:val="-148"/>
        </w:rPr>
        <w:drawing>
          <wp:inline distT="0" distB="0" distL="0" distR="0">
            <wp:extent cx="6791325" cy="4714875"/>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791325" cy="4714875"/>
                    </a:xfrm>
                    <a:prstGeom prst="rect">
                      <a:avLst/>
                    </a:prstGeom>
                  </pic:spPr>
                </pic:pic>
              </a:graphicData>
            </a:graphic>
          </wp:inline>
        </w:drawing>
      </w:r>
    </w:p>
    <w:p>
      <w:pPr>
        <w:spacing w:line="7425" w:lineRule="exact"/>
        <w:sectPr>
          <w:headerReference w:type="default" r:id="rId30"/>
          <w:footerReference w:type="default" r:id="rId48"/>
          <w:pgSz w:w="16840" w:h="11900"/>
          <w:pgMar w:top="642" w:right="0" w:bottom="340" w:left="0" w:header="326" w:footer="111" w:gutter="0"/>
        </w:sectPr>
        <w:rPr/>
      </w:pPr>
    </w:p>
    <w:p>
      <w:pPr>
        <w:spacing w:line="267" w:lineRule="auto"/>
        <w:rPr>
          <w:rFonts w:ascii="Arial"/>
          <w:sz w:val="21"/>
        </w:rPr>
      </w:pPr>
      <w:r>
        <w:pict>
          <v:shape id="_x0000_s290" style="position:absolute;margin-left:312.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638.92pt;margin-top:45.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895" w:lineRule="exact"/>
        <w:rPr/>
      </w:pPr>
      <w:r>
        <w:pict>
          <v:shape id="_x0000_s294" style="position:absolute;margin-left:86.92pt;margin-top:228.073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296" style="position:absolute;margin-left:280.957pt;margin-top:347.362pt;mso-position-vertical-relative:text;mso-position-horizontal-relative:text;width:609.35pt;height:22.25pt;z-index:251719680;rotation:330;" fillcolor="#404040" filled="true" stroked="false" type="#_x0000_t136">
            <v:fill opacity="0.400000"/>
            <v:textpath style="font-family:&quot;SimSun&quot;;font-size:20;v-text-kern:t;mso-text-shadow:auto" string="仅供内部审核                                     仅供内部审核"/>
          </v:shape>
        </w:pict>
      </w:r>
      <w:r>
        <w:pict>
          <v:shape id="_x0000_s298" style="position:absolute;margin-left:-45.0434pt;margin-top:347.362pt;mso-position-vertical-relative:text;mso-position-horizontal-relative:text;width:609.35pt;height:22.25pt;z-index:251720704;rotation:330;" fillcolor="#404040" filled="true" stroked="false" type="#_x0000_t136">
            <v:fill opacity="0.400000"/>
            <v:textpath style="font-family:&quot;SimSun&quot;;font-size:20;v-text-kern:t;mso-text-shadow:auto" string="仅供内部审核                                     仅供内部审核"/>
          </v:shape>
        </w:pict>
      </w:r>
      <w:r>
        <w:pict>
          <v:shape id="_x0000_s300" style="position:absolute;margin-left:638.92pt;margin-top:470.073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791325" cy="5648325"/>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791325" cy="5648325"/>
                    </a:xfrm>
                    <a:prstGeom prst="rect">
                      <a:avLst/>
                    </a:prstGeom>
                  </pic:spPr>
                </pic:pic>
              </a:graphicData>
            </a:graphic>
          </wp:inline>
        </w:drawing>
      </w:r>
    </w:p>
    <w:p>
      <w:pPr>
        <w:spacing w:line="8895" w:lineRule="exact"/>
        <w:sectPr>
          <w:headerReference w:type="default" r:id="rId33"/>
          <w:footerReference w:type="default" r:id="rId50"/>
          <w:pgSz w:w="16840" w:h="11900"/>
          <w:pgMar w:top="642" w:right="0" w:bottom="340" w:left="0" w:header="326" w:footer="111" w:gutter="0"/>
        </w:sectPr>
        <w:rPr/>
      </w:pPr>
    </w:p>
    <w:p>
      <w:pPr>
        <w:spacing w:line="267" w:lineRule="auto"/>
        <w:rPr>
          <w:rFonts w:ascii="Arial"/>
          <w:sz w:val="21"/>
        </w:rPr>
      </w:pPr>
      <w:r>
        <w:pict>
          <v:shape id="_x0000_s302" style="position:absolute;margin-left:638.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312.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055" w:lineRule="exact"/>
        <w:rPr/>
      </w:pPr>
      <w:r>
        <w:pict>
          <v:shape id="_x0000_s306" style="position:absolute;margin-left:-45.0434pt;margin-top:347.362pt;mso-position-vertical-relative:text;mso-position-horizontal-relative:text;width:609.35pt;height:22.25pt;z-index:251724800;rotation:330;" fillcolor="#404040" filled="true" stroked="false" type="#_x0000_t136">
            <v:fill opacity="0.400000"/>
            <v:textpath style="font-family:&quot;SimSun&quot;;font-size:20;v-text-kern:t;mso-text-shadow:auto" string="仅供内部审核                                     仅供内部审核"/>
          </v:shape>
        </w:pict>
      </w:r>
      <w:r>
        <w:pict>
          <v:shape id="_x0000_s308" style="position:absolute;margin-left:86.92pt;margin-top:228.07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161"/>
        </w:rPr>
        <w:drawing>
          <wp:inline distT="0" distB="0" distL="0" distR="0">
            <wp:extent cx="6791325" cy="5114925"/>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791325" cy="5114925"/>
                    </a:xfrm>
                    <a:prstGeom prst="rect">
                      <a:avLst/>
                    </a:prstGeom>
                  </pic:spPr>
                </pic:pic>
              </a:graphicData>
            </a:graphic>
          </wp:inline>
        </w:drawing>
      </w:r>
    </w:p>
    <w:p>
      <w:pPr>
        <w:spacing w:line="8055" w:lineRule="exact"/>
        <w:sectPr>
          <w:headerReference w:type="default" r:id="rId30"/>
          <w:footerReference w:type="default" r:id="rId52"/>
          <w:pgSz w:w="16840" w:h="11900"/>
          <w:pgMar w:top="642" w:right="0" w:bottom="340" w:left="0" w:header="326" w:footer="111" w:gutter="0"/>
        </w:sectPr>
        <w:rPr/>
      </w:pPr>
    </w:p>
    <w:p>
      <w:pPr>
        <w:spacing w:line="267" w:lineRule="auto"/>
        <w:rPr>
          <w:rFonts w:ascii="Arial"/>
          <w:sz w:val="21"/>
        </w:rPr>
      </w:pPr>
      <w:r>
        <w:pict>
          <v:shape id="_x0000_s310" style="position:absolute;margin-left:312.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75"/>
        <w:spacing w:line="8325" w:lineRule="exact"/>
        <w:rPr/>
      </w:pPr>
      <w:r>
        <w:pict>
          <v:shape id="_x0000_s314" style="position:absolute;margin-left:-45.0434pt;margin-top:347.362pt;mso-position-vertical-relative:text;mso-position-horizontal-relative:text;width:609.35pt;height:22.25pt;z-index:251729920;rotation:330;" fillcolor="#404040" filled="true" stroked="false" type="#_x0000_t136">
            <v:fill opacity="0.400000"/>
            <v:textpath style="font-family:&quot;SimSun&quot;;font-size:20;v-text-kern:t;mso-text-shadow:auto" string="仅供内部审核                                     仅供内部审核"/>
          </v:shape>
        </w:pict>
      </w:r>
      <w:r>
        <w:pict>
          <v:shape id="_x0000_s316" style="position:absolute;margin-left:86.92pt;margin-top:228.073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6791325" cy="528637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791325" cy="5286375"/>
                    </a:xfrm>
                    <a:prstGeom prst="rect">
                      <a:avLst/>
                    </a:prstGeom>
                  </pic:spPr>
                </pic:pic>
              </a:graphicData>
            </a:graphic>
          </wp:inline>
        </w:drawing>
      </w:r>
    </w:p>
    <w:sectPr>
      <w:footerReference w:type="default" r:id="rId54"/>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8"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6"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4" style="position:absolute;margin-left:-13.08pt;margin-top:28.7633pt;mso-position-vertical-relative:text;mso-position-horizontal-relative:text;width:119.4pt;height:18.85pt;z-index:-25155788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280.957pt;margin-top:406.395pt;mso-position-vertical-relative:page;mso-position-horizontal-relative:page;width:609.35pt;height:22.25pt;z-index:-2515599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8" style="position:absolute;margin-left:638.92pt;margin-top:529.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_x0000_s200" style="position:absolute;margin-left:30pt;margin-top:29.5pt;mso-position-vertical-relative:page;mso-position-horizontal-relative:page;width:782pt;height:1pt;z-index:-251558912;" o:allowincell="f" filled="false" strokecolor="#646464" strokeweight="1.00pt" coordsize="15640,20" coordorigin="0,0" path="m0,10l15640,10e">
          <v:stroke joinstyle="miter" miterlimit="10"/>
        </v:shape>
      </w:pict>
    </w:r>
    <w:r>
      <w:rPr>
        <w:sz w:val="16"/>
        <w:szCs w:val="16"/>
        <w:spacing w:val="-2"/>
        <w:position w:val="1"/>
      </w:rPr>
      <w:t>兴县罗峪口镇中心卫生院2024年单位决算公开报告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0" style="position:absolute;margin-left:-13.08pt;margin-top:28.7633pt;mso-position-vertical-relative:text;mso-position-horizontal-relative:text;width:119.4pt;height:18.85pt;z-index:-251555840;rotation:330;"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782pt;height:1pt;z-index:-251556864;" o:allowincell="f" filled="false" strokecolor="#646464" strokeweight="1.00pt" coordsize="15640,20" coordorigin="0,0" path="m0,10l15640,10e">
          <v:stroke joinstyle="miter" miterlimit="10"/>
        </v:shape>
      </w:pict>
    </w:r>
    <w:r>
      <w:rPr>
        <w:sz w:val="16"/>
        <w:szCs w:val="16"/>
        <w:spacing w:val="-2"/>
        <w:position w:val="1"/>
      </w:rPr>
      <w:t>兴县罗峪口镇中心卫生院2024年单位决算公开报告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兴县罗峪口镇中心卫生院2024年单位决算公开报告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2"/>
        <w:position w:val="1"/>
      </w:rPr>
      <w:t>兴县罗峪口镇中心卫生院2024年单位决算公开报告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13.08pt;margin-top:28.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75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sz w:val="16"/>
        <w:szCs w:val="16"/>
        <w:spacing w:val="-2"/>
        <w:position w:val="1"/>
      </w:rPr>
      <w:t>兴县罗峪口镇中心卫生院2024年单位决算公开报告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styles" Target="styles.xml"/><Relationship Id="rId56" Type="http://schemas.openxmlformats.org/officeDocument/2006/relationships/settings" Target="settings.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9.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header" Target="header7.xml"/><Relationship Id="rId13" Type="http://schemas.openxmlformats.org/officeDocument/2006/relationships/footer" Target="footer7.xml"/><Relationship Id="rId12" Type="http://schemas.openxmlformats.org/officeDocument/2006/relationships/header" Target="header6.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2025-09-25T17:57:37Z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2025-09-25T20:25:27</vt:filetime>
  </property>
</Properties>
</file>