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53"/>
        <w:spacing w:before="159" w:line="196" w:lineRule="auto"/>
        <w:rPr>
          <w:rFonts w:ascii="STZhongsong" w:hAnsi="STZhongsong" w:eastAsia="STZhongsong" w:cs="STZhongsong"/>
          <w:sz w:val="43"/>
          <w:szCs w:val="43"/>
        </w:rPr>
      </w:pPr>
      <w:r>
        <w:rPr>
          <w:rFonts w:ascii="STZhongsong" w:hAnsi="STZhongsong" w:eastAsia="STZhongsong" w:cs="STZhongsong"/>
          <w:sz w:val="43"/>
          <w:szCs w:val="43"/>
          <w:spacing w:val="103"/>
        </w:rPr>
        <w:t>兴县人民代表大会常务委员会办公室</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5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16</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17</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5"/>
              </w:rPr>
              <w:t>34</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34</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3"/>
              </w:rPr>
              <w:t xml:space="preserve"> </w:t>
            </w:r>
            <w:r>
              <w:rPr>
                <w:rFonts w:ascii="FangSong" w:hAnsi="FangSong" w:eastAsia="FangSong" w:cs="FangSong"/>
                <w:sz w:val="32"/>
                <w:szCs w:val="32"/>
                <w:spacing w:val="-5"/>
              </w:rPr>
              <w:t>34</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34</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b/>
                <w:bCs/>
                <w:spacing w:val="-7"/>
              </w:rPr>
              <w:t>65</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35" w:id="2"/>
      <w:bookmarkEnd w:id="2"/>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一、本部门职责</w:t>
      </w:r>
    </w:p>
    <w:p>
      <w:pPr>
        <w:ind w:left="1515" w:right="1475" w:firstLine="11"/>
        <w:spacing w:before="282" w:line="267" w:lineRule="auto"/>
        <w:rPr>
          <w:rFonts w:ascii="FangSong" w:hAnsi="FangSong" w:eastAsia="FangSong" w:cs="FangSong"/>
          <w:sz w:val="24"/>
          <w:szCs w:val="24"/>
        </w:rPr>
      </w:pPr>
      <w:r>
        <w:rPr>
          <w:rFonts w:ascii="FangSong" w:hAnsi="FangSong" w:eastAsia="FangSong" w:cs="FangSong"/>
          <w:sz w:val="24"/>
          <w:szCs w:val="24"/>
          <w:spacing w:val="4"/>
        </w:rPr>
        <w:t>1．办文。起草、制作、传递公文；搞好调查研究，撰写工</w:t>
      </w:r>
      <w:r>
        <w:rPr>
          <w:rFonts w:ascii="FangSong" w:hAnsi="FangSong" w:eastAsia="FangSong" w:cs="FangSong"/>
          <w:sz w:val="24"/>
          <w:szCs w:val="24"/>
          <w:spacing w:val="3"/>
        </w:rPr>
        <w:t>作决结，办好简报；搞好</w:t>
      </w:r>
      <w:r>
        <w:rPr>
          <w:rFonts w:ascii="FangSong" w:hAnsi="FangSong" w:eastAsia="FangSong" w:cs="FangSong"/>
          <w:sz w:val="24"/>
          <w:szCs w:val="24"/>
          <w:spacing w:val="-8"/>
        </w:rPr>
        <w:t>档案管理。</w:t>
      </w:r>
    </w:p>
    <w:p>
      <w:pPr>
        <w:ind w:left="1517" w:right="1475" w:hanging="6"/>
        <w:spacing w:before="116" w:line="286" w:lineRule="auto"/>
        <w:rPr>
          <w:rFonts w:ascii="FangSong" w:hAnsi="FangSong" w:eastAsia="FangSong" w:cs="FangSong"/>
          <w:sz w:val="24"/>
          <w:szCs w:val="24"/>
        </w:rPr>
      </w:pPr>
      <w:r>
        <w:rPr>
          <w:rFonts w:ascii="FangSong" w:hAnsi="FangSong" w:eastAsia="FangSong" w:cs="FangSong"/>
          <w:sz w:val="24"/>
          <w:szCs w:val="24"/>
          <w:spacing w:val="4"/>
        </w:rPr>
        <w:t>2．办事。办理人大代表议案、建议；接待处理来信来访；办理人事任免手续；搞好</w:t>
      </w:r>
      <w:r>
        <w:rPr>
          <w:rFonts w:ascii="FangSong" w:hAnsi="FangSong" w:eastAsia="FangSong" w:cs="FangSong"/>
          <w:sz w:val="24"/>
          <w:szCs w:val="24"/>
        </w:rPr>
        <w:t>后勤服务；依法监督和评议“一府两院</w:t>
      </w:r>
      <w:r>
        <w:rPr>
          <w:rFonts w:ascii="FangSong" w:hAnsi="FangSong" w:eastAsia="FangSong" w:cs="FangSong"/>
          <w:sz w:val="24"/>
          <w:szCs w:val="24"/>
          <w:spacing w:val="-87"/>
        </w:rPr>
        <w:t xml:space="preserve"> </w:t>
      </w:r>
      <w:r>
        <w:rPr>
          <w:rFonts w:ascii="FangSong" w:hAnsi="FangSong" w:eastAsia="FangSong" w:cs="FangSong"/>
          <w:sz w:val="24"/>
          <w:szCs w:val="24"/>
        </w:rPr>
        <w:t>”的工作，做到依法行政；组</w:t>
      </w:r>
      <w:r>
        <w:rPr>
          <w:rFonts w:ascii="FangSong" w:hAnsi="FangSong" w:eastAsia="FangSong" w:cs="FangSong"/>
          <w:sz w:val="24"/>
          <w:szCs w:val="24"/>
          <w:spacing w:val="-1"/>
        </w:rPr>
        <w:t>织好代表、委员</w:t>
      </w:r>
      <w:r>
        <w:rPr>
          <w:rFonts w:ascii="FangSong" w:hAnsi="FangSong" w:eastAsia="FangSong" w:cs="FangSong"/>
          <w:sz w:val="24"/>
          <w:szCs w:val="24"/>
          <w:spacing w:val="1"/>
        </w:rPr>
        <w:t>的视察、调查；指导乡镇人大做好代表工作，负责检查常务</w:t>
      </w:r>
      <w:r>
        <w:rPr>
          <w:rFonts w:ascii="FangSong" w:hAnsi="FangSong" w:eastAsia="FangSong" w:cs="FangSong"/>
          <w:sz w:val="24"/>
          <w:szCs w:val="24"/>
        </w:rPr>
        <w:t>委员会会议、主任会议、</w:t>
      </w:r>
      <w:r>
        <w:rPr>
          <w:rFonts w:ascii="FangSong" w:hAnsi="FangSong" w:eastAsia="FangSong" w:cs="FangSong"/>
          <w:sz w:val="24"/>
          <w:szCs w:val="24"/>
          <w:spacing w:val="-3"/>
        </w:rPr>
        <w:t>主任办公会议以及其他重要会议决定事项的落实。</w:t>
      </w:r>
    </w:p>
    <w:p>
      <w:pPr>
        <w:ind w:left="1523" w:right="1475" w:hanging="10"/>
        <w:spacing w:before="102" w:line="266" w:lineRule="auto"/>
        <w:rPr>
          <w:rFonts w:ascii="FangSong" w:hAnsi="FangSong" w:eastAsia="FangSong" w:cs="FangSong"/>
          <w:sz w:val="24"/>
          <w:szCs w:val="24"/>
        </w:rPr>
      </w:pPr>
      <w:r>
        <w:rPr>
          <w:rFonts w:ascii="FangSong" w:hAnsi="FangSong" w:eastAsia="FangSong" w:cs="FangSong"/>
          <w:sz w:val="24"/>
          <w:szCs w:val="24"/>
          <w:spacing w:val="4"/>
        </w:rPr>
        <w:t>3．办会。承办县人民代表大会会议的筹备工作，常务委员会会议、主任会议和其他</w:t>
      </w:r>
      <w:r>
        <w:rPr>
          <w:rFonts w:ascii="FangSong" w:hAnsi="FangSong" w:eastAsia="FangSong" w:cs="FangSong"/>
          <w:sz w:val="24"/>
          <w:szCs w:val="24"/>
          <w:spacing w:val="-4"/>
        </w:rPr>
        <w:t>重要会议的会务、材料、总务工作。</w:t>
      </w:r>
    </w:p>
    <w:p>
      <w:pPr>
        <w:ind w:left="1513"/>
        <w:spacing w:before="298"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19"/>
        <w:spacing w:before="102" w:line="222" w:lineRule="auto"/>
        <w:rPr>
          <w:rFonts w:ascii="FangSong" w:hAnsi="FangSong" w:eastAsia="FangSong" w:cs="FangSong"/>
          <w:sz w:val="24"/>
          <w:szCs w:val="24"/>
        </w:rPr>
      </w:pPr>
      <w:r>
        <w:rPr>
          <w:rFonts w:ascii="FangSong" w:hAnsi="FangSong" w:eastAsia="FangSong" w:cs="FangSong"/>
          <w:sz w:val="24"/>
          <w:szCs w:val="24"/>
          <w:spacing w:val="-6"/>
        </w:rPr>
        <w:t>人大机关内设7个科级机构：</w:t>
      </w:r>
    </w:p>
    <w:p>
      <w:pPr>
        <w:ind w:left="1522" w:right="1474" w:hanging="3"/>
        <w:spacing w:before="116" w:line="306" w:lineRule="auto"/>
        <w:rPr>
          <w:rFonts w:ascii="FangSong" w:hAnsi="FangSong" w:eastAsia="FangSong" w:cs="FangSong"/>
          <w:sz w:val="24"/>
          <w:szCs w:val="24"/>
        </w:rPr>
      </w:pPr>
      <w:r>
        <w:rPr>
          <w:rFonts w:ascii="FangSong" w:hAnsi="FangSong" w:eastAsia="FangSong" w:cs="FangSong"/>
          <w:sz w:val="24"/>
          <w:szCs w:val="24"/>
          <w:spacing w:val="1"/>
        </w:rPr>
        <w:t>人大常委会办公室、法制工作委员会、教科文卫工作委</w:t>
      </w:r>
      <w:r>
        <w:rPr>
          <w:rFonts w:ascii="FangSong" w:hAnsi="FangSong" w:eastAsia="FangSong" w:cs="FangSong"/>
          <w:sz w:val="24"/>
          <w:szCs w:val="24"/>
        </w:rPr>
        <w:t>员会、农工委、预算工作委员</w:t>
      </w:r>
      <w:r>
        <w:rPr>
          <w:rFonts w:ascii="FangSong" w:hAnsi="FangSong" w:eastAsia="FangSong" w:cs="FangSong"/>
          <w:sz w:val="24"/>
          <w:szCs w:val="24"/>
          <w:spacing w:val="-3"/>
        </w:rPr>
        <w:t>会、人事代表工委、人大代表服务中心。</w:t>
      </w:r>
    </w:p>
    <w:p>
      <w:pPr>
        <w:ind w:left="1517" w:right="1474" w:firstLine="1"/>
        <w:spacing w:before="1" w:line="311" w:lineRule="auto"/>
        <w:rPr>
          <w:rFonts w:ascii="FangSong" w:hAnsi="FangSong" w:eastAsia="FangSong" w:cs="FangSong"/>
          <w:sz w:val="24"/>
          <w:szCs w:val="24"/>
        </w:rPr>
      </w:pPr>
      <w:r>
        <w:rPr>
          <w:rFonts w:ascii="FangSong" w:hAnsi="FangSong" w:eastAsia="FangSong" w:cs="FangSong"/>
          <w:sz w:val="24"/>
          <w:szCs w:val="24"/>
          <w:spacing w:val="1"/>
        </w:rPr>
        <w:t>人员情况：县政府三定方案核定我单位行政编制18人</w:t>
      </w:r>
      <w:r>
        <w:rPr>
          <w:rFonts w:ascii="FangSong" w:hAnsi="FangSong" w:eastAsia="FangSong" w:cs="FangSong"/>
          <w:sz w:val="24"/>
          <w:szCs w:val="24"/>
        </w:rPr>
        <w:t>，事业编制10人，实有27人，退</w:t>
      </w:r>
      <w:r>
        <w:rPr>
          <w:rFonts w:ascii="FangSong" w:hAnsi="FangSong" w:eastAsia="FangSong" w:cs="FangSong"/>
          <w:sz w:val="24"/>
          <w:szCs w:val="24"/>
          <w:spacing w:val="-6"/>
        </w:rPr>
        <w:t>休人员41人。</w:t>
      </w:r>
    </w:p>
    <w:p>
      <w:pPr>
        <w:spacing w:line="311"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69"/>
        <w:gridCol w:w="1183"/>
        <w:gridCol w:w="2036"/>
        <w:gridCol w:w="1198"/>
        <w:gridCol w:w="1183"/>
        <w:gridCol w:w="981"/>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188"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部门名称：兴县人民代表大会常务委员会办公室</w:t>
            </w:r>
          </w:p>
        </w:tc>
        <w:tc>
          <w:tcPr>
            <w:tcW w:w="3362" w:type="dxa"/>
            <w:vAlign w:val="top"/>
            <w:gridSpan w:val="3"/>
            <w:tcBorders>
              <w:top w:val="single" w:color="FFFFFF" w:sz="6" w:space="0"/>
              <w:left w:val="single" w:color="FFFFFF" w:sz="2" w:space="0"/>
              <w:right w:val="single" w:color="FFFFFF" w:sz="2" w:space="0"/>
            </w:tcBorders>
          </w:tcPr>
          <w:p>
            <w:pPr>
              <w:ind w:left="2430"/>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52" w:type="dxa"/>
            <w:vAlign w:val="top"/>
            <w:gridSpan w:val="2"/>
          </w:tcPr>
          <w:p>
            <w:pPr>
              <w:ind w:left="1383"/>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98" w:type="dxa"/>
            <w:vAlign w:val="top"/>
            <w:gridSpan w:val="4"/>
          </w:tcPr>
          <w:p>
            <w:pPr>
              <w:ind w:left="2501"/>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69" w:type="dxa"/>
            <w:vAlign w:val="top"/>
          </w:tcPr>
          <w:p>
            <w:pPr>
              <w:ind w:left="78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3"/>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036" w:type="dxa"/>
            <w:vAlign w:val="top"/>
          </w:tcPr>
          <w:p>
            <w:pPr>
              <w:ind w:left="816"/>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34"/>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83" w:type="dxa"/>
            <w:vAlign w:val="top"/>
          </w:tcPr>
          <w:p>
            <w:pPr>
              <w:ind w:left="49"/>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981" w:type="dxa"/>
            <w:vAlign w:val="top"/>
          </w:tcPr>
          <w:p>
            <w:pPr>
              <w:ind w:left="386" w:right="39" w:hanging="360"/>
              <w:spacing w:before="6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上年结转安</w:t>
            </w:r>
            <w:r>
              <w:rPr>
                <w:rFonts w:ascii="Microsoft YaHei" w:hAnsi="Microsoft YaHei" w:eastAsia="Microsoft YaHei" w:cs="Microsoft YaHei"/>
                <w:sz w:val="17"/>
                <w:szCs w:val="17"/>
                <w:color w:val="212529"/>
                <w:spacing w:val="11"/>
              </w:rPr>
              <w:t>排</w:t>
            </w:r>
          </w:p>
        </w:tc>
      </w:tr>
      <w:tr>
        <w:trPr>
          <w:trHeight w:val="524" w:hRule="atLeast"/>
        </w:trPr>
        <w:tc>
          <w:tcPr>
            <w:tcW w:w="196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right="29"/>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3"/>
              </w:rPr>
              <w:t>1043.66</w:t>
            </w:r>
          </w:p>
        </w:tc>
        <w:tc>
          <w:tcPr>
            <w:tcW w:w="2036" w:type="dxa"/>
            <w:vAlign w:val="top"/>
          </w:tcPr>
          <w:p>
            <w:pPr>
              <w:ind w:left="6"/>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ind w:right="25"/>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932.17</w:t>
            </w:r>
          </w:p>
        </w:tc>
        <w:tc>
          <w:tcPr>
            <w:tcW w:w="1183" w:type="dxa"/>
            <w:vAlign w:val="top"/>
          </w:tcPr>
          <w:p>
            <w:pPr>
              <w:ind w:right="16"/>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912.17</w:t>
            </w:r>
          </w:p>
        </w:tc>
        <w:tc>
          <w:tcPr>
            <w:tcW w:w="981" w:type="dxa"/>
            <w:vAlign w:val="top"/>
          </w:tcPr>
          <w:p>
            <w:pPr>
              <w:ind w:right="28"/>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20.00</w:t>
            </w:r>
          </w:p>
        </w:tc>
      </w:tr>
      <w:tr>
        <w:trPr>
          <w:trHeight w:val="524" w:hRule="atLeast"/>
        </w:trPr>
        <w:tc>
          <w:tcPr>
            <w:tcW w:w="196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2036" w:type="dxa"/>
            <w:vAlign w:val="top"/>
          </w:tcPr>
          <w:p>
            <w:pPr>
              <w:ind w:left="7"/>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2036" w:type="dxa"/>
            <w:vAlign w:val="top"/>
          </w:tcPr>
          <w:p>
            <w:pPr>
              <w:ind w:left="3"/>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2036" w:type="dxa"/>
            <w:vAlign w:val="top"/>
          </w:tcPr>
          <w:p>
            <w:pPr>
              <w:ind w:left="21"/>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2036" w:type="dxa"/>
            <w:vAlign w:val="top"/>
          </w:tcPr>
          <w:p>
            <w:pPr>
              <w:ind w:left="7"/>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right="43"/>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98" w:type="dxa"/>
            <w:vAlign w:val="top"/>
          </w:tcPr>
          <w:p>
            <w:pPr>
              <w:ind w:right="24"/>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76.71</w:t>
            </w:r>
          </w:p>
        </w:tc>
        <w:tc>
          <w:tcPr>
            <w:tcW w:w="1183" w:type="dxa"/>
            <w:vAlign w:val="top"/>
          </w:tcPr>
          <w:p>
            <w:pPr>
              <w:ind w:right="15"/>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76.71</w:t>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5"/>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23.57</w:t>
            </w:r>
          </w:p>
        </w:tc>
        <w:tc>
          <w:tcPr>
            <w:tcW w:w="1183" w:type="dxa"/>
            <w:vAlign w:val="top"/>
          </w:tcPr>
          <w:p>
            <w:pPr>
              <w:ind w:right="16"/>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23.57</w:t>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right="43"/>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right="43"/>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5"/>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183" w:type="dxa"/>
            <w:vAlign w:val="top"/>
          </w:tcPr>
          <w:p>
            <w:pPr>
              <w:ind w:right="16"/>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981" w:type="dxa"/>
            <w:vAlign w:val="top"/>
          </w:tcPr>
          <w:p>
            <w:pPr>
              <w:pStyle w:val="TableText"/>
              <w:rPr/>
            </w:pPr>
            <w:r/>
          </w:p>
        </w:tc>
      </w:tr>
      <w:tr>
        <w:trPr>
          <w:trHeight w:val="532"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9" w:right="52"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bl>
    <w:p>
      <w:pPr>
        <w:pStyle w:val="BodyText"/>
        <w:rPr/>
      </w:pPr>
      <w:r/>
    </w:p>
    <w:p>
      <w:pPr>
        <w:sectPr>
          <w:footerReference w:type="default" r:id="rId7"/>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69"/>
        <w:gridCol w:w="1183"/>
        <w:gridCol w:w="2036"/>
        <w:gridCol w:w="1198"/>
        <w:gridCol w:w="1183"/>
        <w:gridCol w:w="981"/>
      </w:tblGrid>
      <w:tr>
        <w:trPr>
          <w:trHeight w:val="531"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right="43"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3"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right="43"/>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9" w:right="43"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8" w:right="43"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25"/>
              <w:spacing w:before="186" w:line="184" w:lineRule="auto"/>
              <w:rPr>
                <w:sz w:val="15"/>
                <w:szCs w:val="15"/>
              </w:rPr>
            </w:pPr>
            <w:r>
              <w:rPr>
                <w:sz w:val="15"/>
                <w:szCs w:val="15"/>
                <w:color w:val="212529"/>
                <w:spacing w:val="3"/>
              </w:rPr>
              <w:t>1043.</w:t>
            </w:r>
            <w:r>
              <w:rPr>
                <w:sz w:val="15"/>
                <w:szCs w:val="15"/>
                <w:color w:val="212529"/>
                <w:spacing w:val="3"/>
              </w:rPr>
              <w:t xml:space="preserve"> </w:t>
            </w:r>
            <w:r>
              <w:rPr>
                <w:sz w:val="15"/>
                <w:szCs w:val="15"/>
                <w:color w:val="212529"/>
                <w:spacing w:val="3"/>
              </w:rPr>
              <w:t>66</w:t>
            </w:r>
          </w:p>
        </w:tc>
        <w:tc>
          <w:tcPr>
            <w:tcW w:w="2036" w:type="dxa"/>
            <w:vAlign w:val="top"/>
          </w:tcPr>
          <w:p>
            <w:pPr>
              <w:ind w:left="4"/>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46"/>
              <w:spacing w:before="186" w:line="184" w:lineRule="auto"/>
              <w:rPr>
                <w:sz w:val="15"/>
                <w:szCs w:val="15"/>
              </w:rPr>
            </w:pPr>
            <w:r>
              <w:rPr>
                <w:sz w:val="15"/>
                <w:szCs w:val="15"/>
                <w:color w:val="212529"/>
                <w:spacing w:val="3"/>
              </w:rPr>
              <w:t>1063.</w:t>
            </w:r>
            <w:r>
              <w:rPr>
                <w:sz w:val="15"/>
                <w:szCs w:val="15"/>
                <w:color w:val="212529"/>
                <w:spacing w:val="3"/>
              </w:rPr>
              <w:t xml:space="preserve"> </w:t>
            </w:r>
            <w:r>
              <w:rPr>
                <w:sz w:val="15"/>
                <w:szCs w:val="15"/>
                <w:color w:val="212529"/>
                <w:spacing w:val="3"/>
              </w:rPr>
              <w:t>66</w:t>
            </w:r>
          </w:p>
        </w:tc>
        <w:tc>
          <w:tcPr>
            <w:tcW w:w="1183" w:type="dxa"/>
            <w:vAlign w:val="top"/>
          </w:tcPr>
          <w:p>
            <w:pPr>
              <w:pStyle w:val="TableText"/>
              <w:ind w:left="540"/>
              <w:spacing w:before="186" w:line="184" w:lineRule="auto"/>
              <w:rPr>
                <w:sz w:val="15"/>
                <w:szCs w:val="15"/>
              </w:rPr>
            </w:pPr>
            <w:r>
              <w:rPr>
                <w:sz w:val="15"/>
                <w:szCs w:val="15"/>
                <w:color w:val="212529"/>
                <w:spacing w:val="3"/>
              </w:rPr>
              <w:t>1043.</w:t>
            </w:r>
            <w:r>
              <w:rPr>
                <w:sz w:val="15"/>
                <w:szCs w:val="15"/>
                <w:color w:val="212529"/>
                <w:spacing w:val="3"/>
              </w:rPr>
              <w:t xml:space="preserve"> </w:t>
            </w:r>
            <w:r>
              <w:rPr>
                <w:sz w:val="15"/>
                <w:szCs w:val="15"/>
                <w:color w:val="212529"/>
                <w:spacing w:val="3"/>
              </w:rPr>
              <w:t>66</w:t>
            </w:r>
          </w:p>
        </w:tc>
        <w:tc>
          <w:tcPr>
            <w:tcW w:w="981" w:type="dxa"/>
            <w:vAlign w:val="top"/>
          </w:tcPr>
          <w:p>
            <w:pPr>
              <w:pStyle w:val="TableText"/>
              <w:ind w:left="495"/>
              <w:spacing w:before="186" w:line="183" w:lineRule="auto"/>
              <w:rPr>
                <w:sz w:val="15"/>
                <w:szCs w:val="15"/>
              </w:rPr>
            </w:pPr>
            <w:r>
              <w:rPr>
                <w:sz w:val="15"/>
                <w:szCs w:val="15"/>
                <w:color w:val="212529"/>
                <w:spacing w:val="2"/>
              </w:rPr>
              <w:t>20.</w:t>
            </w:r>
            <w:r>
              <w:rPr>
                <w:sz w:val="15"/>
                <w:szCs w:val="15"/>
                <w:color w:val="212529"/>
                <w:spacing w:val="11"/>
              </w:rPr>
              <w:t xml:space="preserve"> </w:t>
            </w:r>
            <w:r>
              <w:rPr>
                <w:sz w:val="15"/>
                <w:szCs w:val="15"/>
                <w:color w:val="212529"/>
                <w:spacing w:val="2"/>
              </w:rPr>
              <w:t>00</w:t>
            </w:r>
          </w:p>
        </w:tc>
      </w:tr>
      <w:tr>
        <w:trPr>
          <w:trHeight w:val="524" w:hRule="atLeast"/>
        </w:trPr>
        <w:tc>
          <w:tcPr>
            <w:tcW w:w="196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734"/>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1"/>
              </w:rPr>
              <w:t>20.00</w:t>
            </w:r>
          </w:p>
        </w:tc>
        <w:tc>
          <w:tcPr>
            <w:tcW w:w="2036" w:type="dxa"/>
            <w:vAlign w:val="top"/>
          </w:tcPr>
          <w:p>
            <w:pPr>
              <w:ind w:left="192"/>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31" w:hRule="atLeast"/>
        </w:trPr>
        <w:tc>
          <w:tcPr>
            <w:tcW w:w="196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25"/>
              <w:spacing w:before="188" w:line="184" w:lineRule="auto"/>
              <w:rPr>
                <w:sz w:val="15"/>
                <w:szCs w:val="15"/>
              </w:rPr>
            </w:pPr>
            <w:r>
              <w:rPr>
                <w:sz w:val="15"/>
                <w:szCs w:val="15"/>
                <w:color w:val="212529"/>
                <w:spacing w:val="3"/>
              </w:rPr>
              <w:t>1063.</w:t>
            </w:r>
            <w:r>
              <w:rPr>
                <w:sz w:val="15"/>
                <w:szCs w:val="15"/>
                <w:color w:val="212529"/>
                <w:spacing w:val="3"/>
              </w:rPr>
              <w:t xml:space="preserve"> </w:t>
            </w:r>
            <w:r>
              <w:rPr>
                <w:sz w:val="15"/>
                <w:szCs w:val="15"/>
                <w:color w:val="212529"/>
                <w:spacing w:val="3"/>
              </w:rPr>
              <w:t>66</w:t>
            </w:r>
          </w:p>
        </w:tc>
        <w:tc>
          <w:tcPr>
            <w:tcW w:w="2036" w:type="dxa"/>
            <w:vAlign w:val="top"/>
          </w:tcPr>
          <w:p>
            <w:pPr>
              <w:ind w:left="3"/>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46"/>
              <w:spacing w:before="188" w:line="184" w:lineRule="auto"/>
              <w:rPr>
                <w:sz w:val="15"/>
                <w:szCs w:val="15"/>
              </w:rPr>
            </w:pPr>
            <w:r>
              <w:rPr>
                <w:sz w:val="15"/>
                <w:szCs w:val="15"/>
                <w:color w:val="212529"/>
                <w:spacing w:val="3"/>
              </w:rPr>
              <w:t>1063.</w:t>
            </w:r>
            <w:r>
              <w:rPr>
                <w:sz w:val="15"/>
                <w:szCs w:val="15"/>
                <w:color w:val="212529"/>
                <w:spacing w:val="3"/>
              </w:rPr>
              <w:t xml:space="preserve"> </w:t>
            </w:r>
            <w:r>
              <w:rPr>
                <w:sz w:val="15"/>
                <w:szCs w:val="15"/>
                <w:color w:val="212529"/>
                <w:spacing w:val="3"/>
              </w:rPr>
              <w:t>66</w:t>
            </w:r>
          </w:p>
        </w:tc>
        <w:tc>
          <w:tcPr>
            <w:tcW w:w="1183" w:type="dxa"/>
            <w:vAlign w:val="top"/>
          </w:tcPr>
          <w:p>
            <w:pPr>
              <w:pStyle w:val="TableText"/>
              <w:ind w:left="540"/>
              <w:spacing w:before="188" w:line="184" w:lineRule="auto"/>
              <w:rPr>
                <w:sz w:val="15"/>
                <w:szCs w:val="15"/>
              </w:rPr>
            </w:pPr>
            <w:r>
              <w:rPr>
                <w:sz w:val="15"/>
                <w:szCs w:val="15"/>
                <w:color w:val="212529"/>
                <w:spacing w:val="3"/>
              </w:rPr>
              <w:t>1043.</w:t>
            </w:r>
            <w:r>
              <w:rPr>
                <w:sz w:val="15"/>
                <w:szCs w:val="15"/>
                <w:color w:val="212529"/>
                <w:spacing w:val="3"/>
              </w:rPr>
              <w:t xml:space="preserve"> </w:t>
            </w:r>
            <w:r>
              <w:rPr>
                <w:sz w:val="15"/>
                <w:szCs w:val="15"/>
                <w:color w:val="212529"/>
                <w:spacing w:val="3"/>
              </w:rPr>
              <w:t>66</w:t>
            </w:r>
          </w:p>
        </w:tc>
        <w:tc>
          <w:tcPr>
            <w:tcW w:w="981" w:type="dxa"/>
            <w:vAlign w:val="top"/>
          </w:tcPr>
          <w:p>
            <w:pPr>
              <w:pStyle w:val="TableText"/>
              <w:ind w:left="495"/>
              <w:spacing w:before="188" w:line="183" w:lineRule="auto"/>
              <w:rPr>
                <w:sz w:val="15"/>
                <w:szCs w:val="15"/>
              </w:rPr>
            </w:pPr>
            <w:r>
              <w:rPr>
                <w:sz w:val="15"/>
                <w:szCs w:val="15"/>
                <w:color w:val="212529"/>
                <w:spacing w:val="2"/>
              </w:rPr>
              <w:t>20.</w:t>
            </w:r>
            <w:r>
              <w:rPr>
                <w:sz w:val="15"/>
                <w:szCs w:val="15"/>
                <w:color w:val="212529"/>
                <w:spacing w:val="11"/>
              </w:rPr>
              <w:t xml:space="preserve"> </w:t>
            </w:r>
            <w:r>
              <w:rPr>
                <w:sz w:val="15"/>
                <w:szCs w:val="15"/>
                <w:color w:val="212529"/>
                <w:spacing w:val="2"/>
              </w:rPr>
              <w:t>00</w:t>
            </w:r>
          </w:p>
        </w:tc>
      </w:tr>
    </w:tbl>
    <w:p>
      <w:pPr>
        <w:pStyle w:val="BodyText"/>
        <w:rPr/>
      </w:pPr>
      <w:r/>
    </w:p>
    <w:p>
      <w:pPr>
        <w:sectPr>
          <w:footerReference w:type="default" r:id="rId8"/>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66"/>
        <w:gridCol w:w="2997"/>
        <w:gridCol w:w="1618"/>
        <w:gridCol w:w="1408"/>
        <w:gridCol w:w="1049"/>
        <w:gridCol w:w="1258"/>
        <w:gridCol w:w="1258"/>
        <w:gridCol w:w="989"/>
        <w:gridCol w:w="1326"/>
      </w:tblGrid>
      <w:tr>
        <w:trPr>
          <w:trHeight w:val="442" w:hRule="atLeast"/>
        </w:trPr>
        <w:tc>
          <w:tcPr>
            <w:tcW w:w="156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97"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61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0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04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5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5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315" w:type="dxa"/>
            <w:vAlign w:val="top"/>
            <w:gridSpan w:val="2"/>
            <w:tcBorders>
              <w:left w:val="single" w:color="FFFFFF" w:sz="2" w:space="0"/>
              <w:right w:val="single" w:color="FFFFFF" w:sz="2" w:space="0"/>
              <w:bottom w:val="single" w:color="FFFFFF" w:sz="6" w:space="0"/>
              <w:top w:val="single" w:color="FFFFFF" w:sz="6" w:space="0"/>
            </w:tcBorders>
          </w:tcPr>
          <w:p>
            <w:pPr>
              <w:ind w:left="1293"/>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7"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563"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部门名称：兴县人民代表大会常务委员会办公室</w:t>
            </w:r>
          </w:p>
        </w:tc>
        <w:tc>
          <w:tcPr>
            <w:tcW w:w="1618" w:type="dxa"/>
            <w:vAlign w:val="top"/>
            <w:tcBorders>
              <w:left w:val="single" w:color="FFFFFF" w:sz="2" w:space="0"/>
              <w:right w:val="single" w:color="FFFFFF" w:sz="2" w:space="0"/>
              <w:top w:val="single" w:color="FFFFFF" w:sz="6" w:space="0"/>
            </w:tcBorders>
          </w:tcPr>
          <w:p>
            <w:pPr>
              <w:pStyle w:val="TableText"/>
              <w:rPr/>
            </w:pPr>
            <w:r/>
          </w:p>
        </w:tc>
        <w:tc>
          <w:tcPr>
            <w:tcW w:w="1408" w:type="dxa"/>
            <w:vAlign w:val="top"/>
            <w:tcBorders>
              <w:left w:val="single" w:color="FFFFFF" w:sz="2" w:space="0"/>
              <w:right w:val="single" w:color="FFFFFF" w:sz="2" w:space="0"/>
              <w:top w:val="single" w:color="FFFFFF" w:sz="6" w:space="0"/>
            </w:tcBorders>
          </w:tcPr>
          <w:p>
            <w:pPr>
              <w:pStyle w:val="TableText"/>
              <w:rPr/>
            </w:pPr>
            <w:r/>
          </w:p>
        </w:tc>
        <w:tc>
          <w:tcPr>
            <w:tcW w:w="1049" w:type="dxa"/>
            <w:vAlign w:val="top"/>
            <w:tcBorders>
              <w:left w:val="single" w:color="FFFFFF" w:sz="2" w:space="0"/>
              <w:right w:val="single" w:color="FFFFFF" w:sz="2" w:space="0"/>
              <w:top w:val="single" w:color="FFFFFF" w:sz="6" w:space="0"/>
            </w:tcBorders>
          </w:tcPr>
          <w:p>
            <w:pPr>
              <w:pStyle w:val="TableText"/>
              <w:rPr/>
            </w:pPr>
            <w:r/>
          </w:p>
        </w:tc>
        <w:tc>
          <w:tcPr>
            <w:tcW w:w="1258" w:type="dxa"/>
            <w:vAlign w:val="top"/>
            <w:tcBorders>
              <w:left w:val="single" w:color="FFFFFF" w:sz="2" w:space="0"/>
              <w:right w:val="single" w:color="FFFFFF" w:sz="2" w:space="0"/>
              <w:top w:val="single" w:color="FFFFFF" w:sz="6" w:space="0"/>
            </w:tcBorders>
          </w:tcPr>
          <w:p>
            <w:pPr>
              <w:pStyle w:val="TableText"/>
              <w:rPr/>
            </w:pPr>
            <w:r/>
          </w:p>
        </w:tc>
        <w:tc>
          <w:tcPr>
            <w:tcW w:w="1258" w:type="dxa"/>
            <w:vAlign w:val="top"/>
            <w:tcBorders>
              <w:left w:val="single" w:color="FFFFFF" w:sz="2" w:space="0"/>
              <w:right w:val="single" w:color="FFFFFF" w:sz="2" w:space="0"/>
              <w:top w:val="single" w:color="FFFFFF" w:sz="6" w:space="0"/>
            </w:tcBorders>
          </w:tcPr>
          <w:p>
            <w:pPr>
              <w:pStyle w:val="TableText"/>
              <w:rPr/>
            </w:pPr>
            <w:r/>
          </w:p>
        </w:tc>
        <w:tc>
          <w:tcPr>
            <w:tcW w:w="2315" w:type="dxa"/>
            <w:vAlign w:val="top"/>
            <w:gridSpan w:val="2"/>
            <w:tcBorders>
              <w:left w:val="single" w:color="FFFFFF" w:sz="2" w:space="0"/>
              <w:right w:val="single" w:color="FFFFFF" w:sz="2" w:space="0"/>
              <w:top w:val="single" w:color="FFFFFF" w:sz="6" w:space="0"/>
            </w:tcBorders>
          </w:tcPr>
          <w:p>
            <w:pPr>
              <w:ind w:left="1384"/>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563" w:type="dxa"/>
            <w:vAlign w:val="top"/>
            <w:gridSpan w:val="2"/>
          </w:tcPr>
          <w:p>
            <w:pPr>
              <w:ind w:left="2084"/>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580" w:type="dxa"/>
            <w:vAlign w:val="top"/>
            <w:gridSpan w:val="6"/>
          </w:tcPr>
          <w:p>
            <w:pPr>
              <w:ind w:left="3422"/>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326" w:type="dxa"/>
            <w:vAlign w:val="top"/>
            <w:vMerge w:val="restart"/>
            <w:tcBorders>
              <w:bottom w:val="nil"/>
            </w:tcBorders>
          </w:tcPr>
          <w:p>
            <w:pPr>
              <w:pStyle w:val="TableText"/>
              <w:spacing w:line="273" w:lineRule="auto"/>
              <w:rPr/>
            </w:pPr>
            <w:r/>
          </w:p>
          <w:p>
            <w:pPr>
              <w:ind w:left="290"/>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566" w:type="dxa"/>
            <w:vAlign w:val="top"/>
          </w:tcPr>
          <w:p>
            <w:pPr>
              <w:ind w:left="39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97" w:type="dxa"/>
            <w:vAlign w:val="top"/>
          </w:tcPr>
          <w:p>
            <w:pPr>
              <w:ind w:left="1116"/>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618" w:type="dxa"/>
            <w:vAlign w:val="top"/>
          </w:tcPr>
          <w:p>
            <w:pPr>
              <w:ind w:left="612"/>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08" w:type="dxa"/>
            <w:vAlign w:val="top"/>
          </w:tcPr>
          <w:p>
            <w:pPr>
              <w:ind w:left="143"/>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049" w:type="dxa"/>
            <w:vAlign w:val="top"/>
          </w:tcPr>
          <w:p>
            <w:pPr>
              <w:ind w:left="55"/>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258" w:type="dxa"/>
            <w:vAlign w:val="top"/>
          </w:tcPr>
          <w:p>
            <w:pPr>
              <w:ind w:left="426" w:right="97" w:hanging="337"/>
              <w:spacing w:before="18"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国有资本经营</w:t>
            </w:r>
            <w:r>
              <w:rPr>
                <w:rFonts w:ascii="Microsoft YaHei" w:hAnsi="Microsoft YaHei" w:eastAsia="Microsoft YaHei" w:cs="Microsoft YaHei"/>
                <w:sz w:val="17"/>
                <w:szCs w:val="17"/>
                <w:color w:val="212529"/>
                <w:spacing w:val="11"/>
              </w:rPr>
              <w:t>预算</w:t>
            </w:r>
          </w:p>
        </w:tc>
        <w:tc>
          <w:tcPr>
            <w:tcW w:w="1258" w:type="dxa"/>
            <w:vAlign w:val="top"/>
          </w:tcPr>
          <w:p>
            <w:pPr>
              <w:ind w:left="441" w:right="88" w:hanging="366"/>
              <w:spacing w:before="18"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财政专户管理</w:t>
            </w:r>
            <w:r>
              <w:rPr>
                <w:rFonts w:ascii="Microsoft YaHei" w:hAnsi="Microsoft YaHei" w:eastAsia="Microsoft YaHei" w:cs="Microsoft YaHei"/>
                <w:sz w:val="17"/>
                <w:szCs w:val="17"/>
                <w:color w:val="212529"/>
                <w:spacing w:val="4"/>
              </w:rPr>
              <w:t>资金</w:t>
            </w:r>
          </w:p>
        </w:tc>
        <w:tc>
          <w:tcPr>
            <w:tcW w:w="989" w:type="dxa"/>
            <w:vAlign w:val="top"/>
          </w:tcPr>
          <w:p>
            <w:pPr>
              <w:ind w:left="122"/>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326" w:type="dxa"/>
            <w:vAlign w:val="top"/>
            <w:vMerge w:val="continue"/>
            <w:tcBorders>
              <w:top w:val="nil"/>
            </w:tcBorders>
          </w:tcPr>
          <w:p>
            <w:pPr>
              <w:pStyle w:val="TableText"/>
              <w:rPr/>
            </w:pPr>
            <w:r/>
          </w:p>
        </w:tc>
      </w:tr>
      <w:tr>
        <w:trPr>
          <w:trHeight w:val="434" w:hRule="atLeast"/>
        </w:trPr>
        <w:tc>
          <w:tcPr>
            <w:tcW w:w="4563" w:type="dxa"/>
            <w:vAlign w:val="top"/>
            <w:gridSpan w:val="2"/>
          </w:tcPr>
          <w:p>
            <w:pPr>
              <w:ind w:left="2087"/>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618" w:type="dxa"/>
            <w:vAlign w:val="top"/>
          </w:tcPr>
          <w:p>
            <w:pPr>
              <w:pStyle w:val="TableText"/>
              <w:ind w:left="959"/>
              <w:spacing w:before="149" w:line="184" w:lineRule="auto"/>
              <w:rPr>
                <w:sz w:val="15"/>
                <w:szCs w:val="15"/>
              </w:rPr>
            </w:pPr>
            <w:r>
              <w:rPr>
                <w:sz w:val="15"/>
                <w:szCs w:val="15"/>
                <w:color w:val="212529"/>
                <w:spacing w:val="3"/>
              </w:rPr>
              <w:t>1043.</w:t>
            </w:r>
            <w:r>
              <w:rPr>
                <w:sz w:val="15"/>
                <w:szCs w:val="15"/>
                <w:color w:val="212529"/>
                <w:spacing w:val="3"/>
              </w:rPr>
              <w:t xml:space="preserve"> </w:t>
            </w:r>
            <w:r>
              <w:rPr>
                <w:sz w:val="15"/>
                <w:szCs w:val="15"/>
                <w:color w:val="212529"/>
                <w:spacing w:val="3"/>
              </w:rPr>
              <w:t>66</w:t>
            </w:r>
          </w:p>
        </w:tc>
        <w:tc>
          <w:tcPr>
            <w:tcW w:w="1408" w:type="dxa"/>
            <w:vAlign w:val="top"/>
          </w:tcPr>
          <w:p>
            <w:pPr>
              <w:pStyle w:val="TableText"/>
              <w:ind w:left="754"/>
              <w:spacing w:before="149" w:line="212" w:lineRule="auto"/>
              <w:rPr>
                <w:sz w:val="13"/>
                <w:szCs w:val="13"/>
              </w:rPr>
            </w:pPr>
            <w:r>
              <w:rPr>
                <w:sz w:val="13"/>
                <w:szCs w:val="13"/>
                <w:color w:val="212529"/>
                <w:spacing w:val="11"/>
              </w:rPr>
              <w:t>1043.</w:t>
            </w:r>
            <w:r>
              <w:rPr>
                <w:sz w:val="13"/>
                <w:szCs w:val="13"/>
                <w:color w:val="212529"/>
                <w:spacing w:val="23"/>
                <w:w w:val="102"/>
              </w:rPr>
              <w:t xml:space="preserve"> </w:t>
            </w:r>
            <w:r>
              <w:rPr>
                <w:sz w:val="13"/>
                <w:szCs w:val="13"/>
                <w:color w:val="212529"/>
                <w:spacing w:val="11"/>
              </w:rPr>
              <w:t>66</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ind w:left="841"/>
              <w:spacing w:before="149" w:line="183" w:lineRule="auto"/>
              <w:rPr>
                <w:sz w:val="15"/>
                <w:szCs w:val="15"/>
              </w:rPr>
            </w:pPr>
            <w:r>
              <w:rPr>
                <w:sz w:val="15"/>
                <w:szCs w:val="15"/>
                <w:color w:val="212529"/>
                <w:spacing w:val="2"/>
              </w:rPr>
              <w:t>20.</w:t>
            </w:r>
            <w:r>
              <w:rPr>
                <w:sz w:val="15"/>
                <w:szCs w:val="15"/>
                <w:color w:val="212529"/>
                <w:spacing w:val="11"/>
              </w:rPr>
              <w:t xml:space="preserve"> </w:t>
            </w:r>
            <w:r>
              <w:rPr>
                <w:sz w:val="15"/>
                <w:szCs w:val="15"/>
                <w:color w:val="212529"/>
                <w:spacing w:val="2"/>
              </w:rPr>
              <w:t>00</w:t>
            </w:r>
          </w:p>
        </w:tc>
      </w:tr>
      <w:tr>
        <w:trPr>
          <w:trHeight w:val="434" w:hRule="atLeast"/>
        </w:trPr>
        <w:tc>
          <w:tcPr>
            <w:tcW w:w="1566"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201</w:t>
            </w:r>
          </w:p>
        </w:tc>
        <w:tc>
          <w:tcPr>
            <w:tcW w:w="2997" w:type="dxa"/>
            <w:vAlign w:val="top"/>
          </w:tcPr>
          <w:p>
            <w:pPr>
              <w:ind w:left="1"/>
              <w:spacing w:before="128" w:line="219" w:lineRule="auto"/>
              <w:rPr>
                <w:rFonts w:ascii="SimSun" w:hAnsi="SimSun" w:eastAsia="SimSun" w:cs="SimSun"/>
                <w:sz w:val="18"/>
                <w:szCs w:val="18"/>
              </w:rPr>
            </w:pPr>
            <w:r>
              <w:rPr>
                <w:rFonts w:ascii="SimSun" w:hAnsi="SimSun" w:eastAsia="SimSun" w:cs="SimSun"/>
                <w:sz w:val="18"/>
                <w:szCs w:val="18"/>
                <w:color w:val="212529"/>
                <w:spacing w:val="-2"/>
              </w:rPr>
              <w:t>一般公共服务支出</w:t>
            </w:r>
          </w:p>
        </w:tc>
        <w:tc>
          <w:tcPr>
            <w:tcW w:w="1618" w:type="dxa"/>
            <w:vAlign w:val="top"/>
          </w:tcPr>
          <w:p>
            <w:pPr>
              <w:ind w:right="3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912.17</w:t>
            </w:r>
          </w:p>
        </w:tc>
        <w:tc>
          <w:tcPr>
            <w:tcW w:w="1408" w:type="dxa"/>
            <w:vAlign w:val="top"/>
          </w:tcPr>
          <w:p>
            <w:pPr>
              <w:ind w:right="27"/>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912.17</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ind w:right="27"/>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20.00</w:t>
            </w:r>
          </w:p>
        </w:tc>
      </w:tr>
      <w:tr>
        <w:trPr>
          <w:trHeight w:val="434" w:hRule="atLeast"/>
        </w:trPr>
        <w:tc>
          <w:tcPr>
            <w:tcW w:w="1566"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20101</w:t>
            </w:r>
          </w:p>
        </w:tc>
        <w:tc>
          <w:tcPr>
            <w:tcW w:w="2997" w:type="dxa"/>
            <w:vAlign w:val="top"/>
          </w:tcPr>
          <w:p>
            <w:pPr>
              <w:spacing w:before="129" w:line="219" w:lineRule="auto"/>
              <w:rPr>
                <w:rFonts w:ascii="SimSun" w:hAnsi="SimSun" w:eastAsia="SimSun" w:cs="SimSun"/>
                <w:sz w:val="18"/>
                <w:szCs w:val="18"/>
              </w:rPr>
            </w:pPr>
            <w:r>
              <w:rPr>
                <w:rFonts w:ascii="SimSun" w:hAnsi="SimSun" w:eastAsia="SimSun" w:cs="SimSun"/>
                <w:sz w:val="18"/>
                <w:szCs w:val="18"/>
                <w:color w:val="212529"/>
                <w:spacing w:val="-2"/>
              </w:rPr>
              <w:t>人大事务</w:t>
            </w:r>
          </w:p>
        </w:tc>
        <w:tc>
          <w:tcPr>
            <w:tcW w:w="1618" w:type="dxa"/>
            <w:vAlign w:val="top"/>
          </w:tcPr>
          <w:p>
            <w:pPr>
              <w:ind w:right="32"/>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912.17</w:t>
            </w:r>
          </w:p>
        </w:tc>
        <w:tc>
          <w:tcPr>
            <w:tcW w:w="1408" w:type="dxa"/>
            <w:vAlign w:val="top"/>
          </w:tcPr>
          <w:p>
            <w:pPr>
              <w:ind w:right="27"/>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912.17</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ind w:right="27"/>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20.00</w:t>
            </w:r>
          </w:p>
        </w:tc>
      </w:tr>
      <w:tr>
        <w:trPr>
          <w:trHeight w:val="434" w:hRule="atLeast"/>
        </w:trPr>
        <w:tc>
          <w:tcPr>
            <w:tcW w:w="1566"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2010101</w:t>
            </w:r>
          </w:p>
        </w:tc>
        <w:tc>
          <w:tcPr>
            <w:tcW w:w="2997" w:type="dxa"/>
            <w:vAlign w:val="top"/>
          </w:tcPr>
          <w:p>
            <w:pPr>
              <w:spacing w:before="131"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618" w:type="dxa"/>
            <w:vAlign w:val="top"/>
          </w:tcPr>
          <w:p>
            <w:pPr>
              <w:ind w:right="32"/>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293.64</w:t>
            </w:r>
          </w:p>
        </w:tc>
        <w:tc>
          <w:tcPr>
            <w:tcW w:w="1408" w:type="dxa"/>
            <w:vAlign w:val="top"/>
          </w:tcPr>
          <w:p>
            <w:pPr>
              <w:ind w:right="27"/>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293.64</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4" w:hRule="atLeast"/>
        </w:trPr>
        <w:tc>
          <w:tcPr>
            <w:tcW w:w="1566"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2010104</w:t>
            </w:r>
          </w:p>
        </w:tc>
        <w:tc>
          <w:tcPr>
            <w:tcW w:w="2997" w:type="dxa"/>
            <w:vAlign w:val="top"/>
          </w:tcPr>
          <w:p>
            <w:pPr>
              <w:spacing w:before="131" w:line="218" w:lineRule="auto"/>
              <w:rPr>
                <w:rFonts w:ascii="SimSun" w:hAnsi="SimSun" w:eastAsia="SimSun" w:cs="SimSun"/>
                <w:sz w:val="18"/>
                <w:szCs w:val="18"/>
              </w:rPr>
            </w:pPr>
            <w:r>
              <w:rPr>
                <w:rFonts w:ascii="SimSun" w:hAnsi="SimSun" w:eastAsia="SimSun" w:cs="SimSun"/>
                <w:sz w:val="18"/>
                <w:szCs w:val="18"/>
                <w:color w:val="212529"/>
                <w:spacing w:val="-2"/>
              </w:rPr>
              <w:t>人大会议</w:t>
            </w:r>
          </w:p>
        </w:tc>
        <w:tc>
          <w:tcPr>
            <w:tcW w:w="1618" w:type="dxa"/>
            <w:vAlign w:val="top"/>
          </w:tcPr>
          <w:p>
            <w:pPr>
              <w:ind w:right="3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56.30</w:t>
            </w:r>
          </w:p>
        </w:tc>
        <w:tc>
          <w:tcPr>
            <w:tcW w:w="1408" w:type="dxa"/>
            <w:vAlign w:val="top"/>
          </w:tcPr>
          <w:p>
            <w:pPr>
              <w:ind w:right="26"/>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56.30</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4" w:hRule="atLeast"/>
        </w:trPr>
        <w:tc>
          <w:tcPr>
            <w:tcW w:w="1566"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2010107</w:t>
            </w:r>
          </w:p>
        </w:tc>
        <w:tc>
          <w:tcPr>
            <w:tcW w:w="2997" w:type="dxa"/>
            <w:vAlign w:val="top"/>
          </w:tcPr>
          <w:p>
            <w:pPr>
              <w:spacing w:before="132" w:line="219" w:lineRule="auto"/>
              <w:rPr>
                <w:rFonts w:ascii="SimSun" w:hAnsi="SimSun" w:eastAsia="SimSun" w:cs="SimSun"/>
                <w:sz w:val="18"/>
                <w:szCs w:val="18"/>
              </w:rPr>
            </w:pPr>
            <w:r>
              <w:rPr>
                <w:rFonts w:ascii="SimSun" w:hAnsi="SimSun" w:eastAsia="SimSun" w:cs="SimSun"/>
                <w:sz w:val="18"/>
                <w:szCs w:val="18"/>
                <w:color w:val="212529"/>
                <w:spacing w:val="-1"/>
              </w:rPr>
              <w:t>人大代表履职能力提升</w:t>
            </w:r>
          </w:p>
        </w:tc>
        <w:tc>
          <w:tcPr>
            <w:tcW w:w="1618" w:type="dxa"/>
            <w:vAlign w:val="top"/>
          </w:tcPr>
          <w:p>
            <w:pPr>
              <w:ind w:right="3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40.00</w:t>
            </w:r>
          </w:p>
        </w:tc>
        <w:tc>
          <w:tcPr>
            <w:tcW w:w="1408" w:type="dxa"/>
            <w:vAlign w:val="top"/>
          </w:tcPr>
          <w:p>
            <w:pPr>
              <w:ind w:right="27"/>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40.00</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4" w:hRule="atLeast"/>
        </w:trPr>
        <w:tc>
          <w:tcPr>
            <w:tcW w:w="1566"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2010108</w:t>
            </w:r>
          </w:p>
        </w:tc>
        <w:tc>
          <w:tcPr>
            <w:tcW w:w="2997" w:type="dxa"/>
            <w:vAlign w:val="top"/>
          </w:tcPr>
          <w:p>
            <w:pPr>
              <w:spacing w:before="133" w:line="219" w:lineRule="auto"/>
              <w:rPr>
                <w:rFonts w:ascii="SimSun" w:hAnsi="SimSun" w:eastAsia="SimSun" w:cs="SimSun"/>
                <w:sz w:val="18"/>
                <w:szCs w:val="18"/>
              </w:rPr>
            </w:pPr>
            <w:r>
              <w:rPr>
                <w:rFonts w:ascii="SimSun" w:hAnsi="SimSun" w:eastAsia="SimSun" w:cs="SimSun"/>
                <w:sz w:val="18"/>
                <w:szCs w:val="18"/>
                <w:color w:val="212529"/>
                <w:spacing w:val="-2"/>
              </w:rPr>
              <w:t>代表工作</w:t>
            </w:r>
          </w:p>
        </w:tc>
        <w:tc>
          <w:tcPr>
            <w:tcW w:w="1618" w:type="dxa"/>
            <w:vAlign w:val="top"/>
          </w:tcPr>
          <w:p>
            <w:pPr>
              <w:ind w:right="30"/>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3"/>
              </w:rPr>
              <w:t>126.10</w:t>
            </w:r>
          </w:p>
        </w:tc>
        <w:tc>
          <w:tcPr>
            <w:tcW w:w="1408" w:type="dxa"/>
            <w:vAlign w:val="top"/>
          </w:tcPr>
          <w:p>
            <w:pPr>
              <w:ind w:right="25"/>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3"/>
              </w:rPr>
              <w:t>126.10</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4" w:hRule="atLeast"/>
        </w:trPr>
        <w:tc>
          <w:tcPr>
            <w:tcW w:w="1566"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2010150</w:t>
            </w:r>
          </w:p>
        </w:tc>
        <w:tc>
          <w:tcPr>
            <w:tcW w:w="2997"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618" w:type="dxa"/>
            <w:vAlign w:val="top"/>
          </w:tcPr>
          <w:p>
            <w:pPr>
              <w:ind w:right="3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33.33</w:t>
            </w:r>
          </w:p>
        </w:tc>
        <w:tc>
          <w:tcPr>
            <w:tcW w:w="1408" w:type="dxa"/>
            <w:vAlign w:val="top"/>
          </w:tcPr>
          <w:p>
            <w:pPr>
              <w:ind w:right="26"/>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33.33</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4" w:hRule="atLeast"/>
        </w:trPr>
        <w:tc>
          <w:tcPr>
            <w:tcW w:w="1566"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2010199</w:t>
            </w:r>
          </w:p>
        </w:tc>
        <w:tc>
          <w:tcPr>
            <w:tcW w:w="2997"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1"/>
              </w:rPr>
              <w:t>其他人大事务支出</w:t>
            </w:r>
          </w:p>
        </w:tc>
        <w:tc>
          <w:tcPr>
            <w:tcW w:w="1618" w:type="dxa"/>
            <w:vAlign w:val="top"/>
          </w:tcPr>
          <w:p>
            <w:pPr>
              <w:ind w:right="32"/>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362.80</w:t>
            </w:r>
          </w:p>
        </w:tc>
        <w:tc>
          <w:tcPr>
            <w:tcW w:w="1408" w:type="dxa"/>
            <w:vAlign w:val="top"/>
          </w:tcPr>
          <w:p>
            <w:pPr>
              <w:ind w:right="26"/>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362.80</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ind w:right="27"/>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20.00</w:t>
            </w:r>
          </w:p>
        </w:tc>
      </w:tr>
      <w:tr>
        <w:trPr>
          <w:trHeight w:val="434" w:hRule="atLeast"/>
        </w:trPr>
        <w:tc>
          <w:tcPr>
            <w:tcW w:w="1566"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97" w:type="dxa"/>
            <w:vAlign w:val="top"/>
          </w:tcPr>
          <w:p>
            <w:pPr>
              <w:spacing w:before="136"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618" w:type="dxa"/>
            <w:vAlign w:val="top"/>
          </w:tcPr>
          <w:p>
            <w:pPr>
              <w:ind w:right="3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76.71</w:t>
            </w:r>
          </w:p>
        </w:tc>
        <w:tc>
          <w:tcPr>
            <w:tcW w:w="1408" w:type="dxa"/>
            <w:vAlign w:val="top"/>
          </w:tcPr>
          <w:p>
            <w:pPr>
              <w:ind w:right="26"/>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76.71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4" w:hRule="atLeast"/>
        </w:trPr>
        <w:tc>
          <w:tcPr>
            <w:tcW w:w="1566"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97" w:type="dxa"/>
            <w:vAlign w:val="top"/>
          </w:tcPr>
          <w:p>
            <w:pPr>
              <w:spacing w:before="137"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618" w:type="dxa"/>
            <w:vAlign w:val="top"/>
          </w:tcPr>
          <w:p>
            <w:pPr>
              <w:ind w:right="3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76.71</w:t>
            </w:r>
          </w:p>
        </w:tc>
        <w:tc>
          <w:tcPr>
            <w:tcW w:w="1408" w:type="dxa"/>
            <w:vAlign w:val="top"/>
          </w:tcPr>
          <w:p>
            <w:pPr>
              <w:ind w:right="26"/>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76.71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5" w:hRule="atLeast"/>
        </w:trPr>
        <w:tc>
          <w:tcPr>
            <w:tcW w:w="156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97"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1"/>
              </w:rPr>
              <w:t>行政单位离退休</w:t>
            </w:r>
          </w:p>
        </w:tc>
        <w:tc>
          <w:tcPr>
            <w:tcW w:w="161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39.85</w:t>
            </w:r>
          </w:p>
        </w:tc>
        <w:tc>
          <w:tcPr>
            <w:tcW w:w="140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39.85</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5" w:hRule="atLeast"/>
        </w:trPr>
        <w:tc>
          <w:tcPr>
            <w:tcW w:w="156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97" w:type="dxa"/>
            <w:vAlign w:val="top"/>
          </w:tcPr>
          <w:p>
            <w:pPr>
              <w:spacing w:before="138"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61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36.87</w:t>
            </w:r>
          </w:p>
        </w:tc>
        <w:tc>
          <w:tcPr>
            <w:tcW w:w="140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36.87</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5" w:hRule="atLeast"/>
        </w:trPr>
        <w:tc>
          <w:tcPr>
            <w:tcW w:w="156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97"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618"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23.57</w:t>
            </w:r>
          </w:p>
        </w:tc>
        <w:tc>
          <w:tcPr>
            <w:tcW w:w="140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23.57</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5" w:hRule="atLeast"/>
        </w:trPr>
        <w:tc>
          <w:tcPr>
            <w:tcW w:w="156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97"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618"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23.57</w:t>
            </w:r>
          </w:p>
        </w:tc>
        <w:tc>
          <w:tcPr>
            <w:tcW w:w="140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23.57</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5" w:hRule="atLeast"/>
        </w:trPr>
        <w:tc>
          <w:tcPr>
            <w:tcW w:w="156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97"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618"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15.61</w:t>
            </w:r>
          </w:p>
        </w:tc>
        <w:tc>
          <w:tcPr>
            <w:tcW w:w="1408" w:type="dxa"/>
            <w:vAlign w:val="top"/>
          </w:tcPr>
          <w:p>
            <w:pPr>
              <w:ind w:right="2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15.61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42" w:hRule="atLeast"/>
        </w:trPr>
        <w:tc>
          <w:tcPr>
            <w:tcW w:w="156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97"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618"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1.91</w:t>
            </w:r>
          </w:p>
        </w:tc>
        <w:tc>
          <w:tcPr>
            <w:tcW w:w="1408" w:type="dxa"/>
            <w:vAlign w:val="top"/>
          </w:tcPr>
          <w:p>
            <w:pPr>
              <w:ind w:right="2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1.91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bl>
    <w:p>
      <w:pPr>
        <w:pStyle w:val="BodyText"/>
        <w:rPr/>
      </w:pPr>
      <w:r/>
    </w:p>
    <w:p>
      <w:pPr>
        <w:sectPr>
          <w:headerReference w:type="default" r:id="rId9"/>
          <w:footerReference w:type="default" r:id="rId10"/>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66"/>
        <w:gridCol w:w="2997"/>
        <w:gridCol w:w="1618"/>
        <w:gridCol w:w="1408"/>
        <w:gridCol w:w="1049"/>
        <w:gridCol w:w="1258"/>
        <w:gridCol w:w="1258"/>
        <w:gridCol w:w="989"/>
        <w:gridCol w:w="1326"/>
      </w:tblGrid>
      <w:tr>
        <w:trPr>
          <w:trHeight w:val="438" w:hRule="atLeast"/>
        </w:trPr>
        <w:tc>
          <w:tcPr>
            <w:tcW w:w="156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97" w:type="dxa"/>
            <w:vAlign w:val="top"/>
          </w:tcPr>
          <w:p>
            <w:pPr>
              <w:ind w:left="4"/>
              <w:spacing w:before="115"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618"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6.04</w:t>
            </w:r>
          </w:p>
        </w:tc>
        <w:tc>
          <w:tcPr>
            <w:tcW w:w="1408" w:type="dxa"/>
            <w:vAlign w:val="top"/>
          </w:tcPr>
          <w:p>
            <w:pPr>
              <w:ind w:right="26"/>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6.04</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1" w:hRule="atLeast"/>
        </w:trPr>
        <w:tc>
          <w:tcPr>
            <w:tcW w:w="1566" w:type="dxa"/>
            <w:vAlign w:val="top"/>
          </w:tcPr>
          <w:p>
            <w:pPr>
              <w:ind w:left="9"/>
              <w:spacing w:before="113"/>
              <w:rPr>
                <w:rFonts w:ascii="SimSun" w:hAnsi="SimSun" w:eastAsia="SimSun" w:cs="SimSun"/>
                <w:sz w:val="18"/>
                <w:szCs w:val="18"/>
              </w:rPr>
            </w:pPr>
            <w:r>
              <w:rPr>
                <w:rFonts w:ascii="SimSun" w:hAnsi="SimSun" w:eastAsia="SimSun" w:cs="SimSun"/>
                <w:sz w:val="18"/>
                <w:szCs w:val="18"/>
                <w:color w:val="212529"/>
                <w:spacing w:val="-3"/>
              </w:rPr>
              <w:t>221</w:t>
            </w:r>
          </w:p>
        </w:tc>
        <w:tc>
          <w:tcPr>
            <w:tcW w:w="2997" w:type="dxa"/>
            <w:vAlign w:val="top"/>
          </w:tcPr>
          <w:p>
            <w:pPr>
              <w:spacing w:before="112"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618" w:type="dxa"/>
            <w:vAlign w:val="top"/>
          </w:tcPr>
          <w:p>
            <w:pPr>
              <w:ind w:right="31"/>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408" w:type="dxa"/>
            <w:vAlign w:val="top"/>
          </w:tcPr>
          <w:p>
            <w:pPr>
              <w:ind w:right="26"/>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1" w:hRule="atLeast"/>
        </w:trPr>
        <w:tc>
          <w:tcPr>
            <w:tcW w:w="1566" w:type="dxa"/>
            <w:vAlign w:val="top"/>
          </w:tcPr>
          <w:p>
            <w:pPr>
              <w:ind w:left="9"/>
              <w:spacing w:before="116"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97" w:type="dxa"/>
            <w:vAlign w:val="top"/>
          </w:tcPr>
          <w:p>
            <w:pPr>
              <w:spacing w:before="116"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618" w:type="dxa"/>
            <w:vAlign w:val="top"/>
          </w:tcPr>
          <w:p>
            <w:pPr>
              <w:ind w:right="31"/>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408" w:type="dxa"/>
            <w:vAlign w:val="top"/>
          </w:tcPr>
          <w:p>
            <w:pPr>
              <w:ind w:right="26"/>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r>
        <w:trPr>
          <w:trHeight w:val="439" w:hRule="atLeast"/>
        </w:trPr>
        <w:tc>
          <w:tcPr>
            <w:tcW w:w="156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97" w:type="dxa"/>
            <w:vAlign w:val="top"/>
          </w:tcPr>
          <w:p>
            <w:pPr>
              <w:spacing w:before="121"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618" w:type="dxa"/>
            <w:vAlign w:val="top"/>
          </w:tcPr>
          <w:p>
            <w:pPr>
              <w:ind w:right="31"/>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408" w:type="dxa"/>
            <w:vAlign w:val="top"/>
          </w:tcPr>
          <w:p>
            <w:pPr>
              <w:ind w:right="26"/>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31.21</w:t>
            </w:r>
          </w:p>
        </w:tc>
        <w:tc>
          <w:tcPr>
            <w:tcW w:w="1049" w:type="dxa"/>
            <w:vAlign w:val="top"/>
          </w:tcPr>
          <w:p>
            <w:pPr>
              <w:pStyle w:val="TableText"/>
              <w:rPr/>
            </w:pPr>
            <w:r/>
          </w:p>
        </w:tc>
        <w:tc>
          <w:tcPr>
            <w:tcW w:w="1258" w:type="dxa"/>
            <w:vAlign w:val="top"/>
          </w:tcPr>
          <w:p>
            <w:pPr>
              <w:pStyle w:val="TableText"/>
              <w:rPr/>
            </w:pPr>
            <w:r/>
          </w:p>
        </w:tc>
        <w:tc>
          <w:tcPr>
            <w:tcW w:w="1258" w:type="dxa"/>
            <w:vAlign w:val="top"/>
          </w:tcPr>
          <w:p>
            <w:pPr>
              <w:pStyle w:val="TableText"/>
              <w:rPr/>
            </w:pPr>
            <w:r/>
          </w:p>
        </w:tc>
        <w:tc>
          <w:tcPr>
            <w:tcW w:w="989" w:type="dxa"/>
            <w:vAlign w:val="top"/>
          </w:tcPr>
          <w:p>
            <w:pPr>
              <w:pStyle w:val="TableText"/>
              <w:rPr/>
            </w:pPr>
            <w:r/>
          </w:p>
        </w:tc>
        <w:tc>
          <w:tcPr>
            <w:tcW w:w="1326" w:type="dxa"/>
            <w:vAlign w:val="top"/>
          </w:tcPr>
          <w:p>
            <w:pPr>
              <w:pStyle w:val="TableText"/>
              <w:rPr/>
            </w:pPr>
            <w:r/>
          </w:p>
        </w:tc>
      </w:tr>
    </w:tbl>
    <w:p>
      <w:pPr>
        <w:pStyle w:val="BodyText"/>
        <w:rPr/>
      </w:pPr>
      <w:r/>
    </w:p>
    <w:p>
      <w:pPr>
        <w:sectPr>
          <w:headerReference w:type="default" r:id="rId11"/>
          <w:footerReference w:type="default" r:id="rId12"/>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98"/>
        <w:gridCol w:w="3110"/>
        <w:gridCol w:w="1501"/>
        <w:gridCol w:w="1372"/>
        <w:gridCol w:w="1377"/>
      </w:tblGrid>
      <w:tr>
        <w:trPr>
          <w:trHeight w:val="319" w:hRule="atLeast"/>
        </w:trPr>
        <w:tc>
          <w:tcPr>
            <w:tcW w:w="179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11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50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77" w:type="dxa"/>
            <w:vAlign w:val="top"/>
            <w:tcBorders>
              <w:bottom w:val="single" w:color="FFFFFF" w:sz="4" w:space="0"/>
              <w:top w:val="single" w:color="FFFFFF" w:sz="4" w:space="0"/>
              <w:left w:val="single" w:color="FFFFFF" w:sz="2" w:space="0"/>
              <w:right w:val="single" w:color="FFFFFF" w:sz="2" w:space="0"/>
            </w:tcBorders>
          </w:tcPr>
          <w:p>
            <w:pPr>
              <w:ind w:left="638"/>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38" w:id="11"/>
            <w:bookmarkEnd w:id="11"/>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3" w:hRule="atLeast"/>
        </w:trPr>
        <w:tc>
          <w:tcPr>
            <w:tcW w:w="6409" w:type="dxa"/>
            <w:vAlign w:val="top"/>
            <w:gridSpan w:val="3"/>
            <w:tcBorders>
              <w:top w:val="single" w:color="FFFFFF" w:sz="4" w:space="0"/>
              <w:left w:val="single" w:color="FFFFFF" w:sz="2" w:space="0"/>
              <w:right w:val="single" w:color="FFFFFF" w:sz="2" w:space="0"/>
            </w:tcBorders>
          </w:tcPr>
          <w:p>
            <w:pPr>
              <w:ind w:left="9"/>
              <w:spacing w:before="90" w:line="233"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372" w:type="dxa"/>
            <w:vAlign w:val="top"/>
            <w:tcBorders>
              <w:top w:val="single" w:color="FFFFFF" w:sz="4" w:space="0"/>
              <w:left w:val="single" w:color="FFFFFF" w:sz="2" w:space="0"/>
              <w:right w:val="single" w:color="FFFFFF" w:sz="2" w:space="0"/>
            </w:tcBorders>
          </w:tcPr>
          <w:p>
            <w:pPr>
              <w:pStyle w:val="TableText"/>
              <w:rPr/>
            </w:pPr>
            <w:r/>
          </w:p>
        </w:tc>
        <w:tc>
          <w:tcPr>
            <w:tcW w:w="1377" w:type="dxa"/>
            <w:vAlign w:val="top"/>
            <w:tcBorders>
              <w:top w:val="single" w:color="FFFFFF" w:sz="4" w:space="0"/>
              <w:left w:val="single" w:color="FFFFFF" w:sz="2" w:space="0"/>
              <w:right w:val="single" w:color="FFFFFF" w:sz="2" w:space="0"/>
            </w:tcBorders>
          </w:tcPr>
          <w:p>
            <w:pPr>
              <w:ind w:left="704"/>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08" w:type="dxa"/>
            <w:vAlign w:val="top"/>
            <w:gridSpan w:val="2"/>
          </w:tcPr>
          <w:p>
            <w:pPr>
              <w:ind w:left="2282"/>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250" w:type="dxa"/>
            <w:vAlign w:val="top"/>
            <w:gridSpan w:val="3"/>
          </w:tcPr>
          <w:p>
            <w:pPr>
              <w:ind w:left="1632"/>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98" w:type="dxa"/>
            <w:vAlign w:val="top"/>
          </w:tcPr>
          <w:p>
            <w:pPr>
              <w:ind w:left="558"/>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10" w:type="dxa"/>
            <w:vAlign w:val="top"/>
          </w:tcPr>
          <w:p>
            <w:pPr>
              <w:ind w:left="1216"/>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01" w:type="dxa"/>
            <w:vAlign w:val="top"/>
          </w:tcPr>
          <w:p>
            <w:pPr>
              <w:ind w:left="583"/>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72" w:type="dxa"/>
            <w:vAlign w:val="top"/>
          </w:tcPr>
          <w:p>
            <w:pPr>
              <w:ind w:left="352"/>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377" w:type="dxa"/>
            <w:vAlign w:val="top"/>
          </w:tcPr>
          <w:p>
            <w:pPr>
              <w:ind w:left="354"/>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08" w:type="dxa"/>
            <w:vAlign w:val="top"/>
            <w:gridSpan w:val="2"/>
          </w:tcPr>
          <w:p>
            <w:pPr>
              <w:ind w:left="2284"/>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01" w:type="dxa"/>
            <w:vAlign w:val="top"/>
          </w:tcPr>
          <w:p>
            <w:pPr>
              <w:pStyle w:val="TableText"/>
              <w:ind w:left="925"/>
              <w:spacing w:before="98" w:line="186" w:lineRule="auto"/>
              <w:rPr>
                <w:sz w:val="13"/>
                <w:szCs w:val="13"/>
              </w:rPr>
            </w:pPr>
            <w:r>
              <w:rPr>
                <w:sz w:val="13"/>
                <w:szCs w:val="13"/>
                <w:color w:val="212529"/>
                <w:spacing w:val="3"/>
              </w:rPr>
              <w:t>1063.</w:t>
            </w:r>
            <w:r>
              <w:rPr>
                <w:sz w:val="13"/>
                <w:szCs w:val="13"/>
                <w:color w:val="212529"/>
                <w:spacing w:val="18"/>
              </w:rPr>
              <w:t xml:space="preserve"> </w:t>
            </w:r>
            <w:r>
              <w:rPr>
                <w:sz w:val="13"/>
                <w:szCs w:val="13"/>
                <w:color w:val="212529"/>
                <w:spacing w:val="3"/>
              </w:rPr>
              <w:t>66</w:t>
            </w:r>
          </w:p>
        </w:tc>
        <w:tc>
          <w:tcPr>
            <w:tcW w:w="1372" w:type="dxa"/>
            <w:vAlign w:val="top"/>
          </w:tcPr>
          <w:p>
            <w:pPr>
              <w:pStyle w:val="TableText"/>
              <w:ind w:left="864"/>
              <w:spacing w:before="98" w:line="172" w:lineRule="auto"/>
              <w:rPr>
                <w:sz w:val="14"/>
                <w:szCs w:val="14"/>
              </w:rPr>
            </w:pPr>
            <w:r>
              <w:rPr>
                <w:sz w:val="14"/>
                <w:szCs w:val="14"/>
                <w:color w:val="212529"/>
              </w:rPr>
              <w:t>458.</w:t>
            </w:r>
            <w:r>
              <w:rPr>
                <w:sz w:val="14"/>
                <w:szCs w:val="14"/>
                <w:color w:val="212529"/>
                <w:spacing w:val="9"/>
              </w:rPr>
              <w:t xml:space="preserve"> </w:t>
            </w:r>
            <w:r>
              <w:rPr>
                <w:sz w:val="14"/>
                <w:szCs w:val="14"/>
                <w:color w:val="212529"/>
              </w:rPr>
              <w:t>46</w:t>
            </w:r>
          </w:p>
        </w:tc>
        <w:tc>
          <w:tcPr>
            <w:tcW w:w="1377" w:type="dxa"/>
            <w:vAlign w:val="top"/>
          </w:tcPr>
          <w:p>
            <w:pPr>
              <w:pStyle w:val="TableText"/>
              <w:ind w:left="865"/>
              <w:spacing w:before="98" w:line="172" w:lineRule="auto"/>
              <w:rPr>
                <w:sz w:val="14"/>
                <w:szCs w:val="14"/>
              </w:rPr>
            </w:pPr>
            <w:r>
              <w:rPr>
                <w:sz w:val="14"/>
                <w:szCs w:val="14"/>
                <w:color w:val="212529"/>
              </w:rPr>
              <w:t>605.</w:t>
            </w:r>
            <w:r>
              <w:rPr>
                <w:sz w:val="14"/>
                <w:szCs w:val="14"/>
                <w:color w:val="212529"/>
                <w:spacing w:val="7"/>
              </w:rPr>
              <w:t xml:space="preserve"> </w:t>
            </w:r>
            <w:r>
              <w:rPr>
                <w:sz w:val="14"/>
                <w:szCs w:val="14"/>
                <w:color w:val="212529"/>
              </w:rPr>
              <w:t>20</w:t>
            </w:r>
          </w:p>
        </w:tc>
      </w:tr>
      <w:tr>
        <w:trPr>
          <w:trHeight w:val="314" w:hRule="atLeast"/>
        </w:trPr>
        <w:tc>
          <w:tcPr>
            <w:tcW w:w="1798"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110" w:type="dxa"/>
            <w:vAlign w:val="top"/>
          </w:tcPr>
          <w:p>
            <w:pPr>
              <w:ind w:left="1"/>
              <w:spacing w:before="79"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501" w:type="dxa"/>
            <w:vAlign w:val="top"/>
          </w:tcPr>
          <w:p>
            <w:pPr>
              <w:ind w:right="17"/>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932.17</w:t>
            </w:r>
          </w:p>
        </w:tc>
        <w:tc>
          <w:tcPr>
            <w:tcW w:w="1372" w:type="dxa"/>
            <w:vAlign w:val="top"/>
          </w:tcPr>
          <w:p>
            <w:pPr>
              <w:pStyle w:val="TableText"/>
              <w:ind w:left="867"/>
              <w:spacing w:before="98" w:line="186" w:lineRule="auto"/>
              <w:rPr>
                <w:sz w:val="13"/>
                <w:szCs w:val="13"/>
              </w:rPr>
            </w:pPr>
            <w:r>
              <w:rPr>
                <w:sz w:val="13"/>
                <w:szCs w:val="13"/>
                <w:color w:val="212529"/>
                <w:spacing w:val="4"/>
              </w:rPr>
              <w:t>326.</w:t>
            </w:r>
            <w:r>
              <w:rPr>
                <w:sz w:val="13"/>
                <w:szCs w:val="13"/>
                <w:color w:val="212529"/>
                <w:spacing w:val="13"/>
                <w:w w:val="102"/>
              </w:rPr>
              <w:t xml:space="preserve"> </w:t>
            </w:r>
            <w:r>
              <w:rPr>
                <w:sz w:val="13"/>
                <w:szCs w:val="13"/>
                <w:color w:val="212529"/>
                <w:spacing w:val="4"/>
              </w:rPr>
              <w:t>97</w:t>
            </w:r>
          </w:p>
        </w:tc>
        <w:tc>
          <w:tcPr>
            <w:tcW w:w="1377" w:type="dxa"/>
            <w:vAlign w:val="top"/>
          </w:tcPr>
          <w:p>
            <w:pPr>
              <w:pStyle w:val="TableText"/>
              <w:ind w:left="865"/>
              <w:spacing w:before="99" w:line="172" w:lineRule="auto"/>
              <w:rPr>
                <w:sz w:val="14"/>
                <w:szCs w:val="14"/>
              </w:rPr>
            </w:pPr>
            <w:r>
              <w:rPr>
                <w:sz w:val="14"/>
                <w:szCs w:val="14"/>
                <w:color w:val="212529"/>
              </w:rPr>
              <w:t>605.</w:t>
            </w:r>
            <w:r>
              <w:rPr>
                <w:sz w:val="14"/>
                <w:szCs w:val="14"/>
                <w:color w:val="212529"/>
                <w:spacing w:val="7"/>
              </w:rPr>
              <w:t xml:space="preserve"> </w:t>
            </w:r>
            <w:r>
              <w:rPr>
                <w:sz w:val="14"/>
                <w:szCs w:val="14"/>
                <w:color w:val="212529"/>
              </w:rPr>
              <w:t>20</w:t>
            </w:r>
          </w:p>
        </w:tc>
      </w:tr>
      <w:tr>
        <w:trPr>
          <w:trHeight w:val="314" w:hRule="atLeast"/>
        </w:trPr>
        <w:tc>
          <w:tcPr>
            <w:tcW w:w="1798"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20101</w:t>
            </w:r>
          </w:p>
        </w:tc>
        <w:tc>
          <w:tcPr>
            <w:tcW w:w="3110"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9"/>
              </w:rPr>
              <w:t>人大事务</w:t>
            </w:r>
          </w:p>
        </w:tc>
        <w:tc>
          <w:tcPr>
            <w:tcW w:w="1501" w:type="dxa"/>
            <w:vAlign w:val="top"/>
          </w:tcPr>
          <w:p>
            <w:pPr>
              <w:ind w:right="17"/>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932.17</w:t>
            </w:r>
          </w:p>
        </w:tc>
        <w:tc>
          <w:tcPr>
            <w:tcW w:w="1372" w:type="dxa"/>
            <w:vAlign w:val="top"/>
          </w:tcPr>
          <w:p>
            <w:pPr>
              <w:pStyle w:val="TableText"/>
              <w:ind w:left="867"/>
              <w:spacing w:before="98" w:line="186" w:lineRule="auto"/>
              <w:rPr>
                <w:sz w:val="13"/>
                <w:szCs w:val="13"/>
              </w:rPr>
            </w:pPr>
            <w:r>
              <w:rPr>
                <w:sz w:val="13"/>
                <w:szCs w:val="13"/>
                <w:color w:val="212529"/>
                <w:spacing w:val="4"/>
              </w:rPr>
              <w:t>326.</w:t>
            </w:r>
            <w:r>
              <w:rPr>
                <w:sz w:val="13"/>
                <w:szCs w:val="13"/>
                <w:color w:val="212529"/>
                <w:spacing w:val="13"/>
                <w:w w:val="102"/>
              </w:rPr>
              <w:t xml:space="preserve"> </w:t>
            </w:r>
            <w:r>
              <w:rPr>
                <w:sz w:val="13"/>
                <w:szCs w:val="13"/>
                <w:color w:val="212529"/>
                <w:spacing w:val="4"/>
              </w:rPr>
              <w:t>97</w:t>
            </w:r>
          </w:p>
        </w:tc>
        <w:tc>
          <w:tcPr>
            <w:tcW w:w="1377" w:type="dxa"/>
            <w:vAlign w:val="top"/>
          </w:tcPr>
          <w:p>
            <w:pPr>
              <w:pStyle w:val="TableText"/>
              <w:ind w:left="865"/>
              <w:spacing w:before="99" w:line="172" w:lineRule="auto"/>
              <w:rPr>
                <w:sz w:val="14"/>
                <w:szCs w:val="14"/>
              </w:rPr>
            </w:pPr>
            <w:r>
              <w:rPr>
                <w:sz w:val="14"/>
                <w:szCs w:val="14"/>
                <w:color w:val="212529"/>
              </w:rPr>
              <w:t>605.</w:t>
            </w:r>
            <w:r>
              <w:rPr>
                <w:sz w:val="14"/>
                <w:szCs w:val="14"/>
                <w:color w:val="212529"/>
                <w:spacing w:val="7"/>
              </w:rPr>
              <w:t xml:space="preserve"> </w:t>
            </w:r>
            <w:r>
              <w:rPr>
                <w:sz w:val="14"/>
                <w:szCs w:val="14"/>
                <w:color w:val="212529"/>
              </w:rPr>
              <w:t>20</w:t>
            </w:r>
          </w:p>
        </w:tc>
      </w:tr>
      <w:tr>
        <w:trPr>
          <w:trHeight w:val="314" w:hRule="atLeast"/>
        </w:trPr>
        <w:tc>
          <w:tcPr>
            <w:tcW w:w="1798"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2010101</w:t>
            </w:r>
          </w:p>
        </w:tc>
        <w:tc>
          <w:tcPr>
            <w:tcW w:w="3110" w:type="dxa"/>
            <w:vAlign w:val="top"/>
          </w:tcPr>
          <w:p>
            <w:pPr>
              <w:spacing w:before="80"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01" w:type="dxa"/>
            <w:vAlign w:val="top"/>
          </w:tcPr>
          <w:p>
            <w:pPr>
              <w:ind w:right="17"/>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293.64</w:t>
            </w:r>
          </w:p>
        </w:tc>
        <w:tc>
          <w:tcPr>
            <w:tcW w:w="1372" w:type="dxa"/>
            <w:vAlign w:val="top"/>
          </w:tcPr>
          <w:p>
            <w:pPr>
              <w:ind w:right="18"/>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293.64</w:t>
            </w:r>
          </w:p>
        </w:tc>
        <w:tc>
          <w:tcPr>
            <w:tcW w:w="1377" w:type="dxa"/>
            <w:vAlign w:val="top"/>
          </w:tcPr>
          <w:p>
            <w:pPr>
              <w:pStyle w:val="TableText"/>
              <w:rPr/>
            </w:pPr>
            <w:r/>
          </w:p>
        </w:tc>
      </w:tr>
      <w:tr>
        <w:trPr>
          <w:trHeight w:val="314" w:hRule="atLeast"/>
        </w:trPr>
        <w:tc>
          <w:tcPr>
            <w:tcW w:w="1798"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2010104</w:t>
            </w:r>
          </w:p>
        </w:tc>
        <w:tc>
          <w:tcPr>
            <w:tcW w:w="3110" w:type="dxa"/>
            <w:vAlign w:val="top"/>
          </w:tcPr>
          <w:p>
            <w:pPr>
              <w:spacing w:before="80" w:line="228" w:lineRule="auto"/>
              <w:rPr>
                <w:rFonts w:ascii="SimSun" w:hAnsi="SimSun" w:eastAsia="SimSun" w:cs="SimSun"/>
                <w:sz w:val="15"/>
                <w:szCs w:val="15"/>
              </w:rPr>
            </w:pPr>
            <w:r>
              <w:rPr>
                <w:rFonts w:ascii="SimSun" w:hAnsi="SimSun" w:eastAsia="SimSun" w:cs="SimSun"/>
                <w:sz w:val="15"/>
                <w:szCs w:val="15"/>
                <w:color w:val="212529"/>
                <w:spacing w:val="9"/>
              </w:rPr>
              <w:t>人大会议</w:t>
            </w:r>
          </w:p>
        </w:tc>
        <w:tc>
          <w:tcPr>
            <w:tcW w:w="1501" w:type="dxa"/>
            <w:vAlign w:val="top"/>
          </w:tcPr>
          <w:p>
            <w:pPr>
              <w:ind w:right="17"/>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56.30</w:t>
            </w:r>
          </w:p>
        </w:tc>
        <w:tc>
          <w:tcPr>
            <w:tcW w:w="1372" w:type="dxa"/>
            <w:vAlign w:val="top"/>
          </w:tcPr>
          <w:p>
            <w:pPr>
              <w:pStyle w:val="TableText"/>
              <w:rPr/>
            </w:pPr>
            <w:r/>
          </w:p>
        </w:tc>
        <w:tc>
          <w:tcPr>
            <w:tcW w:w="1377"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56.30</w:t>
            </w:r>
          </w:p>
        </w:tc>
      </w:tr>
      <w:tr>
        <w:trPr>
          <w:trHeight w:val="314" w:hRule="atLeast"/>
        </w:trPr>
        <w:tc>
          <w:tcPr>
            <w:tcW w:w="1798"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2010107</w:t>
            </w:r>
          </w:p>
        </w:tc>
        <w:tc>
          <w:tcPr>
            <w:tcW w:w="3110" w:type="dxa"/>
            <w:vAlign w:val="top"/>
          </w:tcPr>
          <w:p>
            <w:pPr>
              <w:spacing w:before="80" w:line="229" w:lineRule="auto"/>
              <w:rPr>
                <w:rFonts w:ascii="SimSun" w:hAnsi="SimSun" w:eastAsia="SimSun" w:cs="SimSun"/>
                <w:sz w:val="15"/>
                <w:szCs w:val="15"/>
              </w:rPr>
            </w:pPr>
            <w:r>
              <w:rPr>
                <w:rFonts w:ascii="SimSun" w:hAnsi="SimSun" w:eastAsia="SimSun" w:cs="SimSun"/>
                <w:sz w:val="15"/>
                <w:szCs w:val="15"/>
                <w:color w:val="212529"/>
                <w:spacing w:val="11"/>
              </w:rPr>
              <w:t>人大代表履职能力提升</w:t>
            </w:r>
          </w:p>
        </w:tc>
        <w:tc>
          <w:tcPr>
            <w:tcW w:w="1501" w:type="dxa"/>
            <w:vAlign w:val="top"/>
          </w:tcPr>
          <w:p>
            <w:pPr>
              <w:ind w:right="17"/>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372" w:type="dxa"/>
            <w:vAlign w:val="top"/>
          </w:tcPr>
          <w:p>
            <w:pPr>
              <w:pStyle w:val="TableText"/>
              <w:rPr/>
            </w:pPr>
            <w:r/>
          </w:p>
        </w:tc>
        <w:tc>
          <w:tcPr>
            <w:tcW w:w="1377"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r>
        <w:trPr>
          <w:trHeight w:val="314" w:hRule="atLeast"/>
        </w:trPr>
        <w:tc>
          <w:tcPr>
            <w:tcW w:w="1798"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2010108</w:t>
            </w:r>
          </w:p>
        </w:tc>
        <w:tc>
          <w:tcPr>
            <w:tcW w:w="3110" w:type="dxa"/>
            <w:vAlign w:val="top"/>
          </w:tcPr>
          <w:p>
            <w:pPr>
              <w:spacing w:before="81" w:line="229" w:lineRule="auto"/>
              <w:rPr>
                <w:rFonts w:ascii="SimSun" w:hAnsi="SimSun" w:eastAsia="SimSun" w:cs="SimSun"/>
                <w:sz w:val="15"/>
                <w:szCs w:val="15"/>
              </w:rPr>
            </w:pPr>
            <w:r>
              <w:rPr>
                <w:rFonts w:ascii="SimSun" w:hAnsi="SimSun" w:eastAsia="SimSun" w:cs="SimSun"/>
                <w:sz w:val="15"/>
                <w:szCs w:val="15"/>
                <w:color w:val="212529"/>
                <w:spacing w:val="9"/>
              </w:rPr>
              <w:t>代表工作</w:t>
            </w:r>
          </w:p>
        </w:tc>
        <w:tc>
          <w:tcPr>
            <w:tcW w:w="1501" w:type="dxa"/>
            <w:vAlign w:val="top"/>
          </w:tcPr>
          <w:p>
            <w:pPr>
              <w:ind w:right="17"/>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126.10</w:t>
            </w:r>
          </w:p>
        </w:tc>
        <w:tc>
          <w:tcPr>
            <w:tcW w:w="1372" w:type="dxa"/>
            <w:vAlign w:val="top"/>
          </w:tcPr>
          <w:p>
            <w:pPr>
              <w:pStyle w:val="TableText"/>
              <w:rPr/>
            </w:pPr>
            <w:r/>
          </w:p>
        </w:tc>
        <w:tc>
          <w:tcPr>
            <w:tcW w:w="1377"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126.10</w:t>
            </w:r>
          </w:p>
        </w:tc>
      </w:tr>
      <w:tr>
        <w:trPr>
          <w:trHeight w:val="314" w:hRule="atLeast"/>
        </w:trPr>
        <w:tc>
          <w:tcPr>
            <w:tcW w:w="1798"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2010150</w:t>
            </w:r>
          </w:p>
        </w:tc>
        <w:tc>
          <w:tcPr>
            <w:tcW w:w="3110" w:type="dxa"/>
            <w:vAlign w:val="top"/>
          </w:tcPr>
          <w:p>
            <w:pPr>
              <w:ind w:left="1"/>
              <w:spacing w:before="81"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01" w:type="dxa"/>
            <w:vAlign w:val="top"/>
          </w:tcPr>
          <w:p>
            <w:pPr>
              <w:ind w:right="17"/>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33.33</w:t>
            </w:r>
          </w:p>
        </w:tc>
        <w:tc>
          <w:tcPr>
            <w:tcW w:w="1372" w:type="dxa"/>
            <w:vAlign w:val="top"/>
          </w:tcPr>
          <w:p>
            <w:pPr>
              <w:ind w:right="18"/>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33.33</w:t>
            </w:r>
          </w:p>
        </w:tc>
        <w:tc>
          <w:tcPr>
            <w:tcW w:w="1377" w:type="dxa"/>
            <w:vAlign w:val="top"/>
          </w:tcPr>
          <w:p>
            <w:pPr>
              <w:pStyle w:val="TableText"/>
              <w:rPr/>
            </w:pPr>
            <w:r/>
          </w:p>
        </w:tc>
      </w:tr>
      <w:tr>
        <w:trPr>
          <w:trHeight w:val="314" w:hRule="atLeast"/>
        </w:trPr>
        <w:tc>
          <w:tcPr>
            <w:tcW w:w="1798"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2010199</w:t>
            </w:r>
          </w:p>
        </w:tc>
        <w:tc>
          <w:tcPr>
            <w:tcW w:w="3110" w:type="dxa"/>
            <w:vAlign w:val="top"/>
          </w:tcPr>
          <w:p>
            <w:pPr>
              <w:spacing w:before="82" w:line="229" w:lineRule="auto"/>
              <w:rPr>
                <w:rFonts w:ascii="SimSun" w:hAnsi="SimSun" w:eastAsia="SimSun" w:cs="SimSun"/>
                <w:sz w:val="15"/>
                <w:szCs w:val="15"/>
              </w:rPr>
            </w:pPr>
            <w:r>
              <w:rPr>
                <w:rFonts w:ascii="SimSun" w:hAnsi="SimSun" w:eastAsia="SimSun" w:cs="SimSun"/>
                <w:sz w:val="15"/>
                <w:szCs w:val="15"/>
                <w:color w:val="212529"/>
                <w:spacing w:val="10"/>
              </w:rPr>
              <w:t>其他人大事务支出</w:t>
            </w:r>
          </w:p>
        </w:tc>
        <w:tc>
          <w:tcPr>
            <w:tcW w:w="1501" w:type="dxa"/>
            <w:vAlign w:val="top"/>
          </w:tcPr>
          <w:p>
            <w:pPr>
              <w:ind w:right="17"/>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382.80</w:t>
            </w:r>
          </w:p>
        </w:tc>
        <w:tc>
          <w:tcPr>
            <w:tcW w:w="1372" w:type="dxa"/>
            <w:vAlign w:val="top"/>
          </w:tcPr>
          <w:p>
            <w:pPr>
              <w:pStyle w:val="TableText"/>
              <w:rPr/>
            </w:pPr>
            <w:r/>
          </w:p>
        </w:tc>
        <w:tc>
          <w:tcPr>
            <w:tcW w:w="1377" w:type="dxa"/>
            <w:vAlign w:val="top"/>
          </w:tcPr>
          <w:p>
            <w:pPr>
              <w:ind w:right="24"/>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382.80</w:t>
            </w:r>
          </w:p>
        </w:tc>
      </w:tr>
      <w:tr>
        <w:trPr>
          <w:trHeight w:val="314" w:hRule="atLeast"/>
        </w:trPr>
        <w:tc>
          <w:tcPr>
            <w:tcW w:w="1798"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10" w:type="dxa"/>
            <w:vAlign w:val="top"/>
          </w:tcPr>
          <w:p>
            <w:pPr>
              <w:ind w:left="1"/>
              <w:spacing w:before="82"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01" w:type="dxa"/>
            <w:vAlign w:val="top"/>
          </w:tcPr>
          <w:p>
            <w:pPr>
              <w:ind w:right="17"/>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76.71</w:t>
            </w:r>
          </w:p>
        </w:tc>
        <w:tc>
          <w:tcPr>
            <w:tcW w:w="1372" w:type="dxa"/>
            <w:vAlign w:val="top"/>
          </w:tcPr>
          <w:p>
            <w:pPr>
              <w:pStyle w:val="TableText"/>
              <w:rPr/>
            </w:pPr>
            <w:r/>
          </w:p>
        </w:tc>
        <w:tc>
          <w:tcPr>
            <w:tcW w:w="1377" w:type="dxa"/>
            <w:vAlign w:val="top"/>
          </w:tcPr>
          <w:p>
            <w:pPr>
              <w:pStyle w:val="TableText"/>
              <w:rPr/>
            </w:pPr>
            <w:r/>
          </w:p>
        </w:tc>
      </w:tr>
      <w:tr>
        <w:trPr>
          <w:trHeight w:val="314" w:hRule="atLeast"/>
        </w:trPr>
        <w:tc>
          <w:tcPr>
            <w:tcW w:w="1798"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10" w:type="dxa"/>
            <w:vAlign w:val="top"/>
          </w:tcPr>
          <w:p>
            <w:pPr>
              <w:spacing w:before="82"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01" w:type="dxa"/>
            <w:vAlign w:val="top"/>
          </w:tcPr>
          <w:p>
            <w:pPr>
              <w:ind w:right="17"/>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76.71</w:t>
            </w:r>
          </w:p>
        </w:tc>
        <w:tc>
          <w:tcPr>
            <w:tcW w:w="1372" w:type="dxa"/>
            <w:vAlign w:val="top"/>
          </w:tcPr>
          <w:p>
            <w:pPr>
              <w:pStyle w:val="TableText"/>
              <w:ind w:left="949"/>
              <w:spacing w:before="101" w:line="186" w:lineRule="auto"/>
              <w:rPr>
                <w:sz w:val="13"/>
                <w:szCs w:val="13"/>
              </w:rPr>
            </w:pPr>
            <w:r>
              <w:rPr>
                <w:sz w:val="13"/>
                <w:szCs w:val="13"/>
                <w:color w:val="212529"/>
                <w:spacing w:val="3"/>
              </w:rPr>
              <w:t>76.</w:t>
            </w:r>
            <w:r>
              <w:rPr>
                <w:sz w:val="13"/>
                <w:szCs w:val="13"/>
                <w:color w:val="212529"/>
                <w:spacing w:val="3"/>
              </w:rPr>
              <w:t xml:space="preserve"> </w:t>
            </w:r>
            <w:r>
              <w:rPr>
                <w:sz w:val="13"/>
                <w:szCs w:val="13"/>
                <w:color w:val="212529"/>
                <w:spacing w:val="3"/>
              </w:rPr>
              <w:t>71</w:t>
            </w:r>
          </w:p>
        </w:tc>
        <w:tc>
          <w:tcPr>
            <w:tcW w:w="1377" w:type="dxa"/>
            <w:vAlign w:val="top"/>
          </w:tcPr>
          <w:p>
            <w:pPr>
              <w:pStyle w:val="TableText"/>
              <w:rPr/>
            </w:pPr>
            <w:r/>
          </w:p>
        </w:tc>
      </w:tr>
      <w:tr>
        <w:trPr>
          <w:trHeight w:val="314" w:hRule="atLeast"/>
        </w:trPr>
        <w:tc>
          <w:tcPr>
            <w:tcW w:w="1798"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110" w:type="dxa"/>
            <w:vAlign w:val="top"/>
          </w:tcPr>
          <w:p>
            <w:pPr>
              <w:spacing w:before="83"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01" w:type="dxa"/>
            <w:vAlign w:val="top"/>
          </w:tcPr>
          <w:p>
            <w:pPr>
              <w:ind w:right="17"/>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372" w:type="dxa"/>
            <w:vAlign w:val="top"/>
          </w:tcPr>
          <w:p>
            <w:pPr>
              <w:ind w:right="18"/>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377" w:type="dxa"/>
            <w:vAlign w:val="top"/>
          </w:tcPr>
          <w:p>
            <w:pPr>
              <w:pStyle w:val="TableText"/>
              <w:rPr/>
            </w:pPr>
            <w:r/>
          </w:p>
        </w:tc>
      </w:tr>
      <w:tr>
        <w:trPr>
          <w:trHeight w:val="314" w:hRule="atLeast"/>
        </w:trPr>
        <w:tc>
          <w:tcPr>
            <w:tcW w:w="1798"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10" w:type="dxa"/>
            <w:vAlign w:val="top"/>
          </w:tcPr>
          <w:p>
            <w:pPr>
              <w:spacing w:before="8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01" w:type="dxa"/>
            <w:vAlign w:val="top"/>
          </w:tcPr>
          <w:p>
            <w:pPr>
              <w:ind w:right="17"/>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36.87</w:t>
            </w:r>
          </w:p>
        </w:tc>
        <w:tc>
          <w:tcPr>
            <w:tcW w:w="1372" w:type="dxa"/>
            <w:vAlign w:val="top"/>
          </w:tcPr>
          <w:p>
            <w:pPr>
              <w:ind w:right="18"/>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36.87</w:t>
            </w:r>
          </w:p>
        </w:tc>
        <w:tc>
          <w:tcPr>
            <w:tcW w:w="1377" w:type="dxa"/>
            <w:vAlign w:val="top"/>
          </w:tcPr>
          <w:p>
            <w:pPr>
              <w:pStyle w:val="TableText"/>
              <w:rPr/>
            </w:pPr>
            <w:r/>
          </w:p>
        </w:tc>
      </w:tr>
      <w:tr>
        <w:trPr>
          <w:trHeight w:val="314" w:hRule="atLeast"/>
        </w:trPr>
        <w:tc>
          <w:tcPr>
            <w:tcW w:w="1798"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10" w:type="dxa"/>
            <w:vAlign w:val="top"/>
          </w:tcPr>
          <w:p>
            <w:pPr>
              <w:ind w:left="1"/>
              <w:spacing w:before="83"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01" w:type="dxa"/>
            <w:vAlign w:val="top"/>
          </w:tcPr>
          <w:p>
            <w:pPr>
              <w:ind w:right="17"/>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372" w:type="dxa"/>
            <w:vAlign w:val="top"/>
          </w:tcPr>
          <w:p>
            <w:pPr>
              <w:pStyle w:val="TableText"/>
              <w:ind w:left="947"/>
              <w:spacing w:before="102" w:line="186" w:lineRule="auto"/>
              <w:rPr>
                <w:sz w:val="13"/>
                <w:szCs w:val="13"/>
              </w:rPr>
            </w:pPr>
            <w:r>
              <w:rPr>
                <w:sz w:val="13"/>
                <w:szCs w:val="13"/>
                <w:color w:val="212529"/>
                <w:spacing w:val="4"/>
              </w:rPr>
              <w:t>23.</w:t>
            </w:r>
            <w:r>
              <w:rPr>
                <w:sz w:val="13"/>
                <w:szCs w:val="13"/>
                <w:color w:val="212529"/>
                <w:spacing w:val="10"/>
                <w:w w:val="101"/>
              </w:rPr>
              <w:t xml:space="preserve"> </w:t>
            </w:r>
            <w:r>
              <w:rPr>
                <w:sz w:val="13"/>
                <w:szCs w:val="13"/>
                <w:color w:val="212529"/>
                <w:spacing w:val="4"/>
              </w:rPr>
              <w:t>57</w:t>
            </w:r>
          </w:p>
        </w:tc>
        <w:tc>
          <w:tcPr>
            <w:tcW w:w="1377" w:type="dxa"/>
            <w:vAlign w:val="top"/>
          </w:tcPr>
          <w:p>
            <w:pPr>
              <w:pStyle w:val="TableText"/>
              <w:rPr/>
            </w:pPr>
            <w:r/>
          </w:p>
        </w:tc>
      </w:tr>
      <w:tr>
        <w:trPr>
          <w:trHeight w:val="314" w:hRule="atLeast"/>
        </w:trPr>
        <w:tc>
          <w:tcPr>
            <w:tcW w:w="1798"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10" w:type="dxa"/>
            <w:vAlign w:val="top"/>
          </w:tcPr>
          <w:p>
            <w:pPr>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01" w:type="dxa"/>
            <w:vAlign w:val="top"/>
          </w:tcPr>
          <w:p>
            <w:pPr>
              <w:ind w:right="17"/>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372" w:type="dxa"/>
            <w:vAlign w:val="top"/>
          </w:tcPr>
          <w:p>
            <w:pPr>
              <w:pStyle w:val="TableText"/>
              <w:ind w:left="947"/>
              <w:spacing w:before="103" w:line="186" w:lineRule="auto"/>
              <w:rPr>
                <w:sz w:val="13"/>
                <w:szCs w:val="13"/>
              </w:rPr>
            </w:pPr>
            <w:r>
              <w:rPr>
                <w:sz w:val="13"/>
                <w:szCs w:val="13"/>
                <w:color w:val="212529"/>
                <w:spacing w:val="4"/>
              </w:rPr>
              <w:t>23.</w:t>
            </w:r>
            <w:r>
              <w:rPr>
                <w:sz w:val="13"/>
                <w:szCs w:val="13"/>
                <w:color w:val="212529"/>
                <w:spacing w:val="10"/>
                <w:w w:val="101"/>
              </w:rPr>
              <w:t xml:space="preserve"> </w:t>
            </w:r>
            <w:r>
              <w:rPr>
                <w:sz w:val="13"/>
                <w:szCs w:val="13"/>
                <w:color w:val="212529"/>
                <w:spacing w:val="4"/>
              </w:rPr>
              <w:t>57</w:t>
            </w:r>
          </w:p>
        </w:tc>
        <w:tc>
          <w:tcPr>
            <w:tcW w:w="1377" w:type="dxa"/>
            <w:vAlign w:val="top"/>
          </w:tcPr>
          <w:p>
            <w:pPr>
              <w:pStyle w:val="TableText"/>
              <w:rPr/>
            </w:pPr>
            <w:r/>
          </w:p>
        </w:tc>
      </w:tr>
      <w:tr>
        <w:trPr>
          <w:trHeight w:val="314" w:hRule="atLeast"/>
        </w:trPr>
        <w:tc>
          <w:tcPr>
            <w:tcW w:w="1798"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110" w:type="dxa"/>
            <w:vAlign w:val="top"/>
          </w:tcPr>
          <w:p>
            <w:pPr>
              <w:spacing w:before="84"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01" w:type="dxa"/>
            <w:vAlign w:val="top"/>
          </w:tcPr>
          <w:p>
            <w:pPr>
              <w:ind w:right="17"/>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15.61</w:t>
            </w:r>
          </w:p>
        </w:tc>
        <w:tc>
          <w:tcPr>
            <w:tcW w:w="1372" w:type="dxa"/>
            <w:vAlign w:val="top"/>
          </w:tcPr>
          <w:p>
            <w:pPr>
              <w:ind w:right="18"/>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15.61</w:t>
            </w:r>
          </w:p>
        </w:tc>
        <w:tc>
          <w:tcPr>
            <w:tcW w:w="1377" w:type="dxa"/>
            <w:vAlign w:val="top"/>
          </w:tcPr>
          <w:p>
            <w:pPr>
              <w:pStyle w:val="TableText"/>
              <w:rPr/>
            </w:pPr>
            <w:r/>
          </w:p>
        </w:tc>
      </w:tr>
      <w:tr>
        <w:trPr>
          <w:trHeight w:val="314" w:hRule="atLeast"/>
        </w:trPr>
        <w:tc>
          <w:tcPr>
            <w:tcW w:w="1798"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10" w:type="dxa"/>
            <w:vAlign w:val="top"/>
          </w:tcPr>
          <w:p>
            <w:pPr>
              <w:ind w:left="1"/>
              <w:spacing w:before="8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01" w:type="dxa"/>
            <w:vAlign w:val="top"/>
          </w:tcPr>
          <w:p>
            <w:pPr>
              <w:ind w:right="17"/>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1.91</w:t>
            </w:r>
          </w:p>
        </w:tc>
        <w:tc>
          <w:tcPr>
            <w:tcW w:w="1372" w:type="dxa"/>
            <w:vAlign w:val="top"/>
          </w:tcPr>
          <w:p>
            <w:pPr>
              <w:ind w:right="18"/>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1.91</w:t>
            </w:r>
          </w:p>
        </w:tc>
        <w:tc>
          <w:tcPr>
            <w:tcW w:w="1377" w:type="dxa"/>
            <w:vAlign w:val="top"/>
          </w:tcPr>
          <w:p>
            <w:pPr>
              <w:pStyle w:val="TableText"/>
              <w:rPr/>
            </w:pPr>
            <w:r/>
          </w:p>
        </w:tc>
      </w:tr>
      <w:tr>
        <w:trPr>
          <w:trHeight w:val="314" w:hRule="atLeast"/>
        </w:trPr>
        <w:tc>
          <w:tcPr>
            <w:tcW w:w="1798"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110"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01" w:type="dxa"/>
            <w:vAlign w:val="top"/>
          </w:tcPr>
          <w:p>
            <w:pPr>
              <w:ind w:right="17"/>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6.04</w:t>
            </w:r>
          </w:p>
        </w:tc>
        <w:tc>
          <w:tcPr>
            <w:tcW w:w="1372" w:type="dxa"/>
            <w:vAlign w:val="top"/>
          </w:tcPr>
          <w:p>
            <w:pPr>
              <w:ind w:right="18"/>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6.04</w:t>
            </w:r>
          </w:p>
        </w:tc>
        <w:tc>
          <w:tcPr>
            <w:tcW w:w="1377" w:type="dxa"/>
            <w:vAlign w:val="top"/>
          </w:tcPr>
          <w:p>
            <w:pPr>
              <w:pStyle w:val="TableText"/>
              <w:rPr/>
            </w:pPr>
            <w:r/>
          </w:p>
        </w:tc>
      </w:tr>
      <w:tr>
        <w:trPr>
          <w:trHeight w:val="314" w:hRule="atLeast"/>
        </w:trPr>
        <w:tc>
          <w:tcPr>
            <w:tcW w:w="1798" w:type="dxa"/>
            <w:vAlign w:val="top"/>
          </w:tcPr>
          <w:p>
            <w:pPr>
              <w:ind w:left="8"/>
              <w:spacing w:before="8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10" w:type="dxa"/>
            <w:vAlign w:val="top"/>
          </w:tcPr>
          <w:p>
            <w:pPr>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01" w:type="dxa"/>
            <w:vAlign w:val="top"/>
          </w:tcPr>
          <w:p>
            <w:pPr>
              <w:ind w:right="17"/>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72" w:type="dxa"/>
            <w:vAlign w:val="top"/>
          </w:tcPr>
          <w:p>
            <w:pPr>
              <w:pStyle w:val="TableText"/>
              <w:ind w:left="949"/>
              <w:spacing w:before="103" w:line="187" w:lineRule="auto"/>
              <w:rPr>
                <w:sz w:val="13"/>
                <w:szCs w:val="13"/>
              </w:rPr>
            </w:pPr>
            <w:r>
              <w:rPr>
                <w:sz w:val="13"/>
                <w:szCs w:val="13"/>
                <w:color w:val="212529"/>
                <w:spacing w:val="3"/>
              </w:rPr>
              <w:t>31.</w:t>
            </w:r>
            <w:r>
              <w:rPr>
                <w:sz w:val="13"/>
                <w:szCs w:val="13"/>
                <w:color w:val="212529"/>
                <w:spacing w:val="3"/>
              </w:rPr>
              <w:t xml:space="preserve"> </w:t>
            </w:r>
            <w:r>
              <w:rPr>
                <w:sz w:val="13"/>
                <w:szCs w:val="13"/>
                <w:color w:val="212529"/>
                <w:spacing w:val="3"/>
              </w:rPr>
              <w:t>21</w:t>
            </w:r>
          </w:p>
        </w:tc>
        <w:tc>
          <w:tcPr>
            <w:tcW w:w="1377" w:type="dxa"/>
            <w:vAlign w:val="top"/>
          </w:tcPr>
          <w:p>
            <w:pPr>
              <w:pStyle w:val="TableText"/>
              <w:rPr/>
            </w:pPr>
            <w:r/>
          </w:p>
        </w:tc>
      </w:tr>
      <w:tr>
        <w:trPr>
          <w:trHeight w:val="314" w:hRule="atLeast"/>
        </w:trPr>
        <w:tc>
          <w:tcPr>
            <w:tcW w:w="1798"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10" w:type="dxa"/>
            <w:vAlign w:val="top"/>
          </w:tcPr>
          <w:p>
            <w:pPr>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01" w:type="dxa"/>
            <w:vAlign w:val="top"/>
          </w:tcPr>
          <w:p>
            <w:pPr>
              <w:ind w:right="17"/>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72" w:type="dxa"/>
            <w:vAlign w:val="top"/>
          </w:tcPr>
          <w:p>
            <w:pPr>
              <w:pStyle w:val="TableText"/>
              <w:ind w:left="949"/>
              <w:spacing w:before="104" w:line="186" w:lineRule="auto"/>
              <w:rPr>
                <w:sz w:val="13"/>
                <w:szCs w:val="13"/>
              </w:rPr>
            </w:pPr>
            <w:r>
              <w:rPr>
                <w:sz w:val="13"/>
                <w:szCs w:val="13"/>
                <w:color w:val="212529"/>
                <w:spacing w:val="3"/>
              </w:rPr>
              <w:t>31.</w:t>
            </w:r>
            <w:r>
              <w:rPr>
                <w:sz w:val="13"/>
                <w:szCs w:val="13"/>
                <w:color w:val="212529"/>
                <w:spacing w:val="3"/>
              </w:rPr>
              <w:t xml:space="preserve"> </w:t>
            </w:r>
            <w:r>
              <w:rPr>
                <w:sz w:val="13"/>
                <w:szCs w:val="13"/>
                <w:color w:val="212529"/>
                <w:spacing w:val="3"/>
              </w:rPr>
              <w:t>21</w:t>
            </w:r>
          </w:p>
        </w:tc>
        <w:tc>
          <w:tcPr>
            <w:tcW w:w="1377" w:type="dxa"/>
            <w:vAlign w:val="top"/>
          </w:tcPr>
          <w:p>
            <w:pPr>
              <w:pStyle w:val="TableText"/>
              <w:rPr/>
            </w:pPr>
            <w:r/>
          </w:p>
        </w:tc>
      </w:tr>
      <w:tr>
        <w:trPr>
          <w:trHeight w:val="319" w:hRule="atLeast"/>
        </w:trPr>
        <w:tc>
          <w:tcPr>
            <w:tcW w:w="1798"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10" w:type="dxa"/>
            <w:vAlign w:val="top"/>
          </w:tcPr>
          <w:p>
            <w:pPr>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01" w:type="dxa"/>
            <w:vAlign w:val="top"/>
          </w:tcPr>
          <w:p>
            <w:pPr>
              <w:ind w:right="17"/>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72" w:type="dxa"/>
            <w:vAlign w:val="top"/>
          </w:tcPr>
          <w:p>
            <w:pPr>
              <w:ind w:right="18"/>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77" w:type="dxa"/>
            <w:vAlign w:val="top"/>
          </w:tcPr>
          <w:p>
            <w:pPr>
              <w:pStyle w:val="TableText"/>
              <w:rPr/>
            </w:pPr>
            <w:r/>
          </w:p>
        </w:tc>
      </w:tr>
    </w:tbl>
    <w:p>
      <w:pPr>
        <w:pStyle w:val="BodyText"/>
        <w:rPr/>
      </w:pPr>
      <w:r/>
    </w:p>
    <w:p>
      <w:pPr>
        <w:sectPr>
          <w:headerReference w:type="default" r:id="rId13"/>
          <w:footerReference w:type="default" r:id="rId14"/>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63"/>
        <w:gridCol w:w="1134"/>
        <w:gridCol w:w="1922"/>
        <w:gridCol w:w="1134"/>
        <w:gridCol w:w="1156"/>
        <w:gridCol w:w="864"/>
        <w:gridCol w:w="1085"/>
      </w:tblGrid>
      <w:tr>
        <w:trPr>
          <w:trHeight w:val="384" w:hRule="atLeast"/>
        </w:trPr>
        <w:tc>
          <w:tcPr>
            <w:tcW w:w="186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49" w:type="dxa"/>
            <w:vAlign w:val="top"/>
            <w:gridSpan w:val="2"/>
            <w:tcBorders>
              <w:bottom w:val="single" w:color="FFFFFF" w:sz="4" w:space="0"/>
              <w:top w:val="single" w:color="FFFFFF" w:sz="4" w:space="0"/>
              <w:left w:val="single" w:color="FFFFFF" w:sz="2" w:space="0"/>
              <w:right w:val="single" w:color="FFFFFF" w:sz="2" w:space="0"/>
            </w:tcBorders>
          </w:tcPr>
          <w:p>
            <w:pPr>
              <w:ind w:left="1133"/>
              <w:spacing w:before="115" w:line="225" w:lineRule="auto"/>
              <w:rPr>
                <w:rFonts w:ascii="SimSun" w:hAnsi="SimSun" w:eastAsia="SimSun" w:cs="SimSun"/>
                <w:sz w:val="14"/>
                <w:szCs w:val="14"/>
              </w:rPr>
            </w:pPr>
            <w:r>
              <w:rPr>
                <w:rFonts w:ascii="SimSun" w:hAnsi="SimSun" w:eastAsia="SimSun" w:cs="SimSun"/>
                <w:sz w:val="14"/>
                <w:szCs w:val="14"/>
                <w:color w:val="212529"/>
              </w:rPr>
              <w:t>预</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9"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073" w:type="dxa"/>
            <w:vAlign w:val="top"/>
            <w:gridSpan w:val="6"/>
            <w:tcBorders>
              <w:top w:val="single" w:color="FFFFFF" w:sz="4" w:space="0"/>
              <w:left w:val="single" w:color="FFFFFF" w:sz="2" w:space="0"/>
              <w:right w:val="single" w:color="FFFFFF" w:sz="2" w:space="0"/>
            </w:tcBorders>
          </w:tcPr>
          <w:p>
            <w:pPr>
              <w:ind w:left="9"/>
              <w:spacing w:before="123" w:line="233"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085" w:type="dxa"/>
            <w:vAlign w:val="top"/>
            <w:tcBorders>
              <w:top w:val="single" w:color="FFFFFF" w:sz="4" w:space="0"/>
              <w:left w:val="single" w:color="FFFFFF" w:sz="2" w:space="0"/>
              <w:right w:val="single" w:color="FFFFFF" w:sz="2" w:space="0"/>
            </w:tcBorders>
          </w:tcPr>
          <w:p>
            <w:pPr>
              <w:ind w:left="412"/>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2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4"/>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63" w:type="dxa"/>
            <w:vAlign w:val="top"/>
            <w:vMerge w:val="restart"/>
            <w:tcBorders>
              <w:bottom w:val="nil"/>
            </w:tcBorders>
          </w:tcPr>
          <w:p>
            <w:pPr>
              <w:ind w:left="753"/>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34" w:type="dxa"/>
            <w:vAlign w:val="top"/>
            <w:vMerge w:val="restart"/>
            <w:tcBorders>
              <w:bottom w:val="nil"/>
            </w:tcBorders>
          </w:tcPr>
          <w:p>
            <w:pPr>
              <w:ind w:left="384"/>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22" w:type="dxa"/>
            <w:vAlign w:val="top"/>
            <w:vMerge w:val="restart"/>
            <w:tcBorders>
              <w:bottom w:val="nil"/>
            </w:tcBorders>
          </w:tcPr>
          <w:p>
            <w:pPr>
              <w:ind w:left="785"/>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239" w:type="dxa"/>
            <w:vAlign w:val="top"/>
            <w:gridSpan w:val="4"/>
          </w:tcPr>
          <w:p>
            <w:pPr>
              <w:ind w:left="194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63" w:type="dxa"/>
            <w:vAlign w:val="top"/>
            <w:vMerge w:val="continue"/>
            <w:tcBorders>
              <w:top w:val="nil"/>
            </w:tcBorders>
          </w:tcPr>
          <w:p>
            <w:pPr>
              <w:pStyle w:val="TableText"/>
              <w:rPr/>
            </w:pPr>
            <w:r/>
          </w:p>
        </w:tc>
        <w:tc>
          <w:tcPr>
            <w:tcW w:w="1134" w:type="dxa"/>
            <w:vAlign w:val="top"/>
            <w:vMerge w:val="continue"/>
            <w:tcBorders>
              <w:top w:val="nil"/>
            </w:tcBorders>
          </w:tcPr>
          <w:p>
            <w:pPr>
              <w:pStyle w:val="TableText"/>
              <w:rPr/>
            </w:pPr>
            <w:r/>
          </w:p>
        </w:tc>
        <w:tc>
          <w:tcPr>
            <w:tcW w:w="1922" w:type="dxa"/>
            <w:vAlign w:val="top"/>
            <w:vMerge w:val="continue"/>
            <w:tcBorders>
              <w:top w:val="nil"/>
            </w:tcBorders>
          </w:tcPr>
          <w:p>
            <w:pPr>
              <w:pStyle w:val="TableText"/>
              <w:rPr/>
            </w:pPr>
            <w:r/>
          </w:p>
        </w:tc>
        <w:tc>
          <w:tcPr>
            <w:tcW w:w="1134" w:type="dxa"/>
            <w:vAlign w:val="top"/>
          </w:tcPr>
          <w:p>
            <w:pPr>
              <w:ind w:left="402"/>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56" w:type="dxa"/>
            <w:vAlign w:val="top"/>
          </w:tcPr>
          <w:p>
            <w:pPr>
              <w:ind w:left="85"/>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64" w:type="dxa"/>
            <w:vAlign w:val="top"/>
          </w:tcPr>
          <w:p>
            <w:pPr>
              <w:ind w:left="262" w:right="26"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085" w:type="dxa"/>
            <w:vAlign w:val="top"/>
          </w:tcPr>
          <w:p>
            <w:pPr>
              <w:ind w:left="368" w:right="62"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86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34" w:type="dxa"/>
            <w:vAlign w:val="top"/>
          </w:tcPr>
          <w:p>
            <w:pPr>
              <w:ind w:left="545"/>
              <w:spacing w:before="110" w:line="202" w:lineRule="exact"/>
              <w:rPr>
                <w:rFonts w:ascii="SimSun" w:hAnsi="SimSun" w:eastAsia="SimSun" w:cs="SimSun"/>
                <w:sz w:val="15"/>
                <w:szCs w:val="15"/>
              </w:rPr>
            </w:pPr>
            <w:r>
              <w:rPr>
                <w:rFonts w:ascii="SimSun" w:hAnsi="SimSun" w:eastAsia="SimSun" w:cs="SimSun"/>
                <w:sz w:val="15"/>
                <w:szCs w:val="15"/>
                <w:color w:val="212529"/>
                <w:spacing w:val="3"/>
                <w:position w:val="1"/>
              </w:rPr>
              <w:t>1043.66</w:t>
            </w:r>
          </w:p>
        </w:tc>
        <w:tc>
          <w:tcPr>
            <w:tcW w:w="1922" w:type="dxa"/>
            <w:vAlign w:val="top"/>
          </w:tcPr>
          <w:p>
            <w:pPr>
              <w:ind w:left="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34"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932.17</w:t>
            </w:r>
          </w:p>
        </w:tc>
        <w:tc>
          <w:tcPr>
            <w:tcW w:w="1156" w:type="dxa"/>
            <w:vAlign w:val="top"/>
          </w:tcPr>
          <w:p>
            <w:pPr>
              <w:ind w:right="1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932.17</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34" w:type="dxa"/>
            <w:vAlign w:val="top"/>
          </w:tcPr>
          <w:p>
            <w:pPr>
              <w:pStyle w:val="TableText"/>
              <w:rPr/>
            </w:pPr>
            <w:r/>
          </w:p>
        </w:tc>
        <w:tc>
          <w:tcPr>
            <w:tcW w:w="1922" w:type="dxa"/>
            <w:vAlign w:val="top"/>
          </w:tcPr>
          <w:p>
            <w:pPr>
              <w:ind w:left="2"/>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34" w:type="dxa"/>
            <w:vAlign w:val="top"/>
          </w:tcPr>
          <w:p>
            <w:pPr>
              <w:pStyle w:val="TableText"/>
              <w:rPr/>
            </w:pPr>
            <w:r/>
          </w:p>
        </w:tc>
        <w:tc>
          <w:tcPr>
            <w:tcW w:w="1922" w:type="dxa"/>
            <w:vAlign w:val="top"/>
          </w:tcPr>
          <w:p>
            <w:pPr>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5"/>
              </w:rPr>
              <w:t>国防支出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6"/>
              </w:rPr>
              <w:t>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34"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76.71</w:t>
            </w:r>
          </w:p>
        </w:tc>
        <w:tc>
          <w:tcPr>
            <w:tcW w:w="1156"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.71</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3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156"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8"/>
              </w:rPr>
              <w:t>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spacing w:val="8"/>
              </w:rPr>
              <w:t>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34"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156"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3" w:right="138"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spacing w:val="8"/>
              </w:rPr>
              <w:t>算支出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right="138"/>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r>
              <w:rPr>
                <w:rFonts w:ascii="SimSun" w:hAnsi="SimSun" w:eastAsia="SimSun" w:cs="SimSun"/>
                <w:sz w:val="15"/>
                <w:szCs w:val="15"/>
                <w:color w:val="212529"/>
                <w:spacing w:val="8"/>
              </w:rPr>
              <w:t>管理支出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3" w:right="138"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2" w:right="138"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4"/>
              </w:rPr>
              <w:t>的支出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84" w:hRule="atLeast"/>
        </w:trPr>
        <w:tc>
          <w:tcPr>
            <w:tcW w:w="1863" w:type="dxa"/>
            <w:vAlign w:val="top"/>
          </w:tcPr>
          <w:p>
            <w:pPr>
              <w:ind w:left="431"/>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34" w:type="dxa"/>
            <w:vAlign w:val="top"/>
          </w:tcPr>
          <w:p>
            <w:pPr>
              <w:pStyle w:val="TableText"/>
              <w:ind w:left="277"/>
              <w:spacing w:before="137" w:line="162" w:lineRule="auto"/>
              <w:rPr>
                <w:sz w:val="15"/>
                <w:szCs w:val="15"/>
              </w:rPr>
            </w:pPr>
            <w:r>
              <w:rPr>
                <w:sz w:val="15"/>
                <w:szCs w:val="15"/>
                <w:color w:val="212529"/>
              </w:rPr>
              <w:t>1043.66</w:t>
            </w:r>
          </w:p>
        </w:tc>
        <w:tc>
          <w:tcPr>
            <w:tcW w:w="1922" w:type="dxa"/>
            <w:vAlign w:val="top"/>
          </w:tcPr>
          <w:p>
            <w:pPr>
              <w:ind w:left="463"/>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34" w:type="dxa"/>
            <w:vAlign w:val="top"/>
          </w:tcPr>
          <w:p>
            <w:pPr>
              <w:pStyle w:val="TableText"/>
              <w:ind w:left="289"/>
              <w:spacing w:before="137" w:line="187" w:lineRule="auto"/>
              <w:rPr>
                <w:sz w:val="13"/>
                <w:szCs w:val="13"/>
              </w:rPr>
            </w:pPr>
            <w:r>
              <w:rPr>
                <w:sz w:val="13"/>
                <w:szCs w:val="13"/>
                <w:color w:val="212529"/>
                <w:spacing w:val="4"/>
              </w:rPr>
              <w:t>1063.</w:t>
            </w:r>
            <w:r>
              <w:rPr>
                <w:sz w:val="13"/>
                <w:szCs w:val="13"/>
                <w:color w:val="212529"/>
                <w:spacing w:val="11"/>
              </w:rPr>
              <w:t xml:space="preserve"> </w:t>
            </w:r>
            <w:r>
              <w:rPr>
                <w:sz w:val="13"/>
                <w:szCs w:val="13"/>
                <w:color w:val="212529"/>
                <w:spacing w:val="4"/>
              </w:rPr>
              <w:t>66</w:t>
            </w:r>
          </w:p>
        </w:tc>
        <w:tc>
          <w:tcPr>
            <w:tcW w:w="1156" w:type="dxa"/>
            <w:vAlign w:val="top"/>
          </w:tcPr>
          <w:p>
            <w:pPr>
              <w:pStyle w:val="TableText"/>
              <w:ind w:left="302"/>
              <w:spacing w:before="137" w:line="187" w:lineRule="auto"/>
              <w:rPr>
                <w:sz w:val="13"/>
                <w:szCs w:val="13"/>
              </w:rPr>
            </w:pPr>
            <w:r>
              <w:rPr>
                <w:sz w:val="13"/>
                <w:szCs w:val="13"/>
                <w:color w:val="212529"/>
                <w:spacing w:val="4"/>
              </w:rPr>
              <w:t>1063.</w:t>
            </w:r>
            <w:r>
              <w:rPr>
                <w:sz w:val="13"/>
                <w:szCs w:val="13"/>
                <w:color w:val="212529"/>
                <w:spacing w:val="11"/>
              </w:rPr>
              <w:t xml:space="preserve"> </w:t>
            </w:r>
            <w:r>
              <w:rPr>
                <w:sz w:val="13"/>
                <w:szCs w:val="13"/>
                <w:color w:val="212529"/>
                <w:spacing w:val="4"/>
              </w:rPr>
              <w:t>66</w:t>
            </w:r>
          </w:p>
        </w:tc>
        <w:tc>
          <w:tcPr>
            <w:tcW w:w="864" w:type="dxa"/>
            <w:vAlign w:val="top"/>
          </w:tcPr>
          <w:p>
            <w:pPr>
              <w:pStyle w:val="TableText"/>
              <w:rPr/>
            </w:pPr>
            <w:r/>
          </w:p>
        </w:tc>
        <w:tc>
          <w:tcPr>
            <w:tcW w:w="1085" w:type="dxa"/>
            <w:vAlign w:val="top"/>
          </w:tcPr>
          <w:p>
            <w:pPr>
              <w:pStyle w:val="TableText"/>
              <w:rPr/>
            </w:pPr>
            <w:r/>
          </w:p>
        </w:tc>
      </w:tr>
    </w:tbl>
    <w:p>
      <w:pPr>
        <w:pStyle w:val="BodyText"/>
        <w:rPr/>
      </w:pPr>
      <w:r/>
    </w:p>
    <w:p>
      <w:pPr>
        <w:sectPr>
          <w:headerReference w:type="default" r:id="rId15"/>
          <w:footerReference w:type="default" r:id="rId16"/>
          <w:pgSz w:w="11900" w:h="16840"/>
          <w:pgMar w:top="642" w:right="0" w:bottom="340" w:left="0" w:header="326" w:footer="90"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63"/>
        <w:gridCol w:w="1134"/>
        <w:gridCol w:w="1922"/>
        <w:gridCol w:w="1134"/>
        <w:gridCol w:w="1156"/>
        <w:gridCol w:w="864"/>
        <w:gridCol w:w="1085"/>
      </w:tblGrid>
      <w:tr>
        <w:trPr>
          <w:trHeight w:val="383" w:hRule="atLeast"/>
        </w:trPr>
        <w:tc>
          <w:tcPr>
            <w:tcW w:w="1863"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8"/>
              </w:rPr>
              <w:t>上年财</w:t>
            </w:r>
          </w:p>
        </w:tc>
        <w:tc>
          <w:tcPr>
            <w:tcW w:w="1134" w:type="dxa"/>
            <w:vAlign w:val="top"/>
          </w:tcPr>
          <w:p>
            <w:pPr>
              <w:ind w:left="697"/>
              <w:spacing w:before="113" w:line="202" w:lineRule="exac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922" w:type="dxa"/>
            <w:vAlign w:val="top"/>
          </w:tcPr>
          <w:p>
            <w:pPr>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7" w:hRule="atLeast"/>
        </w:trPr>
        <w:tc>
          <w:tcPr>
            <w:tcW w:w="186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34" w:type="dxa"/>
            <w:vAlign w:val="top"/>
          </w:tcPr>
          <w:p>
            <w:pPr>
              <w:ind w:left="697"/>
              <w:spacing w:before="110" w:line="202" w:lineRule="exac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7" w:hRule="atLeast"/>
        </w:trPr>
        <w:tc>
          <w:tcPr>
            <w:tcW w:w="1863"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83" w:hRule="atLeast"/>
        </w:trPr>
        <w:tc>
          <w:tcPr>
            <w:tcW w:w="1863" w:type="dxa"/>
            <w:vAlign w:val="top"/>
          </w:tcPr>
          <w:p>
            <w:pPr>
              <w:ind w:left="597"/>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34" w:type="dxa"/>
            <w:vAlign w:val="top"/>
          </w:tcPr>
          <w:p>
            <w:pPr>
              <w:pStyle w:val="TableText"/>
              <w:ind w:left="277"/>
              <w:spacing w:before="135" w:line="162" w:lineRule="auto"/>
              <w:rPr>
                <w:sz w:val="15"/>
                <w:szCs w:val="15"/>
              </w:rPr>
            </w:pPr>
            <w:r>
              <w:rPr>
                <w:sz w:val="15"/>
                <w:szCs w:val="15"/>
                <w:color w:val="212529"/>
              </w:rPr>
              <w:t>1063.66</w:t>
            </w:r>
          </w:p>
        </w:tc>
        <w:tc>
          <w:tcPr>
            <w:tcW w:w="1922" w:type="dxa"/>
            <w:vAlign w:val="top"/>
          </w:tcPr>
          <w:p>
            <w:pPr>
              <w:ind w:left="624"/>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34" w:type="dxa"/>
            <w:vAlign w:val="top"/>
          </w:tcPr>
          <w:p>
            <w:pPr>
              <w:pStyle w:val="TableText"/>
              <w:ind w:left="289"/>
              <w:spacing w:before="135" w:line="187" w:lineRule="auto"/>
              <w:rPr>
                <w:sz w:val="13"/>
                <w:szCs w:val="13"/>
              </w:rPr>
            </w:pPr>
            <w:r>
              <w:rPr>
                <w:sz w:val="13"/>
                <w:szCs w:val="13"/>
                <w:color w:val="212529"/>
                <w:spacing w:val="4"/>
              </w:rPr>
              <w:t>1063.</w:t>
            </w:r>
            <w:r>
              <w:rPr>
                <w:sz w:val="13"/>
                <w:szCs w:val="13"/>
                <w:color w:val="212529"/>
                <w:spacing w:val="11"/>
              </w:rPr>
              <w:t xml:space="preserve"> </w:t>
            </w:r>
            <w:r>
              <w:rPr>
                <w:sz w:val="13"/>
                <w:szCs w:val="13"/>
                <w:color w:val="212529"/>
                <w:spacing w:val="4"/>
              </w:rPr>
              <w:t>66</w:t>
            </w:r>
          </w:p>
        </w:tc>
        <w:tc>
          <w:tcPr>
            <w:tcW w:w="1156" w:type="dxa"/>
            <w:vAlign w:val="top"/>
          </w:tcPr>
          <w:p>
            <w:pPr>
              <w:pStyle w:val="TableText"/>
              <w:ind w:left="302"/>
              <w:spacing w:before="135" w:line="187" w:lineRule="auto"/>
              <w:rPr>
                <w:sz w:val="13"/>
                <w:szCs w:val="13"/>
              </w:rPr>
            </w:pPr>
            <w:r>
              <w:rPr>
                <w:sz w:val="13"/>
                <w:szCs w:val="13"/>
                <w:color w:val="212529"/>
                <w:spacing w:val="4"/>
              </w:rPr>
              <w:t>1063.</w:t>
            </w:r>
            <w:r>
              <w:rPr>
                <w:sz w:val="13"/>
                <w:szCs w:val="13"/>
                <w:color w:val="212529"/>
                <w:spacing w:val="11"/>
              </w:rPr>
              <w:t xml:space="preserve"> </w:t>
            </w:r>
            <w:r>
              <w:rPr>
                <w:sz w:val="13"/>
                <w:szCs w:val="13"/>
                <w:color w:val="212529"/>
                <w:spacing w:val="4"/>
              </w:rPr>
              <w:t>66</w:t>
            </w:r>
          </w:p>
        </w:tc>
        <w:tc>
          <w:tcPr>
            <w:tcW w:w="864" w:type="dxa"/>
            <w:vAlign w:val="top"/>
          </w:tcPr>
          <w:p>
            <w:pPr>
              <w:pStyle w:val="TableText"/>
              <w:rPr/>
            </w:pPr>
            <w:r/>
          </w:p>
        </w:tc>
        <w:tc>
          <w:tcPr>
            <w:tcW w:w="1085" w:type="dxa"/>
            <w:vAlign w:val="top"/>
          </w:tcPr>
          <w:p>
            <w:pPr>
              <w:pStyle w:val="TableText"/>
              <w:rPr/>
            </w:pPr>
            <w:r/>
          </w:p>
        </w:tc>
      </w:tr>
    </w:tbl>
    <w:p>
      <w:pPr>
        <w:pStyle w:val="BodyText"/>
        <w:rPr/>
      </w:pPr>
      <w:r/>
    </w:p>
    <w:p>
      <w:pPr>
        <w:sectPr>
          <w:headerReference w:type="default" r:id="rId17"/>
          <w:footerReference w:type="default" r:id="rId18"/>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47"/>
        <w:gridCol w:w="3089"/>
        <w:gridCol w:w="1598"/>
        <w:gridCol w:w="1382"/>
        <w:gridCol w:w="1442"/>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10"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716"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442" w:type="dxa"/>
            <w:vAlign w:val="top"/>
            <w:tcBorders>
              <w:top w:val="single" w:color="FFFFFF" w:sz="4" w:space="0"/>
              <w:left w:val="single" w:color="FFFFFF" w:sz="2" w:space="0"/>
              <w:right w:val="single" w:color="FFFFFF" w:sz="2" w:space="0"/>
            </w:tcBorders>
          </w:tcPr>
          <w:p>
            <w:pPr>
              <w:ind w:left="769"/>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736" w:type="dxa"/>
            <w:vAlign w:val="top"/>
            <w:gridSpan w:val="2"/>
          </w:tcPr>
          <w:p>
            <w:pPr>
              <w:ind w:left="2192"/>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22" w:type="dxa"/>
            <w:vAlign w:val="top"/>
            <w:gridSpan w:val="3"/>
          </w:tcPr>
          <w:p>
            <w:pPr>
              <w:ind w:left="1715"/>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47" w:type="dxa"/>
            <w:vAlign w:val="top"/>
          </w:tcPr>
          <w:p>
            <w:pPr>
              <w:ind w:left="486"/>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89" w:type="dxa"/>
            <w:vAlign w:val="top"/>
          </w:tcPr>
          <w:p>
            <w:pPr>
              <w:ind w:left="1205"/>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98" w:type="dxa"/>
            <w:vAlign w:val="top"/>
          </w:tcPr>
          <w:p>
            <w:pPr>
              <w:ind w:left="6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442" w:type="dxa"/>
            <w:vAlign w:val="top"/>
          </w:tcPr>
          <w:p>
            <w:pPr>
              <w:ind w:left="38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736" w:type="dxa"/>
            <w:vAlign w:val="top"/>
            <w:gridSpan w:val="2"/>
          </w:tcPr>
          <w:p>
            <w:pPr>
              <w:ind w:left="2195"/>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98" w:type="dxa"/>
            <w:vAlign w:val="top"/>
          </w:tcPr>
          <w:p>
            <w:pPr>
              <w:pStyle w:val="TableText"/>
              <w:ind w:left="1012"/>
              <w:spacing w:before="87" w:line="186" w:lineRule="auto"/>
              <w:rPr>
                <w:sz w:val="13"/>
                <w:szCs w:val="13"/>
              </w:rPr>
            </w:pPr>
            <w:r>
              <w:rPr>
                <w:sz w:val="13"/>
                <w:szCs w:val="13"/>
                <w:color w:val="212529"/>
                <w:spacing w:val="4"/>
              </w:rPr>
              <w:t>1043.</w:t>
            </w:r>
            <w:r>
              <w:rPr>
                <w:sz w:val="13"/>
                <w:szCs w:val="13"/>
                <w:color w:val="212529"/>
                <w:spacing w:val="11"/>
              </w:rPr>
              <w:t xml:space="preserve"> </w:t>
            </w:r>
            <w:r>
              <w:rPr>
                <w:sz w:val="13"/>
                <w:szCs w:val="13"/>
                <w:color w:val="212529"/>
                <w:spacing w:val="4"/>
              </w:rPr>
              <w:t>66</w:t>
            </w:r>
          </w:p>
        </w:tc>
        <w:tc>
          <w:tcPr>
            <w:tcW w:w="1382" w:type="dxa"/>
            <w:vAlign w:val="top"/>
          </w:tcPr>
          <w:p>
            <w:pPr>
              <w:pStyle w:val="TableText"/>
              <w:ind w:left="876"/>
              <w:spacing w:before="87" w:line="172" w:lineRule="auto"/>
              <w:rPr>
                <w:sz w:val="14"/>
                <w:szCs w:val="14"/>
              </w:rPr>
            </w:pPr>
            <w:r>
              <w:rPr>
                <w:sz w:val="14"/>
                <w:szCs w:val="14"/>
                <w:color w:val="212529"/>
                <w:spacing w:val="1"/>
              </w:rPr>
              <w:t>458.</w:t>
            </w:r>
            <w:r>
              <w:rPr>
                <w:sz w:val="14"/>
                <w:szCs w:val="14"/>
                <w:color w:val="212529"/>
                <w:spacing w:val="1"/>
              </w:rPr>
              <w:t xml:space="preserve"> </w:t>
            </w:r>
            <w:r>
              <w:rPr>
                <w:sz w:val="14"/>
                <w:szCs w:val="14"/>
                <w:color w:val="212529"/>
                <w:spacing w:val="1"/>
              </w:rPr>
              <w:t>46</w:t>
            </w:r>
          </w:p>
        </w:tc>
        <w:tc>
          <w:tcPr>
            <w:tcW w:w="1442" w:type="dxa"/>
            <w:vAlign w:val="top"/>
          </w:tcPr>
          <w:p>
            <w:pPr>
              <w:pStyle w:val="TableText"/>
              <w:ind w:left="932"/>
              <w:spacing w:before="87" w:line="172" w:lineRule="auto"/>
              <w:rPr>
                <w:sz w:val="14"/>
                <w:szCs w:val="14"/>
              </w:rPr>
            </w:pPr>
            <w:r>
              <w:rPr>
                <w:sz w:val="14"/>
                <w:szCs w:val="14"/>
                <w:color w:val="212529"/>
              </w:rPr>
              <w:t>585.</w:t>
            </w:r>
            <w:r>
              <w:rPr>
                <w:sz w:val="14"/>
                <w:szCs w:val="14"/>
                <w:color w:val="212529"/>
                <w:spacing w:val="6"/>
              </w:rPr>
              <w:t xml:space="preserve"> </w:t>
            </w:r>
            <w:r>
              <w:rPr>
                <w:sz w:val="14"/>
                <w:szCs w:val="14"/>
                <w:color w:val="212529"/>
              </w:rPr>
              <w:t>20</w:t>
            </w:r>
          </w:p>
        </w:tc>
      </w:tr>
      <w:tr>
        <w:trPr>
          <w:trHeight w:val="292" w:hRule="atLeast"/>
        </w:trPr>
        <w:tc>
          <w:tcPr>
            <w:tcW w:w="1647"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089" w:type="dxa"/>
            <w:vAlign w:val="top"/>
          </w:tcPr>
          <w:p>
            <w:pPr>
              <w:ind w:left="8"/>
              <w:spacing w:before="69"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598" w:type="dxa"/>
            <w:vAlign w:val="top"/>
          </w:tcPr>
          <w:p>
            <w:pPr>
              <w:ind w:right="27"/>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912.17</w:t>
            </w:r>
          </w:p>
        </w:tc>
        <w:tc>
          <w:tcPr>
            <w:tcW w:w="1382"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326.97</w:t>
            </w:r>
          </w:p>
        </w:tc>
        <w:tc>
          <w:tcPr>
            <w:tcW w:w="1442"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585.20</w:t>
            </w:r>
          </w:p>
        </w:tc>
      </w:tr>
      <w:tr>
        <w:trPr>
          <w:trHeight w:val="292" w:hRule="atLeast"/>
        </w:trPr>
        <w:tc>
          <w:tcPr>
            <w:tcW w:w="1647"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20101</w:t>
            </w:r>
          </w:p>
        </w:tc>
        <w:tc>
          <w:tcPr>
            <w:tcW w:w="3089" w:type="dxa"/>
            <w:vAlign w:val="top"/>
          </w:tcPr>
          <w:p>
            <w:pPr>
              <w:ind w:left="6"/>
              <w:spacing w:before="69" w:line="229" w:lineRule="auto"/>
              <w:rPr>
                <w:rFonts w:ascii="SimSun" w:hAnsi="SimSun" w:eastAsia="SimSun" w:cs="SimSun"/>
                <w:sz w:val="15"/>
                <w:szCs w:val="15"/>
              </w:rPr>
            </w:pPr>
            <w:r>
              <w:rPr>
                <w:rFonts w:ascii="SimSun" w:hAnsi="SimSun" w:eastAsia="SimSun" w:cs="SimSun"/>
                <w:sz w:val="15"/>
                <w:szCs w:val="15"/>
                <w:color w:val="212529"/>
                <w:spacing w:val="9"/>
              </w:rPr>
              <w:t>人大事务</w:t>
            </w:r>
          </w:p>
        </w:tc>
        <w:tc>
          <w:tcPr>
            <w:tcW w:w="1598" w:type="dxa"/>
            <w:vAlign w:val="top"/>
          </w:tcPr>
          <w:p>
            <w:pPr>
              <w:ind w:right="27"/>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912.17</w:t>
            </w:r>
          </w:p>
        </w:tc>
        <w:tc>
          <w:tcPr>
            <w:tcW w:w="1382"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326.97</w:t>
            </w:r>
          </w:p>
        </w:tc>
        <w:tc>
          <w:tcPr>
            <w:tcW w:w="1442"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585.20</w:t>
            </w:r>
          </w:p>
        </w:tc>
      </w:tr>
      <w:tr>
        <w:trPr>
          <w:trHeight w:val="292" w:hRule="atLeast"/>
        </w:trPr>
        <w:tc>
          <w:tcPr>
            <w:tcW w:w="1647"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2010101</w:t>
            </w:r>
          </w:p>
        </w:tc>
        <w:tc>
          <w:tcPr>
            <w:tcW w:w="3089" w:type="dxa"/>
            <w:vAlign w:val="top"/>
          </w:tcPr>
          <w:p>
            <w:pPr>
              <w:ind w:left="6"/>
              <w:spacing w:before="70"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98" w:type="dxa"/>
            <w:vAlign w:val="top"/>
          </w:tcPr>
          <w:p>
            <w:pPr>
              <w:ind w:right="27"/>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293.64</w:t>
            </w:r>
          </w:p>
        </w:tc>
        <w:tc>
          <w:tcPr>
            <w:tcW w:w="1382"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293.64</w:t>
            </w:r>
          </w:p>
        </w:tc>
        <w:tc>
          <w:tcPr>
            <w:tcW w:w="1442" w:type="dxa"/>
            <w:vAlign w:val="top"/>
          </w:tcPr>
          <w:p>
            <w:pPr>
              <w:pStyle w:val="TableText"/>
              <w:rPr/>
            </w:pPr>
            <w:r/>
          </w:p>
        </w:tc>
      </w:tr>
      <w:tr>
        <w:trPr>
          <w:trHeight w:val="292" w:hRule="atLeast"/>
        </w:trPr>
        <w:tc>
          <w:tcPr>
            <w:tcW w:w="1647"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2010104</w:t>
            </w:r>
          </w:p>
        </w:tc>
        <w:tc>
          <w:tcPr>
            <w:tcW w:w="3089" w:type="dxa"/>
            <w:vAlign w:val="top"/>
          </w:tcPr>
          <w:p>
            <w:pPr>
              <w:ind w:left="6"/>
              <w:spacing w:before="71" w:line="228" w:lineRule="auto"/>
              <w:rPr>
                <w:rFonts w:ascii="SimSun" w:hAnsi="SimSun" w:eastAsia="SimSun" w:cs="SimSun"/>
                <w:sz w:val="15"/>
                <w:szCs w:val="15"/>
              </w:rPr>
            </w:pPr>
            <w:r>
              <w:rPr>
                <w:rFonts w:ascii="SimSun" w:hAnsi="SimSun" w:eastAsia="SimSun" w:cs="SimSun"/>
                <w:sz w:val="15"/>
                <w:szCs w:val="15"/>
                <w:color w:val="212529"/>
                <w:spacing w:val="9"/>
              </w:rPr>
              <w:t>人大会议</w:t>
            </w:r>
          </w:p>
        </w:tc>
        <w:tc>
          <w:tcPr>
            <w:tcW w:w="1598" w:type="dxa"/>
            <w:vAlign w:val="top"/>
          </w:tcPr>
          <w:p>
            <w:pPr>
              <w:ind w:right="27"/>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56.30</w:t>
            </w:r>
          </w:p>
        </w:tc>
        <w:tc>
          <w:tcPr>
            <w:tcW w:w="1382" w:type="dxa"/>
            <w:vAlign w:val="top"/>
          </w:tcPr>
          <w:p>
            <w:pPr>
              <w:pStyle w:val="TableText"/>
              <w:rPr/>
            </w:pPr>
            <w:r/>
          </w:p>
        </w:tc>
        <w:tc>
          <w:tcPr>
            <w:tcW w:w="1442"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56.30</w:t>
            </w:r>
          </w:p>
        </w:tc>
      </w:tr>
      <w:tr>
        <w:trPr>
          <w:trHeight w:val="292" w:hRule="atLeast"/>
        </w:trPr>
        <w:tc>
          <w:tcPr>
            <w:tcW w:w="1647"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2010107</w:t>
            </w:r>
          </w:p>
        </w:tc>
        <w:tc>
          <w:tcPr>
            <w:tcW w:w="3089" w:type="dxa"/>
            <w:vAlign w:val="top"/>
          </w:tcPr>
          <w:p>
            <w:pPr>
              <w:ind w:left="6"/>
              <w:spacing w:before="71" w:line="229" w:lineRule="auto"/>
              <w:rPr>
                <w:rFonts w:ascii="SimSun" w:hAnsi="SimSun" w:eastAsia="SimSun" w:cs="SimSun"/>
                <w:sz w:val="15"/>
                <w:szCs w:val="15"/>
              </w:rPr>
            </w:pPr>
            <w:r>
              <w:rPr>
                <w:rFonts w:ascii="SimSun" w:hAnsi="SimSun" w:eastAsia="SimSun" w:cs="SimSun"/>
                <w:sz w:val="15"/>
                <w:szCs w:val="15"/>
                <w:color w:val="212529"/>
                <w:spacing w:val="11"/>
              </w:rPr>
              <w:t>人大代表履职能力提升</w:t>
            </w:r>
          </w:p>
        </w:tc>
        <w:tc>
          <w:tcPr>
            <w:tcW w:w="1598" w:type="dxa"/>
            <w:vAlign w:val="top"/>
          </w:tcPr>
          <w:p>
            <w:pPr>
              <w:ind w:right="27"/>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382" w:type="dxa"/>
            <w:vAlign w:val="top"/>
          </w:tcPr>
          <w:p>
            <w:pPr>
              <w:pStyle w:val="TableText"/>
              <w:rPr/>
            </w:pPr>
            <w:r/>
          </w:p>
        </w:tc>
        <w:tc>
          <w:tcPr>
            <w:tcW w:w="1442"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r>
        <w:trPr>
          <w:trHeight w:val="292" w:hRule="atLeast"/>
        </w:trPr>
        <w:tc>
          <w:tcPr>
            <w:tcW w:w="1647"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2010108</w:t>
            </w:r>
          </w:p>
        </w:tc>
        <w:tc>
          <w:tcPr>
            <w:tcW w:w="3089" w:type="dxa"/>
            <w:vAlign w:val="top"/>
          </w:tcPr>
          <w:p>
            <w:pPr>
              <w:ind w:left="5"/>
              <w:spacing w:before="72" w:line="229" w:lineRule="auto"/>
              <w:rPr>
                <w:rFonts w:ascii="SimSun" w:hAnsi="SimSun" w:eastAsia="SimSun" w:cs="SimSun"/>
                <w:sz w:val="15"/>
                <w:szCs w:val="15"/>
              </w:rPr>
            </w:pPr>
            <w:r>
              <w:rPr>
                <w:rFonts w:ascii="SimSun" w:hAnsi="SimSun" w:eastAsia="SimSun" w:cs="SimSun"/>
                <w:sz w:val="15"/>
                <w:szCs w:val="15"/>
                <w:color w:val="212529"/>
                <w:spacing w:val="9"/>
              </w:rPr>
              <w:t>代表工作</w:t>
            </w:r>
          </w:p>
        </w:tc>
        <w:tc>
          <w:tcPr>
            <w:tcW w:w="1598" w:type="dxa"/>
            <w:vAlign w:val="top"/>
          </w:tcPr>
          <w:p>
            <w:pPr>
              <w:ind w:right="27"/>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126.10</w:t>
            </w:r>
          </w:p>
        </w:tc>
        <w:tc>
          <w:tcPr>
            <w:tcW w:w="1382" w:type="dxa"/>
            <w:vAlign w:val="top"/>
          </w:tcPr>
          <w:p>
            <w:pPr>
              <w:pStyle w:val="TableText"/>
              <w:rPr/>
            </w:pPr>
            <w:r/>
          </w:p>
        </w:tc>
        <w:tc>
          <w:tcPr>
            <w:tcW w:w="1442"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126.10</w:t>
            </w:r>
          </w:p>
        </w:tc>
      </w:tr>
      <w:tr>
        <w:trPr>
          <w:trHeight w:val="292" w:hRule="atLeast"/>
        </w:trPr>
        <w:tc>
          <w:tcPr>
            <w:tcW w:w="1647"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2010150</w:t>
            </w:r>
          </w:p>
        </w:tc>
        <w:tc>
          <w:tcPr>
            <w:tcW w:w="3089" w:type="dxa"/>
            <w:vAlign w:val="top"/>
          </w:tcPr>
          <w:p>
            <w:pPr>
              <w:ind w:left="7"/>
              <w:spacing w:before="73"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98" w:type="dxa"/>
            <w:vAlign w:val="top"/>
          </w:tcPr>
          <w:p>
            <w:pPr>
              <w:ind w:right="27"/>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33.33</w:t>
            </w:r>
          </w:p>
        </w:tc>
        <w:tc>
          <w:tcPr>
            <w:tcW w:w="1382"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33.33</w:t>
            </w:r>
          </w:p>
        </w:tc>
        <w:tc>
          <w:tcPr>
            <w:tcW w:w="1442" w:type="dxa"/>
            <w:vAlign w:val="top"/>
          </w:tcPr>
          <w:p>
            <w:pPr>
              <w:pStyle w:val="TableText"/>
              <w:rPr/>
            </w:pPr>
            <w:r/>
          </w:p>
        </w:tc>
      </w:tr>
      <w:tr>
        <w:trPr>
          <w:trHeight w:val="292" w:hRule="atLeast"/>
        </w:trPr>
        <w:tc>
          <w:tcPr>
            <w:tcW w:w="1647"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3089" w:type="dxa"/>
            <w:vAlign w:val="top"/>
          </w:tcPr>
          <w:p>
            <w:pPr>
              <w:ind w:left="5"/>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其他人大事务支出</w:t>
            </w:r>
          </w:p>
        </w:tc>
        <w:tc>
          <w:tcPr>
            <w:tcW w:w="1598" w:type="dxa"/>
            <w:vAlign w:val="top"/>
          </w:tcPr>
          <w:p>
            <w:pPr>
              <w:ind w:right="27"/>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362.80</w:t>
            </w:r>
          </w:p>
        </w:tc>
        <w:tc>
          <w:tcPr>
            <w:tcW w:w="1382" w:type="dxa"/>
            <w:vAlign w:val="top"/>
          </w:tcPr>
          <w:p>
            <w:pPr>
              <w:pStyle w:val="TableText"/>
              <w:rPr/>
            </w:pPr>
            <w:r/>
          </w:p>
        </w:tc>
        <w:tc>
          <w:tcPr>
            <w:tcW w:w="1442" w:type="dxa"/>
            <w:vAlign w:val="top"/>
          </w:tcPr>
          <w:p>
            <w:pPr>
              <w:ind w:right="24"/>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2.80</w:t>
            </w:r>
          </w:p>
        </w:tc>
      </w:tr>
      <w:tr>
        <w:trPr>
          <w:trHeight w:val="293" w:hRule="atLeast"/>
        </w:trPr>
        <w:tc>
          <w:tcPr>
            <w:tcW w:w="1647" w:type="dxa"/>
            <w:vAlign w:val="top"/>
          </w:tcPr>
          <w:p>
            <w:pPr>
              <w:pStyle w:val="TableText"/>
              <w:rPr/>
            </w:pPr>
            <w:r/>
          </w:p>
        </w:tc>
        <w:tc>
          <w:tcPr>
            <w:tcW w:w="3089" w:type="dxa"/>
            <w:vAlign w:val="top"/>
          </w:tcPr>
          <w:p>
            <w:pPr>
              <w:ind w:left="7"/>
              <w:spacing w:before="75"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76.71</w:t>
            </w:r>
          </w:p>
        </w:tc>
        <w:tc>
          <w:tcPr>
            <w:tcW w:w="1382" w:type="dxa"/>
            <w:vAlign w:val="top"/>
          </w:tcPr>
          <w:p>
            <w:pPr>
              <w:ind w:left="961"/>
              <w:spacing w:before="74" w:line="202" w:lineRule="exact"/>
              <w:rPr>
                <w:rFonts w:ascii="SimSun" w:hAnsi="SimSun" w:eastAsia="SimSun" w:cs="SimSun"/>
                <w:sz w:val="15"/>
                <w:szCs w:val="15"/>
              </w:rPr>
            </w:pPr>
            <w:r>
              <w:rPr>
                <w:rFonts w:ascii="SimSun" w:hAnsi="SimSun" w:eastAsia="SimSun" w:cs="SimSun"/>
                <w:sz w:val="15"/>
                <w:szCs w:val="15"/>
                <w:color w:val="212529"/>
                <w:spacing w:val="2"/>
                <w:position w:val="1"/>
              </w:rPr>
              <w:t>76.</w:t>
            </w:r>
          </w:p>
        </w:tc>
        <w:tc>
          <w:tcPr>
            <w:tcW w:w="1442" w:type="dxa"/>
            <w:vAlign w:val="top"/>
          </w:tcPr>
          <w:p>
            <w:pPr>
              <w:pStyle w:val="TableText"/>
              <w:rPr/>
            </w:pPr>
            <w:r/>
          </w:p>
        </w:tc>
      </w:tr>
      <w:tr>
        <w:trPr>
          <w:trHeight w:val="293" w:hRule="atLeast"/>
        </w:trPr>
        <w:tc>
          <w:tcPr>
            <w:tcW w:w="1647"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89"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76.71</w:t>
            </w:r>
          </w:p>
        </w:tc>
        <w:tc>
          <w:tcPr>
            <w:tcW w:w="1382" w:type="dxa"/>
            <w:vAlign w:val="top"/>
          </w:tcPr>
          <w:p>
            <w:pPr>
              <w:ind w:left="1124"/>
              <w:spacing w:before="190"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442" w:type="dxa"/>
            <w:vAlign w:val="top"/>
          </w:tcPr>
          <w:p>
            <w:pPr>
              <w:pStyle w:val="TableText"/>
              <w:rPr/>
            </w:pPr>
            <w:r/>
          </w:p>
        </w:tc>
      </w:tr>
      <w:tr>
        <w:trPr>
          <w:trHeight w:val="293" w:hRule="atLeast"/>
        </w:trPr>
        <w:tc>
          <w:tcPr>
            <w:tcW w:w="1647"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089"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382"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.85</w:t>
            </w:r>
          </w:p>
        </w:tc>
        <w:tc>
          <w:tcPr>
            <w:tcW w:w="1442" w:type="dxa"/>
            <w:vAlign w:val="top"/>
          </w:tcPr>
          <w:p>
            <w:pPr>
              <w:pStyle w:val="TableText"/>
              <w:rPr/>
            </w:pPr>
            <w:r/>
          </w:p>
        </w:tc>
      </w:tr>
      <w:tr>
        <w:trPr>
          <w:trHeight w:val="292" w:hRule="atLeast"/>
        </w:trPr>
        <w:tc>
          <w:tcPr>
            <w:tcW w:w="1647"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89" w:type="dxa"/>
            <w:vAlign w:val="top"/>
          </w:tcPr>
          <w:p>
            <w:pPr>
              <w:ind w:left="5"/>
              <w:spacing w:before="74"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98" w:type="dxa"/>
            <w:vAlign w:val="top"/>
          </w:tcPr>
          <w:p>
            <w:pPr>
              <w:ind w:right="27"/>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36.87</w:t>
            </w:r>
          </w:p>
        </w:tc>
        <w:tc>
          <w:tcPr>
            <w:tcW w:w="1382"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36.87</w:t>
            </w:r>
          </w:p>
        </w:tc>
        <w:tc>
          <w:tcPr>
            <w:tcW w:w="1442" w:type="dxa"/>
            <w:vAlign w:val="top"/>
          </w:tcPr>
          <w:p>
            <w:pPr>
              <w:pStyle w:val="TableText"/>
              <w:rPr/>
            </w:pPr>
            <w:r/>
          </w:p>
        </w:tc>
      </w:tr>
      <w:tr>
        <w:trPr>
          <w:trHeight w:val="293" w:hRule="atLeast"/>
        </w:trPr>
        <w:tc>
          <w:tcPr>
            <w:tcW w:w="1647"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89" w:type="dxa"/>
            <w:vAlign w:val="top"/>
          </w:tcPr>
          <w:p>
            <w:pPr>
              <w:ind w:left="7"/>
              <w:spacing w:before="74"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382"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442" w:type="dxa"/>
            <w:vAlign w:val="top"/>
          </w:tcPr>
          <w:p>
            <w:pPr>
              <w:pStyle w:val="TableText"/>
              <w:rPr/>
            </w:pPr>
            <w:r/>
          </w:p>
        </w:tc>
      </w:tr>
      <w:tr>
        <w:trPr>
          <w:trHeight w:val="292" w:hRule="atLeast"/>
        </w:trPr>
        <w:tc>
          <w:tcPr>
            <w:tcW w:w="1647"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89" w:type="dxa"/>
            <w:vAlign w:val="top"/>
          </w:tcPr>
          <w:p>
            <w:pPr>
              <w:ind w:left="6"/>
              <w:spacing w:before="74"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382"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23.57</w:t>
            </w:r>
          </w:p>
        </w:tc>
        <w:tc>
          <w:tcPr>
            <w:tcW w:w="1442" w:type="dxa"/>
            <w:vAlign w:val="top"/>
          </w:tcPr>
          <w:p>
            <w:pPr>
              <w:pStyle w:val="TableText"/>
              <w:rPr/>
            </w:pPr>
            <w:r/>
          </w:p>
        </w:tc>
      </w:tr>
      <w:tr>
        <w:trPr>
          <w:trHeight w:val="293" w:hRule="atLeast"/>
        </w:trPr>
        <w:tc>
          <w:tcPr>
            <w:tcW w:w="1647"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89" w:type="dxa"/>
            <w:vAlign w:val="top"/>
          </w:tcPr>
          <w:p>
            <w:pPr>
              <w:ind w:left="6"/>
              <w:spacing w:before="74"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98" w:type="dxa"/>
            <w:vAlign w:val="top"/>
          </w:tcPr>
          <w:p>
            <w:pPr>
              <w:ind w:right="27"/>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15.61</w:t>
            </w:r>
          </w:p>
        </w:tc>
        <w:tc>
          <w:tcPr>
            <w:tcW w:w="1382"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15.61</w:t>
            </w:r>
          </w:p>
        </w:tc>
        <w:tc>
          <w:tcPr>
            <w:tcW w:w="1442" w:type="dxa"/>
            <w:vAlign w:val="top"/>
          </w:tcPr>
          <w:p>
            <w:pPr>
              <w:pStyle w:val="TableText"/>
              <w:rPr/>
            </w:pPr>
            <w:r/>
          </w:p>
        </w:tc>
      </w:tr>
      <w:tr>
        <w:trPr>
          <w:trHeight w:val="293" w:hRule="atLeast"/>
        </w:trPr>
        <w:tc>
          <w:tcPr>
            <w:tcW w:w="1647"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89" w:type="dxa"/>
            <w:vAlign w:val="top"/>
          </w:tcPr>
          <w:p>
            <w:pPr>
              <w:ind w:left="7"/>
              <w:spacing w:before="7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1.91</w:t>
            </w:r>
          </w:p>
        </w:tc>
        <w:tc>
          <w:tcPr>
            <w:tcW w:w="1382"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1.91</w:t>
            </w:r>
          </w:p>
        </w:tc>
        <w:tc>
          <w:tcPr>
            <w:tcW w:w="1442" w:type="dxa"/>
            <w:vAlign w:val="top"/>
          </w:tcPr>
          <w:p>
            <w:pPr>
              <w:pStyle w:val="TableText"/>
              <w:rPr/>
            </w:pPr>
            <w:r/>
          </w:p>
        </w:tc>
      </w:tr>
      <w:tr>
        <w:trPr>
          <w:trHeight w:val="292" w:hRule="atLeast"/>
        </w:trPr>
        <w:tc>
          <w:tcPr>
            <w:tcW w:w="1647"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89" w:type="dxa"/>
            <w:vAlign w:val="top"/>
          </w:tcPr>
          <w:p>
            <w:pPr>
              <w:ind w:left="11"/>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98" w:type="dxa"/>
            <w:vAlign w:val="top"/>
          </w:tcPr>
          <w:p>
            <w:pPr>
              <w:ind w:right="27"/>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6.04</w:t>
            </w:r>
          </w:p>
        </w:tc>
        <w:tc>
          <w:tcPr>
            <w:tcW w:w="1382"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6.04</w:t>
            </w:r>
          </w:p>
        </w:tc>
        <w:tc>
          <w:tcPr>
            <w:tcW w:w="1442" w:type="dxa"/>
            <w:vAlign w:val="top"/>
          </w:tcPr>
          <w:p>
            <w:pPr>
              <w:pStyle w:val="TableText"/>
              <w:rPr/>
            </w:pPr>
            <w:r/>
          </w:p>
        </w:tc>
      </w:tr>
      <w:tr>
        <w:trPr>
          <w:trHeight w:val="292" w:hRule="atLeast"/>
        </w:trPr>
        <w:tc>
          <w:tcPr>
            <w:tcW w:w="1647"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89"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98" w:type="dxa"/>
            <w:vAlign w:val="top"/>
          </w:tcPr>
          <w:p>
            <w:pPr>
              <w:ind w:right="27"/>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82"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442" w:type="dxa"/>
            <w:vAlign w:val="top"/>
          </w:tcPr>
          <w:p>
            <w:pPr>
              <w:pStyle w:val="TableText"/>
              <w:rPr/>
            </w:pPr>
            <w:r/>
          </w:p>
        </w:tc>
      </w:tr>
      <w:tr>
        <w:trPr>
          <w:trHeight w:val="293" w:hRule="atLeast"/>
        </w:trPr>
        <w:tc>
          <w:tcPr>
            <w:tcW w:w="1647"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89" w:type="dxa"/>
            <w:vAlign w:val="top"/>
          </w:tcPr>
          <w:p>
            <w:pPr>
              <w:ind w:left="6"/>
              <w:spacing w:before="76"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98" w:type="dxa"/>
            <w:vAlign w:val="top"/>
          </w:tcPr>
          <w:p>
            <w:pPr>
              <w:ind w:right="27"/>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82" w:type="dxa"/>
            <w:vAlign w:val="top"/>
          </w:tcPr>
          <w:p>
            <w:pPr>
              <w:ind w:right="16"/>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442" w:type="dxa"/>
            <w:vAlign w:val="top"/>
          </w:tcPr>
          <w:p>
            <w:pPr>
              <w:pStyle w:val="TableText"/>
              <w:rPr/>
            </w:pPr>
            <w:r/>
          </w:p>
        </w:tc>
      </w:tr>
      <w:tr>
        <w:trPr>
          <w:trHeight w:val="298" w:hRule="atLeast"/>
        </w:trPr>
        <w:tc>
          <w:tcPr>
            <w:tcW w:w="1647"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89" w:type="dxa"/>
            <w:vAlign w:val="top"/>
          </w:tcPr>
          <w:p>
            <w:pPr>
              <w:ind w:left="6"/>
              <w:spacing w:before="7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98" w:type="dxa"/>
            <w:vAlign w:val="top"/>
          </w:tcPr>
          <w:p>
            <w:pPr>
              <w:ind w:right="27"/>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382"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442" w:type="dxa"/>
            <w:vAlign w:val="top"/>
          </w:tcPr>
          <w:p>
            <w:pPr>
              <w:pStyle w:val="TableText"/>
              <w:rPr/>
            </w:pPr>
            <w:r/>
          </w:p>
        </w:tc>
      </w:tr>
    </w:tbl>
    <w:p>
      <w:pPr>
        <w:pStyle w:val="BodyText"/>
        <w:rPr/>
      </w:pPr>
      <w:r/>
    </w:p>
    <w:p>
      <w:pPr>
        <w:sectPr>
          <w:headerReference w:type="default" r:id="rId19"/>
          <w:footerReference w:type="default" r:id="rId20"/>
          <w:pgSz w:w="11900" w:h="16840"/>
          <w:pgMar w:top="642" w:right="0" w:bottom="340" w:left="0" w:header="326" w:footer="93"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8"/>
            <w:bookmarkEnd w:id="18"/>
            <w:bookmarkStart w:name="bookmark11" w:id="19"/>
            <w:bookmarkEnd w:id="19"/>
            <w:bookmarkStart w:name="bookmark12" w:id="20"/>
            <w:bookmarkEnd w:id="20"/>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3"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79"/>
              <w:spacing w:before="87" w:line="172" w:lineRule="auto"/>
              <w:rPr>
                <w:sz w:val="14"/>
                <w:szCs w:val="14"/>
              </w:rPr>
            </w:pPr>
            <w:r>
              <w:rPr>
                <w:sz w:val="14"/>
                <w:szCs w:val="14"/>
                <w:color w:val="212529"/>
                <w:spacing w:val="1"/>
              </w:rPr>
              <w:t>458.</w:t>
            </w:r>
            <w:r>
              <w:rPr>
                <w:sz w:val="14"/>
                <w:szCs w:val="14"/>
                <w:color w:val="212529"/>
                <w:spacing w:val="1"/>
              </w:rPr>
              <w:t xml:space="preserve"> </w:t>
            </w:r>
            <w:r>
              <w:rPr>
                <w:sz w:val="14"/>
                <w:szCs w:val="14"/>
                <w:color w:val="212529"/>
                <w:spacing w:val="1"/>
              </w:rPr>
              <w:t>46</w:t>
            </w:r>
          </w:p>
        </w:tc>
        <w:tc>
          <w:tcPr>
            <w:tcW w:w="1188" w:type="dxa"/>
            <w:vAlign w:val="top"/>
          </w:tcPr>
          <w:p>
            <w:pPr>
              <w:pStyle w:val="TableText"/>
              <w:ind w:left="682"/>
              <w:spacing w:before="87" w:line="173" w:lineRule="auto"/>
              <w:rPr>
                <w:sz w:val="14"/>
                <w:szCs w:val="14"/>
              </w:rPr>
            </w:pPr>
            <w:r>
              <w:rPr>
                <w:sz w:val="14"/>
                <w:szCs w:val="14"/>
                <w:color w:val="212529"/>
              </w:rPr>
              <w:t>416.</w:t>
            </w:r>
            <w:r>
              <w:rPr>
                <w:sz w:val="14"/>
                <w:szCs w:val="14"/>
                <w:color w:val="212529"/>
                <w:spacing w:val="8"/>
              </w:rPr>
              <w:t xml:space="preserve"> </w:t>
            </w:r>
            <w:r>
              <w:rPr>
                <w:sz w:val="14"/>
                <w:szCs w:val="14"/>
                <w:color w:val="212529"/>
              </w:rPr>
              <w:t>59</w:t>
            </w:r>
          </w:p>
        </w:tc>
        <w:tc>
          <w:tcPr>
            <w:tcW w:w="1118" w:type="dxa"/>
            <w:vAlign w:val="top"/>
          </w:tcPr>
          <w:p>
            <w:pPr>
              <w:pStyle w:val="TableText"/>
              <w:ind w:left="687"/>
              <w:spacing w:before="87" w:line="186" w:lineRule="auto"/>
              <w:rPr>
                <w:sz w:val="13"/>
                <w:szCs w:val="13"/>
              </w:rPr>
            </w:pPr>
            <w:r>
              <w:rPr>
                <w:sz w:val="13"/>
                <w:szCs w:val="13"/>
                <w:color w:val="212529"/>
                <w:spacing w:val="4"/>
              </w:rPr>
              <w:t>41.</w:t>
            </w:r>
            <w:r>
              <w:rPr>
                <w:sz w:val="13"/>
                <w:szCs w:val="13"/>
                <w:color w:val="212529"/>
                <w:spacing w:val="12"/>
                <w:w w:val="102"/>
              </w:rPr>
              <w:t xml:space="preserve"> </w:t>
            </w:r>
            <w:r>
              <w:rPr>
                <w:sz w:val="13"/>
                <w:szCs w:val="13"/>
                <w:color w:val="212529"/>
                <w:spacing w:val="4"/>
              </w:rPr>
              <w:t>87</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380.78</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376.74</w:t>
            </w:r>
          </w:p>
        </w:tc>
        <w:tc>
          <w:tcPr>
            <w:tcW w:w="1118" w:type="dxa"/>
            <w:vAlign w:val="top"/>
          </w:tcPr>
          <w:p>
            <w:pPr>
              <w:ind w:right="22"/>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4.04</w:t>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136.39</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136.39</w:t>
            </w:r>
          </w:p>
        </w:tc>
        <w:tc>
          <w:tcPr>
            <w:tcW w:w="1118" w:type="dxa"/>
            <w:vAlign w:val="top"/>
          </w:tcPr>
          <w:p>
            <w:pPr>
              <w:pStyle w:val="TableText"/>
              <w:rPr/>
            </w:pPr>
            <w:r/>
          </w:p>
        </w:tc>
      </w:tr>
      <w:tr>
        <w:trPr>
          <w:trHeight w:val="292"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78.31</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78.31</w:t>
            </w:r>
          </w:p>
        </w:tc>
        <w:tc>
          <w:tcPr>
            <w:tcW w:w="1118" w:type="dxa"/>
            <w:vAlign w:val="top"/>
          </w:tcPr>
          <w:p>
            <w:pPr>
              <w:pStyle w:val="TableText"/>
              <w:rPr/>
            </w:pPr>
            <w:r/>
          </w:p>
        </w:tc>
      </w:tr>
      <w:tr>
        <w:trPr>
          <w:trHeight w:val="292" w:hRule="atLeast"/>
        </w:trPr>
        <w:tc>
          <w:tcPr>
            <w:tcW w:w="3310"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21.36</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21.36</w:t>
            </w:r>
          </w:p>
        </w:tc>
        <w:tc>
          <w:tcPr>
            <w:tcW w:w="1118" w:type="dxa"/>
            <w:vAlign w:val="top"/>
          </w:tcPr>
          <w:p>
            <w:pPr>
              <w:pStyle w:val="TableText"/>
              <w:rPr/>
            </w:pPr>
            <w:r/>
          </w:p>
        </w:tc>
      </w:tr>
      <w:tr>
        <w:trPr>
          <w:trHeight w:val="292" w:hRule="atLeast"/>
        </w:trPr>
        <w:tc>
          <w:tcPr>
            <w:tcW w:w="3310"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11.75</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11.75</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32.21</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32.21</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4.66</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4.66</w:t>
            </w:r>
          </w:p>
        </w:tc>
        <w:tc>
          <w:tcPr>
            <w:tcW w:w="1118" w:type="dxa"/>
            <w:vAlign w:val="top"/>
          </w:tcPr>
          <w:p>
            <w:pPr>
              <w:pStyle w:val="TableText"/>
              <w:rPr/>
            </w:pPr>
            <w:r/>
          </w:p>
        </w:tc>
      </w:tr>
      <w:tr>
        <w:trPr>
          <w:trHeight w:val="293" w:hRule="atLeast"/>
        </w:trPr>
        <w:tc>
          <w:tcPr>
            <w:tcW w:w="3310" w:type="dxa"/>
            <w:vAlign w:val="top"/>
          </w:tcPr>
          <w:p>
            <w:pPr>
              <w:ind w:left="655"/>
              <w:spacing w:before="73" w:line="228" w:lineRule="auto"/>
              <w:rPr>
                <w:rFonts w:ascii="SimSun" w:hAnsi="SimSun" w:eastAsia="SimSun" w:cs="SimSun"/>
                <w:sz w:val="15"/>
                <w:szCs w:val="15"/>
              </w:rPr>
            </w:pPr>
            <w:r>
              <w:rPr>
                <w:rFonts w:ascii="SimSun" w:hAnsi="SimSun" w:eastAsia="SimSun" w:cs="SimSun"/>
                <w:sz w:val="15"/>
                <w:szCs w:val="15"/>
                <w:color w:val="212529"/>
                <w:spacing w:val="11"/>
              </w:rPr>
              <w:t>基本医疗保险缴费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13.08</w:t>
            </w:r>
          </w:p>
        </w:tc>
        <w:tc>
          <w:tcPr>
            <w:tcW w:w="1188" w:type="dxa"/>
            <w:vAlign w:val="top"/>
          </w:tcPr>
          <w:p>
            <w:pPr>
              <w:ind w:right="16"/>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13.08</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1.89</w:t>
            </w:r>
          </w:p>
        </w:tc>
        <w:tc>
          <w:tcPr>
            <w:tcW w:w="1188" w:type="dxa"/>
            <w:vAlign w:val="top"/>
          </w:tcPr>
          <w:p>
            <w:pPr>
              <w:ind w:left="930"/>
              <w:spacing w:before="189" w:line="62"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6"/>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6.04</w:t>
            </w:r>
          </w:p>
        </w:tc>
        <w:tc>
          <w:tcPr>
            <w:tcW w:w="1188" w:type="dxa"/>
            <w:vAlign w:val="top"/>
          </w:tcPr>
          <w:p>
            <w:pPr>
              <w:ind w:left="930"/>
              <w:spacing w:before="188"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left="845"/>
              <w:spacing w:before="72"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3.24</w:t>
            </w:r>
          </w:p>
        </w:tc>
        <w:tc>
          <w:tcPr>
            <w:tcW w:w="1118" w:type="dxa"/>
            <w:vAlign w:val="top"/>
          </w:tcPr>
          <w:p>
            <w:pPr>
              <w:pStyle w:val="TableText"/>
              <w:rPr/>
            </w:pPr>
            <w:r/>
          </w:p>
        </w:tc>
      </w:tr>
      <w:tr>
        <w:trPr>
          <w:trHeight w:val="292" w:hRule="atLeast"/>
        </w:trPr>
        <w:tc>
          <w:tcPr>
            <w:tcW w:w="3310" w:type="dxa"/>
            <w:vAlign w:val="top"/>
          </w:tcPr>
          <w:p>
            <w:pPr>
              <w:ind w:left="331"/>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left="764"/>
              <w:spacing w:before="71" w:line="202" w:lineRule="exact"/>
              <w:rPr>
                <w:rFonts w:ascii="SimSun" w:hAnsi="SimSun" w:eastAsia="SimSun" w:cs="SimSun"/>
                <w:sz w:val="15"/>
                <w:szCs w:val="15"/>
              </w:rPr>
            </w:pPr>
            <w:r>
              <w:rPr>
                <w:rFonts w:ascii="SimSun" w:hAnsi="SimSun" w:eastAsia="SimSun" w:cs="SimSun"/>
                <w:sz w:val="15"/>
                <w:szCs w:val="15"/>
                <w:color w:val="212529"/>
                <w:spacing w:val="2"/>
                <w:position w:val="1"/>
              </w:rPr>
              <w:t>31.</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31.21</w:t>
            </w:r>
          </w:p>
        </w:tc>
        <w:tc>
          <w:tcPr>
            <w:tcW w:w="1118" w:type="dxa"/>
            <w:vAlign w:val="top"/>
          </w:tcPr>
          <w:p>
            <w:pPr>
              <w:pStyle w:val="TableText"/>
              <w:rPr/>
            </w:pPr>
            <w:r/>
          </w:p>
        </w:tc>
      </w:tr>
      <w:tr>
        <w:trPr>
          <w:trHeight w:val="293"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40.64</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36.59</w:t>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4.04</w:t>
            </w:r>
          </w:p>
        </w:tc>
      </w:tr>
      <w:tr>
        <w:trPr>
          <w:trHeight w:val="292" w:hRule="atLeast"/>
        </w:trPr>
        <w:tc>
          <w:tcPr>
            <w:tcW w:w="3310"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37.83</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37.83</w:t>
            </w:r>
          </w:p>
        </w:tc>
      </w:tr>
      <w:tr>
        <w:trPr>
          <w:trHeight w:val="293" w:hRule="atLeast"/>
        </w:trPr>
        <w:tc>
          <w:tcPr>
            <w:tcW w:w="3310" w:type="dxa"/>
            <w:vAlign w:val="top"/>
          </w:tcPr>
          <w:p>
            <w:pPr>
              <w:ind w:left="334"/>
              <w:spacing w:before="73"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r>
      <w:tr>
        <w:trPr>
          <w:trHeight w:val="293" w:hRule="atLeast"/>
        </w:trPr>
        <w:tc>
          <w:tcPr>
            <w:tcW w:w="3310" w:type="dxa"/>
            <w:vAlign w:val="top"/>
          </w:tcPr>
          <w:p>
            <w:pPr>
              <w:ind w:left="344"/>
              <w:spacing w:before="72"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333"/>
              <w:spacing w:before="72"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4.61</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4.61</w:t>
            </w:r>
          </w:p>
        </w:tc>
      </w:tr>
      <w:tr>
        <w:trPr>
          <w:trHeight w:val="293"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8.06</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8.06</w:t>
            </w:r>
          </w:p>
        </w:tc>
      </w:tr>
      <w:tr>
        <w:trPr>
          <w:trHeight w:val="292" w:hRule="atLeast"/>
        </w:trPr>
        <w:tc>
          <w:tcPr>
            <w:tcW w:w="3310" w:type="dxa"/>
            <w:vAlign w:val="top"/>
          </w:tcPr>
          <w:p>
            <w:pPr>
              <w:ind w:left="336"/>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18.75</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18.75</w:t>
            </w:r>
          </w:p>
        </w:tc>
      </w:tr>
      <w:tr>
        <w:trPr>
          <w:trHeight w:val="293" w:hRule="atLeast"/>
        </w:trPr>
        <w:tc>
          <w:tcPr>
            <w:tcW w:w="3310"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5"/>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188"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118" w:type="dxa"/>
            <w:vAlign w:val="top"/>
          </w:tcPr>
          <w:p>
            <w:pPr>
              <w:pStyle w:val="TableText"/>
              <w:rPr/>
            </w:pPr>
            <w:r/>
          </w:p>
        </w:tc>
      </w:tr>
      <w:tr>
        <w:trPr>
          <w:trHeight w:val="298"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39.85</w:t>
            </w:r>
          </w:p>
        </w:tc>
        <w:tc>
          <w:tcPr>
            <w:tcW w:w="1118" w:type="dxa"/>
            <w:vAlign w:val="top"/>
          </w:tcPr>
          <w:p>
            <w:pPr>
              <w:pStyle w:val="TableText"/>
              <w:rPr/>
            </w:pPr>
            <w:r/>
          </w:p>
        </w:tc>
      </w:tr>
    </w:tbl>
    <w:p>
      <w:pPr>
        <w:pStyle w:val="BodyText"/>
        <w:rPr/>
      </w:pPr>
      <w:r/>
    </w:p>
    <w:p>
      <w:pPr>
        <w:sectPr>
          <w:headerReference w:type="default" r:id="rId21"/>
          <w:footerReference w:type="default" r:id="rId2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60"/>
        <w:gridCol w:w="4838"/>
        <w:gridCol w:w="1960"/>
      </w:tblGrid>
      <w:tr>
        <w:trPr>
          <w:trHeight w:val="383" w:hRule="atLeast"/>
        </w:trPr>
        <w:tc>
          <w:tcPr>
            <w:tcW w:w="23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83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1"/>
            <w:bookmarkEnd w:id="21"/>
            <w:bookmarkStart w:name="bookmark13" w:id="22"/>
            <w:bookmarkEnd w:id="22"/>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198"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960" w:type="dxa"/>
            <w:vAlign w:val="top"/>
            <w:tcBorders>
              <w:top w:val="single" w:color="FFFFFF" w:sz="4" w:space="0"/>
              <w:left w:val="single" w:color="FFFFFF" w:sz="2" w:space="0"/>
              <w:right w:val="single" w:color="FFFFFF" w:sz="2" w:space="0"/>
            </w:tcBorders>
          </w:tcPr>
          <w:p>
            <w:pPr>
              <w:ind w:left="1352"/>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198" w:type="dxa"/>
            <w:vAlign w:val="top"/>
            <w:gridSpan w:val="2"/>
          </w:tcPr>
          <w:p>
            <w:pPr>
              <w:ind w:left="3423"/>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960" w:type="dxa"/>
            <w:vAlign w:val="top"/>
            <w:vMerge w:val="restart"/>
            <w:tcBorders>
              <w:bottom w:val="nil"/>
            </w:tcBorders>
          </w:tcPr>
          <w:p>
            <w:pPr>
              <w:ind w:left="23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360" w:type="dxa"/>
            <w:vAlign w:val="top"/>
          </w:tcPr>
          <w:p>
            <w:pPr>
              <w:ind w:left="684"/>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838" w:type="dxa"/>
            <w:vAlign w:val="top"/>
          </w:tcPr>
          <w:p>
            <w:pPr>
              <w:ind w:left="2076"/>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960" w:type="dxa"/>
            <w:vAlign w:val="top"/>
            <w:vMerge w:val="continue"/>
            <w:tcBorders>
              <w:top w:val="nil"/>
            </w:tcBorders>
          </w:tcPr>
          <w:p>
            <w:pPr>
              <w:pStyle w:val="TableText"/>
              <w:rPr/>
            </w:pPr>
            <w:r/>
          </w:p>
        </w:tc>
      </w:tr>
      <w:tr>
        <w:trPr>
          <w:trHeight w:val="378" w:hRule="atLeast"/>
        </w:trPr>
        <w:tc>
          <w:tcPr>
            <w:tcW w:w="7198" w:type="dxa"/>
            <w:vAlign w:val="top"/>
            <w:gridSpan w:val="2"/>
          </w:tcPr>
          <w:p>
            <w:pPr>
              <w:ind w:left="342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960" w:type="dxa"/>
            <w:vAlign w:val="top"/>
          </w:tcPr>
          <w:p>
            <w:pPr>
              <w:pStyle w:val="TableText"/>
              <w:rPr/>
            </w:pPr>
            <w:r/>
          </w:p>
        </w:tc>
      </w:tr>
      <w:tr>
        <w:trPr>
          <w:trHeight w:val="378" w:hRule="atLeast"/>
        </w:trPr>
        <w:tc>
          <w:tcPr>
            <w:tcW w:w="2360" w:type="dxa"/>
            <w:vAlign w:val="top"/>
          </w:tcPr>
          <w:p>
            <w:pPr>
              <w:pStyle w:val="TableText"/>
              <w:rPr/>
            </w:pPr>
            <w:r/>
          </w:p>
        </w:tc>
        <w:tc>
          <w:tcPr>
            <w:tcW w:w="4838" w:type="dxa"/>
            <w:vAlign w:val="top"/>
          </w:tcPr>
          <w:p>
            <w:pPr>
              <w:pStyle w:val="TableText"/>
              <w:rPr/>
            </w:pPr>
            <w:r/>
          </w:p>
        </w:tc>
        <w:tc>
          <w:tcPr>
            <w:tcW w:w="1960"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3"/>
          <w:footerReference w:type="default" r:id="rId24"/>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22"/>
        <w:gridCol w:w="3553"/>
        <w:gridCol w:w="1145"/>
        <w:gridCol w:w="1156"/>
        <w:gridCol w:w="1182"/>
      </w:tblGrid>
      <w:tr>
        <w:trPr>
          <w:trHeight w:val="383" w:hRule="atLeast"/>
        </w:trPr>
        <w:tc>
          <w:tcPr>
            <w:tcW w:w="21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3"/>
            <w:bookmarkEnd w:id="23"/>
            <w:bookmarkStart w:name="bookmark14" w:id="24"/>
            <w:bookmarkEnd w:id="24"/>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675"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6" w:type="dxa"/>
            <w:vAlign w:val="top"/>
            <w:tcBorders>
              <w:top w:val="single" w:color="FFFFFF" w:sz="4" w:space="0"/>
              <w:left w:val="single" w:color="FFFFFF" w:sz="2" w:space="0"/>
              <w:right w:val="single" w:color="FFFFFF" w:sz="2" w:space="0"/>
            </w:tcBorders>
          </w:tcPr>
          <w:p>
            <w:pPr>
              <w:pStyle w:val="TableText"/>
              <w:rPr/>
            </w:pPr>
            <w:r/>
          </w:p>
        </w:tc>
        <w:tc>
          <w:tcPr>
            <w:tcW w:w="1182" w:type="dxa"/>
            <w:vAlign w:val="top"/>
            <w:tcBorders>
              <w:top w:val="single" w:color="FFFFFF" w:sz="4" w:space="0"/>
              <w:left w:val="single" w:color="FFFFFF" w:sz="2" w:space="0"/>
              <w:right w:val="single" w:color="FFFFFF" w:sz="2" w:space="0"/>
            </w:tcBorders>
          </w:tcPr>
          <w:p>
            <w:pPr>
              <w:ind w:left="574"/>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122" w:type="dxa"/>
            <w:vAlign w:val="top"/>
          </w:tcPr>
          <w:p>
            <w:pPr>
              <w:ind w:left="72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53" w:type="dxa"/>
            <w:vAlign w:val="top"/>
          </w:tcPr>
          <w:p>
            <w:pPr>
              <w:ind w:left="143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45" w:type="dxa"/>
            <w:vAlign w:val="top"/>
          </w:tcPr>
          <w:p>
            <w:pPr>
              <w:ind w:left="404"/>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ind w:left="24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82" w:type="dxa"/>
            <w:vAlign w:val="top"/>
          </w:tcPr>
          <w:p>
            <w:pPr>
              <w:ind w:left="254"/>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75" w:type="dxa"/>
            <w:vAlign w:val="top"/>
            <w:gridSpan w:val="2"/>
          </w:tcPr>
          <w:p>
            <w:pPr>
              <w:ind w:left="266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78" w:hRule="atLeast"/>
        </w:trPr>
        <w:tc>
          <w:tcPr>
            <w:tcW w:w="2122" w:type="dxa"/>
            <w:vAlign w:val="top"/>
          </w:tcPr>
          <w:p>
            <w:pPr>
              <w:pStyle w:val="TableText"/>
              <w:rPr/>
            </w:pPr>
            <w:r/>
          </w:p>
        </w:tc>
        <w:tc>
          <w:tcPr>
            <w:tcW w:w="3553" w:type="dxa"/>
            <w:vAlign w:val="top"/>
          </w:tcPr>
          <w:p>
            <w:pPr>
              <w:pStyle w:val="TableText"/>
              <w:rPr/>
            </w:pPr>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5"/>
          <w:footerReference w:type="default" r:id="rId26"/>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60"/>
        <w:gridCol w:w="951"/>
        <w:gridCol w:w="961"/>
        <w:gridCol w:w="1436"/>
        <w:gridCol w:w="983"/>
        <w:gridCol w:w="940"/>
        <w:gridCol w:w="988"/>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5"/>
            <w:bookmarkEnd w:id="25"/>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170"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988" w:type="dxa"/>
            <w:vAlign w:val="top"/>
            <w:tcBorders>
              <w:top w:val="single" w:color="FFFFFF" w:sz="4" w:space="0"/>
              <w:left w:val="single" w:color="FFFFFF" w:sz="2" w:space="0"/>
              <w:right w:val="single" w:color="FFFFFF" w:sz="2" w:space="0"/>
            </w:tcBorders>
          </w:tcPr>
          <w:p>
            <w:pPr>
              <w:ind w:left="315"/>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2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9"/>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99" w:type="dxa"/>
            <w:vAlign w:val="top"/>
            <w:gridSpan w:val="2"/>
          </w:tcPr>
          <w:p>
            <w:pPr>
              <w:ind w:left="1273"/>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51" w:type="dxa"/>
            <w:vAlign w:val="top"/>
            <w:vMerge w:val="restart"/>
            <w:tcBorders>
              <w:bottom w:val="nil"/>
            </w:tcBorders>
          </w:tcPr>
          <w:p>
            <w:pPr>
              <w:ind w:left="58" w:right="77" w:firstLine="15"/>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61" w:type="dxa"/>
            <w:vAlign w:val="top"/>
            <w:vMerge w:val="restart"/>
            <w:tcBorders>
              <w:bottom w:val="nil"/>
            </w:tcBorders>
          </w:tcPr>
          <w:p>
            <w:pPr>
              <w:pStyle w:val="TableText"/>
              <w:rPr/>
            </w:pPr>
            <w:r/>
          </w:p>
          <w:p>
            <w:pPr>
              <w:ind w:left="14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restart"/>
            <w:tcBorders>
              <w:bottom w:val="nil"/>
            </w:tcBorders>
          </w:tcPr>
          <w:p>
            <w:pPr>
              <w:pStyle w:val="TableText"/>
              <w:spacing w:line="241" w:lineRule="auto"/>
              <w:rPr/>
            </w:pPr>
            <w:r/>
          </w:p>
          <w:p>
            <w:pPr>
              <w:ind w:left="32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vMerge w:val="restart"/>
            <w:tcBorders>
              <w:bottom w:val="nil"/>
            </w:tcBorders>
          </w:tcPr>
          <w:p>
            <w:pPr>
              <w:ind w:left="136"/>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88" w:type="dxa"/>
            <w:vAlign w:val="top"/>
            <w:vMerge w:val="restart"/>
            <w:tcBorders>
              <w:bottom w:val="nil"/>
            </w:tcBorders>
          </w:tcPr>
          <w:p>
            <w:pPr>
              <w:pStyle w:val="TableText"/>
              <w:rPr/>
            </w:pPr>
            <w:r/>
          </w:p>
          <w:p>
            <w:pPr>
              <w:ind w:left="15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39" w:type="dxa"/>
            <w:vAlign w:val="top"/>
          </w:tcPr>
          <w:p>
            <w:pPr>
              <w:ind w:left="73"/>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60" w:type="dxa"/>
            <w:vAlign w:val="top"/>
          </w:tcPr>
          <w:p>
            <w:pPr>
              <w:ind w:left="536"/>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51"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940" w:type="dxa"/>
            <w:vAlign w:val="top"/>
            <w:vMerge w:val="continue"/>
            <w:tcBorders>
              <w:top w:val="nil"/>
            </w:tcBorders>
          </w:tcPr>
          <w:p>
            <w:pPr>
              <w:pStyle w:val="TableText"/>
              <w:rPr/>
            </w:pPr>
            <w:r/>
          </w:p>
        </w:tc>
        <w:tc>
          <w:tcPr>
            <w:tcW w:w="988" w:type="dxa"/>
            <w:vAlign w:val="top"/>
            <w:vMerge w:val="continue"/>
            <w:tcBorders>
              <w:top w:val="nil"/>
            </w:tcBorders>
          </w:tcPr>
          <w:p>
            <w:pPr>
              <w:pStyle w:val="TableText"/>
              <w:rPr/>
            </w:pPr>
            <w:r/>
          </w:p>
        </w:tc>
      </w:tr>
      <w:tr>
        <w:trPr>
          <w:trHeight w:val="378" w:hRule="atLeast"/>
        </w:trPr>
        <w:tc>
          <w:tcPr>
            <w:tcW w:w="2899" w:type="dxa"/>
            <w:vAlign w:val="top"/>
            <w:gridSpan w:val="2"/>
          </w:tcPr>
          <w:p>
            <w:pPr>
              <w:ind w:left="1275"/>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78" w:hRule="atLeast"/>
        </w:trPr>
        <w:tc>
          <w:tcPr>
            <w:tcW w:w="1139" w:type="dxa"/>
            <w:vAlign w:val="top"/>
          </w:tcPr>
          <w:p>
            <w:pPr>
              <w:pStyle w:val="TableText"/>
              <w:rPr/>
            </w:pPr>
            <w:r/>
          </w:p>
        </w:tc>
        <w:tc>
          <w:tcPr>
            <w:tcW w:w="1760" w:type="dxa"/>
            <w:vAlign w:val="top"/>
          </w:tcPr>
          <w:p>
            <w:pPr>
              <w:pStyle w:val="TableText"/>
              <w:rPr/>
            </w:pPr>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48"/>
        <w:gridCol w:w="1490"/>
        <w:gridCol w:w="1404"/>
        <w:gridCol w:w="1328"/>
        <w:gridCol w:w="1388"/>
      </w:tblGrid>
      <w:tr>
        <w:trPr>
          <w:trHeight w:val="384" w:hRule="atLeast"/>
        </w:trPr>
        <w:tc>
          <w:tcPr>
            <w:tcW w:w="354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9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8" w:type="dxa"/>
            <w:vAlign w:val="top"/>
            <w:tcBorders>
              <w:bottom w:val="single" w:color="FFFFFF" w:sz="4" w:space="0"/>
              <w:top w:val="single" w:color="FFFFFF" w:sz="4" w:space="0"/>
              <w:left w:val="single" w:color="FFFFFF" w:sz="2" w:space="0"/>
              <w:right w:val="single" w:color="FFFFFF" w:sz="2" w:space="0"/>
            </w:tcBorders>
          </w:tcPr>
          <w:p>
            <w:pPr>
              <w:ind w:left="584"/>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442" w:type="dxa"/>
            <w:vAlign w:val="top"/>
            <w:gridSpan w:val="3"/>
            <w:tcBorders>
              <w:top w:val="single" w:color="FFFFFF" w:sz="4" w:space="0"/>
              <w:left w:val="single" w:color="FFFFFF" w:sz="2" w:space="0"/>
              <w:right w:val="single" w:color="FFFFFF" w:sz="2" w:space="0"/>
            </w:tcBorders>
          </w:tcPr>
          <w:p>
            <w:pPr>
              <w:ind w:left="9"/>
              <w:spacing w:before="124" w:line="233"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328" w:type="dxa"/>
            <w:vAlign w:val="top"/>
            <w:tcBorders>
              <w:top w:val="single" w:color="FFFFFF" w:sz="4" w:space="0"/>
              <w:left w:val="single" w:color="FFFFFF" w:sz="2" w:space="0"/>
              <w:right w:val="single" w:color="FFFFFF" w:sz="2" w:space="0"/>
            </w:tcBorders>
          </w:tcPr>
          <w:p>
            <w:pPr>
              <w:pStyle w:val="TableText"/>
              <w:rPr/>
            </w:pPr>
            <w:r/>
          </w:p>
        </w:tc>
        <w:tc>
          <w:tcPr>
            <w:tcW w:w="1388" w:type="dxa"/>
            <w:vAlign w:val="top"/>
            <w:tcBorders>
              <w:top w:val="single" w:color="FFFFFF" w:sz="4" w:space="0"/>
              <w:left w:val="single" w:color="FFFFFF" w:sz="2" w:space="0"/>
              <w:right w:val="single" w:color="FFFFFF" w:sz="2" w:space="0"/>
            </w:tcBorders>
          </w:tcPr>
          <w:p>
            <w:pPr>
              <w:ind w:left="780"/>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48" w:type="dxa"/>
            <w:vAlign w:val="top"/>
            <w:vMerge w:val="restart"/>
            <w:tcBorders>
              <w:bottom w:val="nil"/>
            </w:tcBorders>
          </w:tcPr>
          <w:p>
            <w:pPr>
              <w:pStyle w:val="TableText"/>
              <w:rPr/>
            </w:pPr>
            <w:r/>
          </w:p>
          <w:p>
            <w:pPr>
              <w:ind w:left="160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10" w:type="dxa"/>
            <w:vAlign w:val="top"/>
            <w:gridSpan w:val="4"/>
          </w:tcPr>
          <w:p>
            <w:pPr>
              <w:ind w:left="23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48" w:type="dxa"/>
            <w:vAlign w:val="top"/>
            <w:vMerge w:val="continue"/>
            <w:tcBorders>
              <w:top w:val="nil"/>
            </w:tcBorders>
          </w:tcPr>
          <w:p>
            <w:pPr>
              <w:pStyle w:val="TableText"/>
              <w:rPr/>
            </w:pPr>
            <w:r/>
          </w:p>
        </w:tc>
        <w:tc>
          <w:tcPr>
            <w:tcW w:w="1490" w:type="dxa"/>
            <w:vAlign w:val="top"/>
          </w:tcPr>
          <w:p>
            <w:pPr>
              <w:ind w:left="574"/>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04" w:type="dxa"/>
            <w:vAlign w:val="top"/>
          </w:tcPr>
          <w:p>
            <w:pPr>
              <w:ind w:left="201"/>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28" w:type="dxa"/>
            <w:vAlign w:val="top"/>
          </w:tcPr>
          <w:p>
            <w:pPr>
              <w:ind w:left="83"/>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388" w:type="dxa"/>
            <w:vAlign w:val="top"/>
          </w:tcPr>
          <w:p>
            <w:pPr>
              <w:ind w:left="50"/>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48" w:type="dxa"/>
            <w:vAlign w:val="top"/>
          </w:tcPr>
          <w:p>
            <w:pPr>
              <w:ind w:left="1130"/>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90" w:type="dxa"/>
            <w:vAlign w:val="top"/>
          </w:tcPr>
          <w:p>
            <w:pPr>
              <w:pStyle w:val="TableText"/>
              <w:rPr/>
            </w:pPr>
            <w:r/>
          </w:p>
        </w:tc>
        <w:tc>
          <w:tcPr>
            <w:tcW w:w="1404" w:type="dxa"/>
            <w:vAlign w:val="top"/>
          </w:tcPr>
          <w:p>
            <w:pPr>
              <w:pStyle w:val="TableText"/>
              <w:rPr/>
            </w:pPr>
            <w:r/>
          </w:p>
        </w:tc>
        <w:tc>
          <w:tcPr>
            <w:tcW w:w="1328" w:type="dxa"/>
            <w:vAlign w:val="top"/>
          </w:tcPr>
          <w:p>
            <w:pPr>
              <w:pStyle w:val="TableText"/>
              <w:rPr/>
            </w:pPr>
            <w:r/>
          </w:p>
        </w:tc>
        <w:tc>
          <w:tcPr>
            <w:tcW w:w="1388" w:type="dxa"/>
            <w:vAlign w:val="top"/>
          </w:tcPr>
          <w:p>
            <w:pPr>
              <w:pStyle w:val="TableText"/>
              <w:rPr/>
            </w:pPr>
            <w:r/>
          </w:p>
        </w:tc>
      </w:tr>
      <w:tr>
        <w:trPr>
          <w:trHeight w:val="378" w:hRule="atLeast"/>
        </w:trPr>
        <w:tc>
          <w:tcPr>
            <w:tcW w:w="3548" w:type="dxa"/>
            <w:vAlign w:val="top"/>
          </w:tcPr>
          <w:p>
            <w:pPr>
              <w:ind w:left="1365"/>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90" w:type="dxa"/>
            <w:vAlign w:val="top"/>
          </w:tcPr>
          <w:p>
            <w:pPr>
              <w:pStyle w:val="TableText"/>
              <w:rPr/>
            </w:pPr>
            <w:r/>
          </w:p>
        </w:tc>
        <w:tc>
          <w:tcPr>
            <w:tcW w:w="1404" w:type="dxa"/>
            <w:vAlign w:val="top"/>
          </w:tcPr>
          <w:p>
            <w:pPr>
              <w:pStyle w:val="TableText"/>
              <w:rPr/>
            </w:pPr>
            <w:r/>
          </w:p>
        </w:tc>
        <w:tc>
          <w:tcPr>
            <w:tcW w:w="1328" w:type="dxa"/>
            <w:vAlign w:val="top"/>
          </w:tcPr>
          <w:p>
            <w:pPr>
              <w:pStyle w:val="TableText"/>
              <w:rPr/>
            </w:pPr>
            <w:r/>
          </w:p>
        </w:tc>
        <w:tc>
          <w:tcPr>
            <w:tcW w:w="1388" w:type="dxa"/>
            <w:vAlign w:val="top"/>
          </w:tcPr>
          <w:p>
            <w:pPr>
              <w:pStyle w:val="TableText"/>
              <w:rPr/>
            </w:pPr>
            <w:r/>
          </w:p>
        </w:tc>
      </w:tr>
      <w:tr>
        <w:trPr>
          <w:trHeight w:val="378" w:hRule="atLeast"/>
        </w:trPr>
        <w:tc>
          <w:tcPr>
            <w:tcW w:w="3548" w:type="dxa"/>
            <w:vAlign w:val="top"/>
          </w:tcPr>
          <w:p>
            <w:pPr>
              <w:ind w:left="959"/>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90" w:type="dxa"/>
            <w:vAlign w:val="top"/>
          </w:tcPr>
          <w:p>
            <w:pPr>
              <w:ind w:right="24"/>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404"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28" w:type="dxa"/>
            <w:vAlign w:val="top"/>
          </w:tcPr>
          <w:p>
            <w:pPr>
              <w:pStyle w:val="TableText"/>
              <w:rPr/>
            </w:pPr>
            <w:r/>
          </w:p>
        </w:tc>
        <w:tc>
          <w:tcPr>
            <w:tcW w:w="1388" w:type="dxa"/>
            <w:vAlign w:val="top"/>
          </w:tcPr>
          <w:p>
            <w:pPr>
              <w:pStyle w:val="TableText"/>
              <w:rPr/>
            </w:pPr>
            <w:r/>
          </w:p>
        </w:tc>
      </w:tr>
      <w:tr>
        <w:trPr>
          <w:trHeight w:val="378" w:hRule="atLeast"/>
        </w:trPr>
        <w:tc>
          <w:tcPr>
            <w:tcW w:w="3548" w:type="dxa"/>
            <w:vAlign w:val="top"/>
          </w:tcPr>
          <w:p>
            <w:pPr>
              <w:ind w:left="1156"/>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90" w:type="dxa"/>
            <w:vAlign w:val="top"/>
          </w:tcPr>
          <w:p>
            <w:pPr>
              <w:pStyle w:val="TableText"/>
              <w:rPr/>
            </w:pPr>
            <w:r/>
          </w:p>
        </w:tc>
        <w:tc>
          <w:tcPr>
            <w:tcW w:w="1404" w:type="dxa"/>
            <w:vAlign w:val="top"/>
          </w:tcPr>
          <w:p>
            <w:pPr>
              <w:pStyle w:val="TableText"/>
              <w:rPr/>
            </w:pPr>
            <w:r/>
          </w:p>
        </w:tc>
        <w:tc>
          <w:tcPr>
            <w:tcW w:w="1328" w:type="dxa"/>
            <w:vAlign w:val="top"/>
          </w:tcPr>
          <w:p>
            <w:pPr>
              <w:pStyle w:val="TableText"/>
              <w:rPr/>
            </w:pPr>
            <w:r/>
          </w:p>
        </w:tc>
        <w:tc>
          <w:tcPr>
            <w:tcW w:w="1388" w:type="dxa"/>
            <w:vAlign w:val="top"/>
          </w:tcPr>
          <w:p>
            <w:pPr>
              <w:pStyle w:val="TableText"/>
              <w:rPr/>
            </w:pPr>
            <w:r/>
          </w:p>
        </w:tc>
      </w:tr>
      <w:tr>
        <w:trPr>
          <w:trHeight w:val="379" w:hRule="atLeast"/>
        </w:trPr>
        <w:tc>
          <w:tcPr>
            <w:tcW w:w="3548" w:type="dxa"/>
            <w:vAlign w:val="top"/>
          </w:tcPr>
          <w:p>
            <w:pPr>
              <w:ind w:left="994"/>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90"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404"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28" w:type="dxa"/>
            <w:vAlign w:val="top"/>
          </w:tcPr>
          <w:p>
            <w:pPr>
              <w:pStyle w:val="TableText"/>
              <w:rPr/>
            </w:pPr>
            <w:r/>
          </w:p>
        </w:tc>
        <w:tc>
          <w:tcPr>
            <w:tcW w:w="1388" w:type="dxa"/>
            <w:vAlign w:val="top"/>
          </w:tcPr>
          <w:p>
            <w:pPr>
              <w:pStyle w:val="TableText"/>
              <w:rPr/>
            </w:pPr>
            <w:r/>
          </w:p>
        </w:tc>
      </w:tr>
      <w:tr>
        <w:trPr>
          <w:trHeight w:val="384" w:hRule="atLeast"/>
        </w:trPr>
        <w:tc>
          <w:tcPr>
            <w:tcW w:w="3548" w:type="dxa"/>
            <w:vAlign w:val="top"/>
          </w:tcPr>
          <w:p>
            <w:pPr>
              <w:ind w:left="1603"/>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90" w:type="dxa"/>
            <w:vAlign w:val="top"/>
          </w:tcPr>
          <w:p>
            <w:pPr>
              <w:ind w:right="24"/>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404" w:type="dxa"/>
            <w:vAlign w:val="top"/>
          </w:tcPr>
          <w:p>
            <w:pPr>
              <w:ind w:right="26"/>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28" w:type="dxa"/>
            <w:vAlign w:val="top"/>
          </w:tcPr>
          <w:p>
            <w:pPr>
              <w:pStyle w:val="TableText"/>
              <w:rPr/>
            </w:pPr>
            <w:r/>
          </w:p>
        </w:tc>
        <w:tc>
          <w:tcPr>
            <w:tcW w:w="1388" w:type="dxa"/>
            <w:vAlign w:val="top"/>
          </w:tcPr>
          <w:p>
            <w:pPr>
              <w:pStyle w:val="TableText"/>
              <w:rPr/>
            </w:pPr>
            <w:r/>
          </w:p>
        </w:tc>
      </w:tr>
    </w:tbl>
    <w:p>
      <w:pPr>
        <w:pStyle w:val="BodyText"/>
        <w:rPr/>
      </w:pPr>
      <w:r/>
    </w:p>
    <w:p>
      <w:pPr>
        <w:sectPr>
          <w:headerReference w:type="default" r:id="rId27"/>
          <w:footerReference w:type="default" r:id="rId28"/>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05"/>
        <w:gridCol w:w="1469"/>
        <w:gridCol w:w="1566"/>
        <w:gridCol w:w="1425"/>
        <w:gridCol w:w="1593"/>
      </w:tblGrid>
      <w:tr>
        <w:trPr>
          <w:trHeight w:val="383" w:hRule="atLeast"/>
        </w:trPr>
        <w:tc>
          <w:tcPr>
            <w:tcW w:w="310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69" w:type="dxa"/>
            <w:vAlign w:val="top"/>
            <w:tcBorders>
              <w:left w:val="single" w:color="FFFFFF" w:sz="2" w:space="0"/>
              <w:right w:val="single" w:color="FFFFFF" w:sz="2" w:space="0"/>
              <w:bottom w:val="single" w:color="FFFFFF" w:sz="4" w:space="0"/>
              <w:top w:val="nil"/>
            </w:tcBorders>
          </w:tcPr>
          <w:p>
            <w:pPr>
              <w:pStyle w:val="TableText"/>
              <w:rPr/>
            </w:pPr>
            <w:r/>
          </w:p>
        </w:tc>
        <w:tc>
          <w:tcPr>
            <w:tcW w:w="156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2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9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26"/>
            <w:bookmarkEnd w:id="26"/>
            <w:bookmarkStart w:name="bookmark16" w:id="27"/>
            <w:bookmarkEnd w:id="27"/>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105" w:type="dxa"/>
            <w:vAlign w:val="top"/>
            <w:tcBorders>
              <w:left w:val="single" w:color="FFFFFF" w:sz="2" w:space="0"/>
              <w:right w:val="single" w:color="FFFFFF" w:sz="2" w:space="0"/>
              <w:top w:val="single" w:color="FFFFFF" w:sz="4" w:space="0"/>
            </w:tcBorders>
          </w:tcPr>
          <w:p>
            <w:pPr>
              <w:ind w:left="9"/>
              <w:spacing w:before="126" w:line="233"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469" w:type="dxa"/>
            <w:vAlign w:val="top"/>
            <w:tcBorders>
              <w:left w:val="single" w:color="FFFFFF" w:sz="2" w:space="0"/>
              <w:right w:val="single" w:color="FFFFFF" w:sz="2" w:space="0"/>
              <w:top w:val="single" w:color="FFFFFF" w:sz="4" w:space="0"/>
            </w:tcBorders>
          </w:tcPr>
          <w:p>
            <w:pPr>
              <w:pStyle w:val="TableText"/>
              <w:rPr/>
            </w:pPr>
            <w:r/>
          </w:p>
        </w:tc>
        <w:tc>
          <w:tcPr>
            <w:tcW w:w="1566" w:type="dxa"/>
            <w:vAlign w:val="top"/>
            <w:tcBorders>
              <w:left w:val="single" w:color="FFFFFF" w:sz="2" w:space="0"/>
              <w:right w:val="single" w:color="FFFFFF" w:sz="2" w:space="0"/>
              <w:top w:val="single" w:color="FFFFFF" w:sz="4" w:space="0"/>
            </w:tcBorders>
          </w:tcPr>
          <w:p>
            <w:pPr>
              <w:pStyle w:val="TableText"/>
              <w:rPr/>
            </w:pPr>
            <w:r/>
          </w:p>
        </w:tc>
        <w:tc>
          <w:tcPr>
            <w:tcW w:w="1425" w:type="dxa"/>
            <w:vAlign w:val="top"/>
            <w:tcBorders>
              <w:left w:val="single" w:color="FFFFFF" w:sz="2" w:space="0"/>
              <w:right w:val="single" w:color="FFFFFF" w:sz="2" w:space="0"/>
              <w:top w:val="single" w:color="FFFFFF" w:sz="4" w:space="0"/>
            </w:tcBorders>
          </w:tcPr>
          <w:p>
            <w:pPr>
              <w:pStyle w:val="TableText"/>
              <w:rPr/>
            </w:pPr>
            <w:r/>
          </w:p>
        </w:tc>
        <w:tc>
          <w:tcPr>
            <w:tcW w:w="1593" w:type="dxa"/>
            <w:vAlign w:val="top"/>
            <w:tcBorders>
              <w:left w:val="single" w:color="FFFFFF" w:sz="2" w:space="0"/>
              <w:right w:val="single" w:color="FFFFFF" w:sz="2" w:space="0"/>
              <w:top w:val="single" w:color="FFFFFF" w:sz="4" w:space="0"/>
            </w:tcBorders>
          </w:tcPr>
          <w:p>
            <w:pPr>
              <w:ind w:left="985"/>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105" w:type="dxa"/>
            <w:vAlign w:val="top"/>
            <w:vMerge w:val="restart"/>
            <w:tcBorders>
              <w:bottom w:val="nil"/>
            </w:tcBorders>
          </w:tcPr>
          <w:p>
            <w:pPr>
              <w:ind w:left="121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53" w:type="dxa"/>
            <w:vAlign w:val="top"/>
            <w:gridSpan w:val="4"/>
          </w:tcPr>
          <w:p>
            <w:pPr>
              <w:ind w:left="2612"/>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105" w:type="dxa"/>
            <w:vAlign w:val="top"/>
            <w:vMerge w:val="continue"/>
            <w:tcBorders>
              <w:top w:val="nil"/>
            </w:tcBorders>
          </w:tcPr>
          <w:p>
            <w:pPr>
              <w:pStyle w:val="TableText"/>
              <w:rPr/>
            </w:pPr>
            <w:r/>
          </w:p>
        </w:tc>
        <w:tc>
          <w:tcPr>
            <w:tcW w:w="1469" w:type="dxa"/>
            <w:vAlign w:val="top"/>
          </w:tcPr>
          <w:p>
            <w:pPr>
              <w:ind w:left="561"/>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66" w:type="dxa"/>
            <w:vAlign w:val="top"/>
          </w:tcPr>
          <w:p>
            <w:pPr>
              <w:ind w:left="285"/>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425" w:type="dxa"/>
            <w:vAlign w:val="top"/>
          </w:tcPr>
          <w:p>
            <w:pPr>
              <w:ind w:left="139"/>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93" w:type="dxa"/>
            <w:vAlign w:val="top"/>
          </w:tcPr>
          <w:p>
            <w:pPr>
              <w:ind w:left="1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105" w:type="dxa"/>
            <w:vAlign w:val="top"/>
          </w:tcPr>
          <w:p>
            <w:pPr>
              <w:ind w:left="121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69" w:type="dxa"/>
            <w:vAlign w:val="top"/>
          </w:tcPr>
          <w:p>
            <w:pPr>
              <w:ind w:right="25"/>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41.87</w:t>
            </w:r>
          </w:p>
        </w:tc>
        <w:tc>
          <w:tcPr>
            <w:tcW w:w="1566" w:type="dxa"/>
            <w:vAlign w:val="top"/>
          </w:tcPr>
          <w:p>
            <w:pPr>
              <w:ind w:right="19"/>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41.87</w:t>
            </w:r>
          </w:p>
        </w:tc>
        <w:tc>
          <w:tcPr>
            <w:tcW w:w="1425" w:type="dxa"/>
            <w:vAlign w:val="top"/>
          </w:tcPr>
          <w:p>
            <w:pPr>
              <w:pStyle w:val="TableText"/>
              <w:rPr/>
            </w:pPr>
            <w:r/>
          </w:p>
        </w:tc>
        <w:tc>
          <w:tcPr>
            <w:tcW w:w="1593" w:type="dxa"/>
            <w:vAlign w:val="top"/>
          </w:tcPr>
          <w:p>
            <w:pPr>
              <w:pStyle w:val="TableText"/>
              <w:rPr/>
            </w:pPr>
            <w:r/>
          </w:p>
        </w:tc>
      </w:tr>
      <w:tr>
        <w:trPr>
          <w:trHeight w:val="383" w:hRule="atLeast"/>
        </w:trPr>
        <w:tc>
          <w:tcPr>
            <w:tcW w:w="3105" w:type="dxa"/>
            <w:vAlign w:val="top"/>
          </w:tcPr>
          <w:p>
            <w:pPr>
              <w:ind w:left="10"/>
              <w:spacing w:before="117" w:line="228" w:lineRule="auto"/>
              <w:rPr>
                <w:rFonts w:ascii="SimSun" w:hAnsi="SimSun" w:eastAsia="SimSun" w:cs="SimSun"/>
                <w:sz w:val="15"/>
                <w:szCs w:val="15"/>
              </w:rPr>
            </w:pPr>
            <w:r>
              <w:rPr>
                <w:rFonts w:ascii="SimSun" w:hAnsi="SimSun" w:eastAsia="SimSun" w:cs="SimSun"/>
                <w:sz w:val="15"/>
                <w:szCs w:val="15"/>
                <w:color w:val="212529"/>
                <w:spacing w:val="11"/>
              </w:rPr>
              <w:t>兴县人民代表大会常务委员会办公室</w:t>
            </w:r>
          </w:p>
        </w:tc>
        <w:tc>
          <w:tcPr>
            <w:tcW w:w="1469" w:type="dxa"/>
            <w:vAlign w:val="top"/>
          </w:tcPr>
          <w:p>
            <w:pPr>
              <w:ind w:right="25"/>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41.87</w:t>
            </w:r>
          </w:p>
        </w:tc>
        <w:tc>
          <w:tcPr>
            <w:tcW w:w="1566"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41.87</w:t>
            </w:r>
          </w:p>
        </w:tc>
        <w:tc>
          <w:tcPr>
            <w:tcW w:w="1425" w:type="dxa"/>
            <w:vAlign w:val="top"/>
          </w:tcPr>
          <w:p>
            <w:pPr>
              <w:pStyle w:val="TableText"/>
              <w:rPr/>
            </w:pPr>
            <w:r/>
          </w:p>
        </w:tc>
        <w:tc>
          <w:tcPr>
            <w:tcW w:w="1593" w:type="dxa"/>
            <w:vAlign w:val="top"/>
          </w:tcPr>
          <w:p>
            <w:pPr>
              <w:pStyle w:val="TableText"/>
              <w:rPr/>
            </w:pPr>
            <w:r/>
          </w:p>
        </w:tc>
      </w:tr>
    </w:tbl>
    <w:p>
      <w:pPr>
        <w:pStyle w:val="BodyText"/>
        <w:rPr/>
      </w:pPr>
      <w:r/>
    </w:p>
    <w:p>
      <w:pPr>
        <w:sectPr>
          <w:headerReference w:type="default" r:id="rId29"/>
          <w:footerReference w:type="default" r:id="rId30"/>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21"/>
        <w:gridCol w:w="1253"/>
        <w:gridCol w:w="1242"/>
        <w:gridCol w:w="659"/>
        <w:gridCol w:w="1134"/>
        <w:gridCol w:w="1101"/>
        <w:gridCol w:w="848"/>
      </w:tblGrid>
      <w:tr>
        <w:trPr>
          <w:trHeight w:val="384" w:hRule="atLeast"/>
        </w:trPr>
        <w:tc>
          <w:tcPr>
            <w:tcW w:w="29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65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49" w:type="dxa"/>
            <w:vAlign w:val="top"/>
            <w:gridSpan w:val="2"/>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28"/>
            <w:bookmarkEnd w:id="28"/>
            <w:bookmarkStart w:name="bookmark17" w:id="29"/>
            <w:bookmarkEnd w:id="29"/>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209" w:type="dxa"/>
            <w:vAlign w:val="top"/>
            <w:gridSpan w:val="5"/>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949" w:type="dxa"/>
            <w:vAlign w:val="top"/>
            <w:gridSpan w:val="2"/>
            <w:tcBorders>
              <w:top w:val="single" w:color="FFFFFF" w:sz="4" w:space="0"/>
              <w:left w:val="single" w:color="FFFFFF" w:sz="2" w:space="0"/>
              <w:right w:val="single" w:color="FFFFFF" w:sz="2" w:space="0"/>
            </w:tcBorders>
          </w:tcPr>
          <w:p>
            <w:pPr>
              <w:ind w:left="1276"/>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21" w:type="dxa"/>
            <w:vAlign w:val="top"/>
            <w:vMerge w:val="restart"/>
            <w:tcBorders>
              <w:bottom w:val="nil"/>
            </w:tcBorders>
          </w:tcPr>
          <w:p>
            <w:pPr>
              <w:pStyle w:val="TableText"/>
              <w:spacing w:line="323" w:lineRule="auto"/>
              <w:rPr/>
            </w:pPr>
            <w:r/>
          </w:p>
          <w:p>
            <w:pPr>
              <w:ind w:left="1126"/>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53" w:type="dxa"/>
            <w:vAlign w:val="top"/>
            <w:vMerge w:val="restart"/>
            <w:tcBorders>
              <w:bottom w:val="nil"/>
            </w:tcBorders>
          </w:tcPr>
          <w:p>
            <w:pPr>
              <w:pStyle w:val="TableText"/>
              <w:spacing w:line="323" w:lineRule="auto"/>
              <w:rPr/>
            </w:pPr>
            <w:r/>
          </w:p>
          <w:p>
            <w:pPr>
              <w:ind w:left="455"/>
              <w:spacing w:before="6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035" w:type="dxa"/>
            <w:vAlign w:val="top"/>
            <w:gridSpan w:val="3"/>
          </w:tcPr>
          <w:p>
            <w:pPr>
              <w:ind w:left="94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101" w:type="dxa"/>
            <w:vAlign w:val="top"/>
            <w:vMerge w:val="restart"/>
            <w:tcBorders>
              <w:bottom w:val="nil"/>
            </w:tcBorders>
          </w:tcPr>
          <w:p>
            <w:pPr>
              <w:ind w:left="387" w:right="64" w:hanging="329"/>
              <w:spacing w:before="303"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48" w:type="dxa"/>
            <w:vAlign w:val="top"/>
            <w:vMerge w:val="restart"/>
            <w:tcBorders>
              <w:bottom w:val="nil"/>
            </w:tcBorders>
          </w:tcPr>
          <w:p>
            <w:pPr>
              <w:pStyle w:val="TableText"/>
              <w:spacing w:line="322" w:lineRule="auto"/>
              <w:rPr/>
            </w:pPr>
            <w:r/>
          </w:p>
          <w:p>
            <w:pPr>
              <w:ind w:left="8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551" w:hRule="atLeast"/>
        </w:trPr>
        <w:tc>
          <w:tcPr>
            <w:tcW w:w="2921" w:type="dxa"/>
            <w:vAlign w:val="top"/>
            <w:vMerge w:val="continue"/>
            <w:tcBorders>
              <w:top w:val="nil"/>
            </w:tcBorders>
          </w:tcPr>
          <w:p>
            <w:pPr>
              <w:pStyle w:val="TableText"/>
              <w:rPr/>
            </w:pPr>
            <w:r/>
          </w:p>
        </w:tc>
        <w:tc>
          <w:tcPr>
            <w:tcW w:w="1253" w:type="dxa"/>
            <w:vAlign w:val="top"/>
            <w:vMerge w:val="continue"/>
            <w:tcBorders>
              <w:top w:val="nil"/>
            </w:tcBorders>
          </w:tcPr>
          <w:p>
            <w:pPr>
              <w:pStyle w:val="TableText"/>
              <w:rPr/>
            </w:pPr>
            <w:r/>
          </w:p>
        </w:tc>
        <w:tc>
          <w:tcPr>
            <w:tcW w:w="1242" w:type="dxa"/>
            <w:vAlign w:val="top"/>
          </w:tcPr>
          <w:p>
            <w:pPr>
              <w:ind w:left="121"/>
              <w:spacing w:before="19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659" w:type="dxa"/>
            <w:vAlign w:val="top"/>
          </w:tcPr>
          <w:p>
            <w:pPr>
              <w:ind w:left="76"/>
              <w:spacing w:before="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政府性</w:t>
            </w:r>
          </w:p>
          <w:p>
            <w:pPr>
              <w:ind w:left="235" w:right="89" w:hanging="162"/>
              <w:spacing w:before="2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2"/>
              </w:rPr>
              <w:t>基金预</w:t>
            </w:r>
            <w:r>
              <w:rPr>
                <w:rFonts w:ascii="Microsoft YaHei" w:hAnsi="Microsoft YaHei" w:eastAsia="Microsoft YaHei" w:cs="Microsoft YaHei"/>
                <w:sz w:val="15"/>
                <w:szCs w:val="15"/>
                <w:color w:val="212529"/>
                <w:spacing w:val="10"/>
              </w:rPr>
              <w:t>算</w:t>
            </w:r>
          </w:p>
        </w:tc>
        <w:tc>
          <w:tcPr>
            <w:tcW w:w="1134" w:type="dxa"/>
            <w:vAlign w:val="top"/>
          </w:tcPr>
          <w:p>
            <w:pPr>
              <w:ind w:left="391" w:right="88" w:hanging="304"/>
              <w:spacing w:before="108"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c>
          <w:tcPr>
            <w:tcW w:w="1101" w:type="dxa"/>
            <w:vAlign w:val="top"/>
            <w:vMerge w:val="continue"/>
            <w:tcBorders>
              <w:top w:val="nil"/>
            </w:tcBorders>
          </w:tcPr>
          <w:p>
            <w:pPr>
              <w:pStyle w:val="TableText"/>
              <w:rPr/>
            </w:pPr>
            <w:r/>
          </w:p>
        </w:tc>
        <w:tc>
          <w:tcPr>
            <w:tcW w:w="848" w:type="dxa"/>
            <w:vAlign w:val="top"/>
            <w:vMerge w:val="continue"/>
            <w:tcBorders>
              <w:top w:val="nil"/>
            </w:tcBorders>
          </w:tcPr>
          <w:p>
            <w:pPr>
              <w:pStyle w:val="TableText"/>
              <w:rPr/>
            </w:pPr>
            <w:r/>
          </w:p>
        </w:tc>
      </w:tr>
      <w:tr>
        <w:trPr>
          <w:trHeight w:val="379" w:hRule="atLeast"/>
        </w:trPr>
        <w:tc>
          <w:tcPr>
            <w:tcW w:w="2921" w:type="dxa"/>
            <w:vAlign w:val="top"/>
          </w:tcPr>
          <w:p>
            <w:pPr>
              <w:ind w:left="1424"/>
              <w:spacing w:before="112"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53" w:type="dxa"/>
            <w:vAlign w:val="top"/>
          </w:tcPr>
          <w:p>
            <w:pPr>
              <w:ind w:left="578"/>
              <w:spacing w:before="112"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42" w:type="dxa"/>
            <w:vAlign w:val="top"/>
          </w:tcPr>
          <w:p>
            <w:pPr>
              <w:ind w:left="573"/>
              <w:spacing w:before="112"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659" w:type="dxa"/>
            <w:vAlign w:val="top"/>
          </w:tcPr>
          <w:p>
            <w:pPr>
              <w:ind w:left="280"/>
              <w:spacing w:before="112"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34" w:type="dxa"/>
            <w:vAlign w:val="top"/>
          </w:tcPr>
          <w:p>
            <w:pPr>
              <w:ind w:left="521"/>
              <w:spacing w:before="112"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101" w:type="dxa"/>
            <w:vAlign w:val="top"/>
          </w:tcPr>
          <w:p>
            <w:pPr>
              <w:ind w:left="505"/>
              <w:spacing w:before="112"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48" w:type="dxa"/>
            <w:vAlign w:val="top"/>
          </w:tcPr>
          <w:p>
            <w:pPr>
              <w:ind w:left="380"/>
              <w:spacing w:before="112"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921" w:type="dxa"/>
            <w:vAlign w:val="top"/>
          </w:tcPr>
          <w:p>
            <w:pPr>
              <w:ind w:left="10"/>
              <w:spacing w:before="112" w:line="228" w:lineRule="auto"/>
              <w:rPr>
                <w:rFonts w:ascii="SimSun" w:hAnsi="SimSun" w:eastAsia="SimSun" w:cs="SimSun"/>
                <w:sz w:val="15"/>
                <w:szCs w:val="15"/>
              </w:rPr>
            </w:pPr>
            <w:r>
              <w:rPr>
                <w:rFonts w:ascii="SimSun" w:hAnsi="SimSun" w:eastAsia="SimSun" w:cs="SimSun"/>
                <w:sz w:val="15"/>
                <w:szCs w:val="15"/>
                <w:color w:val="212529"/>
                <w:spacing w:val="11"/>
              </w:rPr>
              <w:t>兴县人民代表大会常务委员会办公室</w:t>
            </w:r>
          </w:p>
        </w:tc>
        <w:tc>
          <w:tcPr>
            <w:tcW w:w="1253"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585.20</w:t>
            </w:r>
          </w:p>
        </w:tc>
        <w:tc>
          <w:tcPr>
            <w:tcW w:w="1242"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585.20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172"/>
              <w:spacing w:before="112" w:line="228" w:lineRule="auto"/>
              <w:rPr>
                <w:rFonts w:ascii="SimSun" w:hAnsi="SimSun" w:eastAsia="SimSun" w:cs="SimSun"/>
                <w:sz w:val="15"/>
                <w:szCs w:val="15"/>
              </w:rPr>
            </w:pPr>
            <w:r>
              <w:rPr>
                <w:rFonts w:ascii="SimSun" w:hAnsi="SimSun" w:eastAsia="SimSun" w:cs="SimSun"/>
                <w:sz w:val="15"/>
                <w:szCs w:val="15"/>
                <w:color w:val="212529"/>
                <w:spacing w:val="11"/>
              </w:rPr>
              <w:t>兴县人民代表大会常务委员会办公室</w:t>
            </w:r>
          </w:p>
        </w:tc>
        <w:tc>
          <w:tcPr>
            <w:tcW w:w="1253"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585.20</w:t>
            </w:r>
          </w:p>
        </w:tc>
        <w:tc>
          <w:tcPr>
            <w:tcW w:w="1242"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585.20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1"/>
              <w:spacing w:before="112" w:line="229" w:lineRule="auto"/>
              <w:rPr>
                <w:rFonts w:ascii="SimSun" w:hAnsi="SimSun" w:eastAsia="SimSun" w:cs="SimSun"/>
                <w:sz w:val="15"/>
                <w:szCs w:val="15"/>
              </w:rPr>
            </w:pPr>
            <w:r>
              <w:rPr>
                <w:rFonts w:ascii="SimSun" w:hAnsi="SimSun" w:eastAsia="SimSun" w:cs="SimSun"/>
                <w:sz w:val="15"/>
                <w:szCs w:val="15"/>
                <w:color w:val="212529"/>
                <w:spacing w:val="10"/>
              </w:rPr>
              <w:t>党建工作经费</w:t>
            </w:r>
          </w:p>
        </w:tc>
        <w:tc>
          <w:tcPr>
            <w:tcW w:w="1253"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42"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493"/>
              <w:spacing w:before="112" w:line="229" w:lineRule="auto"/>
              <w:rPr>
                <w:rFonts w:ascii="SimSun" w:hAnsi="SimSun" w:eastAsia="SimSun" w:cs="SimSun"/>
                <w:sz w:val="15"/>
                <w:szCs w:val="15"/>
              </w:rPr>
            </w:pPr>
            <w:r>
              <w:rPr>
                <w:rFonts w:ascii="SimSun" w:hAnsi="SimSun" w:eastAsia="SimSun" w:cs="SimSun"/>
                <w:sz w:val="15"/>
                <w:szCs w:val="15"/>
                <w:color w:val="212529"/>
                <w:spacing w:val="11"/>
              </w:rPr>
              <w:t>他人大事务支出及交通费</w:t>
            </w:r>
          </w:p>
        </w:tc>
        <w:tc>
          <w:tcPr>
            <w:tcW w:w="1253"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42"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655"/>
              <w:spacing w:before="112" w:line="230" w:lineRule="auto"/>
              <w:rPr>
                <w:rFonts w:ascii="SimSun" w:hAnsi="SimSun" w:eastAsia="SimSun" w:cs="SimSun"/>
                <w:sz w:val="15"/>
                <w:szCs w:val="15"/>
              </w:rPr>
            </w:pPr>
            <w:r>
              <w:rPr>
                <w:rFonts w:ascii="SimSun" w:hAnsi="SimSun" w:eastAsia="SimSun" w:cs="SimSun"/>
                <w:sz w:val="15"/>
                <w:szCs w:val="15"/>
                <w:color w:val="212529"/>
                <w:spacing w:val="10"/>
              </w:rPr>
              <w:t>委工作经费</w:t>
            </w:r>
          </w:p>
        </w:tc>
        <w:tc>
          <w:tcPr>
            <w:tcW w:w="1253" w:type="dxa"/>
            <w:vAlign w:val="top"/>
          </w:tcPr>
          <w:p>
            <w:pPr>
              <w:ind w:right="26"/>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42" w:type="dxa"/>
            <w:vAlign w:val="top"/>
          </w:tcPr>
          <w:p>
            <w:pPr>
              <w:ind w:right="21"/>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3" w:line="228" w:lineRule="auto"/>
              <w:rPr>
                <w:rFonts w:ascii="SimSun" w:hAnsi="SimSun" w:eastAsia="SimSun" w:cs="SimSun"/>
                <w:sz w:val="15"/>
                <w:szCs w:val="15"/>
              </w:rPr>
            </w:pPr>
            <w:r>
              <w:rPr>
                <w:rFonts w:ascii="SimSun" w:hAnsi="SimSun" w:eastAsia="SimSun" w:cs="SimSun"/>
                <w:sz w:val="15"/>
                <w:szCs w:val="15"/>
                <w:color w:val="212529"/>
                <w:spacing w:val="8"/>
              </w:rPr>
              <w:t>2025年人大会议费</w:t>
            </w:r>
          </w:p>
        </w:tc>
        <w:tc>
          <w:tcPr>
            <w:tcW w:w="1253"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45.00</w:t>
            </w:r>
          </w:p>
        </w:tc>
        <w:tc>
          <w:tcPr>
            <w:tcW w:w="124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3" w:line="228" w:lineRule="auto"/>
              <w:rPr>
                <w:rFonts w:ascii="SimSun" w:hAnsi="SimSun" w:eastAsia="SimSun" w:cs="SimSun"/>
                <w:sz w:val="15"/>
                <w:szCs w:val="15"/>
              </w:rPr>
            </w:pPr>
            <w:r>
              <w:rPr>
                <w:rFonts w:ascii="SimSun" w:hAnsi="SimSun" w:eastAsia="SimSun" w:cs="SimSun"/>
                <w:sz w:val="15"/>
                <w:szCs w:val="15"/>
                <w:color w:val="212529"/>
                <w:spacing w:val="9"/>
              </w:rPr>
              <w:t>2025年人大常委会会议费</w:t>
            </w:r>
          </w:p>
        </w:tc>
        <w:tc>
          <w:tcPr>
            <w:tcW w:w="1253"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11.30</w:t>
            </w:r>
          </w:p>
        </w:tc>
        <w:tc>
          <w:tcPr>
            <w:tcW w:w="124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11.30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8" w:hRule="atLeast"/>
        </w:trPr>
        <w:tc>
          <w:tcPr>
            <w:tcW w:w="2921" w:type="dxa"/>
            <w:vAlign w:val="top"/>
          </w:tcPr>
          <w:p>
            <w:pPr>
              <w:ind w:left="333"/>
              <w:spacing w:before="113" w:line="229" w:lineRule="auto"/>
              <w:rPr>
                <w:rFonts w:ascii="SimSun" w:hAnsi="SimSun" w:eastAsia="SimSun" w:cs="SimSun"/>
                <w:sz w:val="15"/>
                <w:szCs w:val="15"/>
              </w:rPr>
            </w:pPr>
            <w:r>
              <w:rPr>
                <w:rFonts w:ascii="SimSun" w:hAnsi="SimSun" w:eastAsia="SimSun" w:cs="SimSun"/>
                <w:sz w:val="15"/>
                <w:szCs w:val="15"/>
                <w:color w:val="212529"/>
                <w:spacing w:val="9"/>
              </w:rPr>
              <w:t>2025年人大代表履职能力培训费</w:t>
            </w:r>
          </w:p>
        </w:tc>
        <w:tc>
          <w:tcPr>
            <w:tcW w:w="1253"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24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8" w:hRule="atLeast"/>
        </w:trPr>
        <w:tc>
          <w:tcPr>
            <w:tcW w:w="2921" w:type="dxa"/>
            <w:vAlign w:val="top"/>
          </w:tcPr>
          <w:p>
            <w:pPr>
              <w:ind w:left="329"/>
              <w:spacing w:before="114" w:line="230" w:lineRule="auto"/>
              <w:rPr>
                <w:rFonts w:ascii="SimSun" w:hAnsi="SimSun" w:eastAsia="SimSun" w:cs="SimSun"/>
                <w:sz w:val="15"/>
                <w:szCs w:val="15"/>
              </w:rPr>
            </w:pPr>
            <w:r>
              <w:rPr>
                <w:rFonts w:ascii="SimSun" w:hAnsi="SimSun" w:eastAsia="SimSun" w:cs="SimSun"/>
                <w:sz w:val="15"/>
                <w:szCs w:val="15"/>
                <w:color w:val="212529"/>
                <w:spacing w:val="10"/>
              </w:rPr>
              <w:t>G智慧人大平台建设项目</w:t>
            </w:r>
          </w:p>
        </w:tc>
        <w:tc>
          <w:tcPr>
            <w:tcW w:w="1253"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140.00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6" w:line="229" w:lineRule="auto"/>
              <w:rPr>
                <w:rFonts w:ascii="SimSun" w:hAnsi="SimSun" w:eastAsia="SimSun" w:cs="SimSun"/>
                <w:sz w:val="15"/>
                <w:szCs w:val="15"/>
              </w:rPr>
            </w:pPr>
            <w:r>
              <w:rPr>
                <w:rFonts w:ascii="SimSun" w:hAnsi="SimSun" w:eastAsia="SimSun" w:cs="SimSun"/>
                <w:sz w:val="15"/>
                <w:szCs w:val="15"/>
                <w:color w:val="212529"/>
                <w:spacing w:val="7"/>
              </w:rPr>
              <w:t>2025年慰问款</w:t>
            </w:r>
          </w:p>
        </w:tc>
        <w:tc>
          <w:tcPr>
            <w:tcW w:w="1253"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6" w:line="228" w:lineRule="auto"/>
              <w:rPr>
                <w:rFonts w:ascii="SimSun" w:hAnsi="SimSun" w:eastAsia="SimSun" w:cs="SimSun"/>
                <w:sz w:val="15"/>
                <w:szCs w:val="15"/>
              </w:rPr>
            </w:pPr>
            <w:r>
              <w:rPr>
                <w:rFonts w:ascii="SimSun" w:hAnsi="SimSun" w:eastAsia="SimSun" w:cs="SimSun"/>
                <w:sz w:val="15"/>
                <w:szCs w:val="15"/>
                <w:color w:val="212529"/>
                <w:spacing w:val="9"/>
              </w:rPr>
              <w:t>2025年图书阅览室经费</w:t>
            </w:r>
          </w:p>
        </w:tc>
        <w:tc>
          <w:tcPr>
            <w:tcW w:w="1253"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6" w:line="229" w:lineRule="auto"/>
              <w:rPr>
                <w:rFonts w:ascii="SimSun" w:hAnsi="SimSun" w:eastAsia="SimSun" w:cs="SimSun"/>
                <w:sz w:val="15"/>
                <w:szCs w:val="15"/>
              </w:rPr>
            </w:pPr>
            <w:r>
              <w:rPr>
                <w:rFonts w:ascii="SimSun" w:hAnsi="SimSun" w:eastAsia="SimSun" w:cs="SimSun"/>
                <w:sz w:val="15"/>
                <w:szCs w:val="15"/>
                <w:color w:val="212529"/>
                <w:spacing w:val="9"/>
              </w:rPr>
              <w:t>2025年专项视察调研工作经费</w:t>
            </w:r>
          </w:p>
        </w:tc>
        <w:tc>
          <w:tcPr>
            <w:tcW w:w="1253"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6" w:line="229" w:lineRule="auto"/>
              <w:rPr>
                <w:rFonts w:ascii="SimSun" w:hAnsi="SimSun" w:eastAsia="SimSun" w:cs="SimSun"/>
                <w:sz w:val="15"/>
                <w:szCs w:val="15"/>
              </w:rPr>
            </w:pPr>
            <w:r>
              <w:rPr>
                <w:rFonts w:ascii="SimSun" w:hAnsi="SimSun" w:eastAsia="SimSun" w:cs="SimSun"/>
                <w:sz w:val="15"/>
                <w:szCs w:val="15"/>
                <w:color w:val="212529"/>
                <w:spacing w:val="9"/>
              </w:rPr>
              <w:t>2025年乡镇人大代表活动经费</w:t>
            </w:r>
          </w:p>
        </w:tc>
        <w:tc>
          <w:tcPr>
            <w:tcW w:w="1253"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86.70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86.70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8" w:right="156" w:firstLine="324"/>
              <w:spacing w:before="31" w:line="208" w:lineRule="auto"/>
              <w:rPr>
                <w:rFonts w:ascii="SimSun" w:hAnsi="SimSun" w:eastAsia="SimSun" w:cs="SimSun"/>
                <w:sz w:val="15"/>
                <w:szCs w:val="15"/>
              </w:rPr>
            </w:pPr>
            <w:r>
              <w:rPr>
                <w:rFonts w:ascii="SimSun" w:hAnsi="SimSun" w:eastAsia="SimSun" w:cs="SimSun"/>
                <w:sz w:val="15"/>
                <w:szCs w:val="15"/>
                <w:color w:val="212529"/>
                <w:spacing w:val="10"/>
              </w:rPr>
              <w:t>2025年人大代表联络站运行管理提</w:t>
            </w:r>
            <w:r>
              <w:rPr>
                <w:rFonts w:ascii="SimSun" w:hAnsi="SimSun" w:eastAsia="SimSun" w:cs="SimSun"/>
                <w:sz w:val="15"/>
                <w:szCs w:val="15"/>
                <w:color w:val="212529"/>
                <w:spacing w:val="6"/>
              </w:rPr>
              <w:t>升费</w:t>
            </w:r>
          </w:p>
        </w:tc>
        <w:tc>
          <w:tcPr>
            <w:tcW w:w="1253" w:type="dxa"/>
            <w:vAlign w:val="top"/>
          </w:tcPr>
          <w:p>
            <w:pPr>
              <w:ind w:right="26"/>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75.00</w:t>
            </w:r>
          </w:p>
        </w:tc>
        <w:tc>
          <w:tcPr>
            <w:tcW w:w="1242" w:type="dxa"/>
            <w:vAlign w:val="top"/>
          </w:tcPr>
          <w:p>
            <w:pPr>
              <w:ind w:right="21"/>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75.00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8" w:hRule="atLeast"/>
        </w:trPr>
        <w:tc>
          <w:tcPr>
            <w:tcW w:w="2921" w:type="dxa"/>
            <w:vAlign w:val="top"/>
          </w:tcPr>
          <w:p>
            <w:pPr>
              <w:ind w:left="333"/>
              <w:spacing w:before="117" w:line="229" w:lineRule="auto"/>
              <w:rPr>
                <w:rFonts w:ascii="SimSun" w:hAnsi="SimSun" w:eastAsia="SimSun" w:cs="SimSun"/>
                <w:sz w:val="15"/>
                <w:szCs w:val="15"/>
              </w:rPr>
            </w:pPr>
            <w:r>
              <w:rPr>
                <w:rFonts w:ascii="SimSun" w:hAnsi="SimSun" w:eastAsia="SimSun" w:cs="SimSun"/>
                <w:sz w:val="15"/>
                <w:szCs w:val="15"/>
                <w:color w:val="212529"/>
                <w:spacing w:val="9"/>
              </w:rPr>
              <w:t>2025年县人大代表活动经费</w:t>
            </w:r>
          </w:p>
        </w:tc>
        <w:tc>
          <w:tcPr>
            <w:tcW w:w="1253"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39.40</w:t>
            </w:r>
          </w:p>
        </w:tc>
        <w:tc>
          <w:tcPr>
            <w:tcW w:w="1242"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84" w:hRule="atLeast"/>
        </w:trPr>
        <w:tc>
          <w:tcPr>
            <w:tcW w:w="2921" w:type="dxa"/>
            <w:vAlign w:val="top"/>
          </w:tcPr>
          <w:p>
            <w:pPr>
              <w:ind w:left="334"/>
              <w:spacing w:before="118" w:line="229" w:lineRule="auto"/>
              <w:rPr>
                <w:rFonts w:ascii="SimSun" w:hAnsi="SimSun" w:eastAsia="SimSun" w:cs="SimSun"/>
                <w:sz w:val="15"/>
                <w:szCs w:val="15"/>
              </w:rPr>
            </w:pPr>
            <w:r>
              <w:rPr>
                <w:rFonts w:ascii="SimSun" w:hAnsi="SimSun" w:eastAsia="SimSun" w:cs="SimSun"/>
                <w:sz w:val="15"/>
                <w:szCs w:val="15"/>
                <w:color w:val="212529"/>
                <w:spacing w:val="10"/>
              </w:rPr>
              <w:t>兴县人大志编撰及印刷费</w:t>
            </w:r>
          </w:p>
        </w:tc>
        <w:tc>
          <w:tcPr>
            <w:tcW w:w="1253"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w:t>
            </w:r>
          </w:p>
        </w:tc>
        <w:tc>
          <w:tcPr>
            <w:tcW w:w="1242"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bl>
    <w:p>
      <w:pPr>
        <w:pStyle w:val="BodyText"/>
        <w:rPr/>
      </w:pPr>
      <w:r/>
    </w:p>
    <w:p>
      <w:pPr>
        <w:sectPr>
          <w:headerReference w:type="default" r:id="rId31"/>
          <w:footerReference w:type="default" r:id="rId3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88"/>
        <w:gridCol w:w="1296"/>
        <w:gridCol w:w="1404"/>
        <w:gridCol w:w="1134"/>
        <w:gridCol w:w="1236"/>
      </w:tblGrid>
      <w:tr>
        <w:trPr>
          <w:trHeight w:val="384" w:hRule="atLeast"/>
        </w:trPr>
        <w:tc>
          <w:tcPr>
            <w:tcW w:w="40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9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8" w:id="30"/>
            <w:bookmarkEnd w:id="30"/>
            <w:bookmarkStart w:name="bookmark18" w:id="31"/>
            <w:bookmarkEnd w:id="31"/>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22" w:type="dxa"/>
            <w:vAlign w:val="top"/>
            <w:gridSpan w:val="4"/>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部门名称：兴县人民代表大会常务委员会办公室</w:t>
            </w:r>
          </w:p>
        </w:tc>
        <w:tc>
          <w:tcPr>
            <w:tcW w:w="1236" w:type="dxa"/>
            <w:vAlign w:val="top"/>
            <w:tcBorders>
              <w:top w:val="single" w:color="FFFFFF" w:sz="4" w:space="0"/>
              <w:left w:val="single" w:color="FFFFFF" w:sz="2" w:space="0"/>
              <w:right w:val="single" w:color="FFFFFF" w:sz="2" w:space="0"/>
            </w:tcBorders>
          </w:tcPr>
          <w:p>
            <w:pPr>
              <w:ind w:left="563"/>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4088" w:type="dxa"/>
            <w:vAlign w:val="top"/>
            <w:vMerge w:val="restart"/>
            <w:tcBorders>
              <w:bottom w:val="nil"/>
            </w:tcBorders>
          </w:tcPr>
          <w:p>
            <w:pPr>
              <w:ind w:left="1705"/>
              <w:spacing w:before="30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96" w:type="dxa"/>
            <w:vAlign w:val="top"/>
            <w:vMerge w:val="restart"/>
            <w:tcBorders>
              <w:bottom w:val="nil"/>
            </w:tcBorders>
          </w:tcPr>
          <w:p>
            <w:pPr>
              <w:ind w:left="4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774" w:type="dxa"/>
            <w:vAlign w:val="top"/>
            <w:gridSpan w:val="3"/>
          </w:tcPr>
          <w:p>
            <w:pPr>
              <w:ind w:left="1309"/>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4088" w:type="dxa"/>
            <w:vAlign w:val="top"/>
            <w:vMerge w:val="continue"/>
            <w:tcBorders>
              <w:top w:val="nil"/>
            </w:tcBorders>
          </w:tcPr>
          <w:p>
            <w:pPr>
              <w:pStyle w:val="TableText"/>
              <w:rPr/>
            </w:pPr>
            <w:r/>
          </w:p>
        </w:tc>
        <w:tc>
          <w:tcPr>
            <w:tcW w:w="1296" w:type="dxa"/>
            <w:vAlign w:val="top"/>
            <w:vMerge w:val="continue"/>
            <w:tcBorders>
              <w:top w:val="nil"/>
            </w:tcBorders>
          </w:tcPr>
          <w:p>
            <w:pPr>
              <w:pStyle w:val="TableText"/>
              <w:rPr/>
            </w:pPr>
            <w:r/>
          </w:p>
        </w:tc>
        <w:tc>
          <w:tcPr>
            <w:tcW w:w="1404" w:type="dxa"/>
            <w:vAlign w:val="top"/>
          </w:tcPr>
          <w:p>
            <w:pPr>
              <w:ind w:left="203"/>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134" w:type="dxa"/>
            <w:vAlign w:val="top"/>
          </w:tcPr>
          <w:p>
            <w:pPr>
              <w:ind w:left="395" w:right="163" w:hanging="240"/>
              <w:spacing w:before="24"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236" w:type="dxa"/>
            <w:vAlign w:val="top"/>
          </w:tcPr>
          <w:p>
            <w:pPr>
              <w:ind w:left="301"/>
              <w:spacing w:before="23"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85"/>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4088" w:type="dxa"/>
            <w:vAlign w:val="top"/>
          </w:tcPr>
          <w:p>
            <w:pPr>
              <w:ind w:left="2002"/>
              <w:spacing w:before="114"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96" w:type="dxa"/>
            <w:vAlign w:val="top"/>
          </w:tcPr>
          <w:p>
            <w:pPr>
              <w:ind w:left="595"/>
              <w:spacing w:before="11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04" w:type="dxa"/>
            <w:vAlign w:val="top"/>
          </w:tcPr>
          <w:p>
            <w:pPr>
              <w:ind w:left="655"/>
              <w:spacing w:before="114"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134" w:type="dxa"/>
            <w:vAlign w:val="top"/>
          </w:tcPr>
          <w:p>
            <w:pPr>
              <w:ind w:left="521"/>
              <w:spacing w:before="114"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36" w:type="dxa"/>
            <w:vAlign w:val="top"/>
          </w:tcPr>
          <w:p>
            <w:pPr>
              <w:ind w:left="573"/>
              <w:spacing w:before="114"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4088" w:type="dxa"/>
            <w:vAlign w:val="top"/>
          </w:tcPr>
          <w:p>
            <w:pPr>
              <w:ind w:left="10"/>
              <w:spacing w:before="115" w:line="228" w:lineRule="auto"/>
              <w:rPr>
                <w:rFonts w:ascii="SimSun" w:hAnsi="SimSun" w:eastAsia="SimSun" w:cs="SimSun"/>
                <w:sz w:val="15"/>
                <w:szCs w:val="15"/>
              </w:rPr>
            </w:pPr>
            <w:r>
              <w:rPr>
                <w:rFonts w:ascii="SimSun" w:hAnsi="SimSun" w:eastAsia="SimSun" w:cs="SimSun"/>
                <w:sz w:val="15"/>
                <w:szCs w:val="15"/>
                <w:color w:val="212529"/>
                <w:spacing w:val="11"/>
              </w:rPr>
              <w:t>兴县人民代表大会常务委员会办公室</w:t>
            </w:r>
          </w:p>
        </w:tc>
        <w:tc>
          <w:tcPr>
            <w:tcW w:w="1296"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404" w:type="dxa"/>
            <w:vAlign w:val="top"/>
          </w:tcPr>
          <w:p>
            <w:pPr>
              <w:ind w:right="18"/>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134" w:type="dxa"/>
            <w:vAlign w:val="top"/>
          </w:tcPr>
          <w:p>
            <w:pPr>
              <w:pStyle w:val="TableText"/>
              <w:rPr/>
            </w:pPr>
            <w:r/>
          </w:p>
        </w:tc>
        <w:tc>
          <w:tcPr>
            <w:tcW w:w="1236" w:type="dxa"/>
            <w:vAlign w:val="top"/>
          </w:tcPr>
          <w:p>
            <w:pPr>
              <w:pStyle w:val="TableText"/>
              <w:rPr/>
            </w:pPr>
            <w:r/>
          </w:p>
        </w:tc>
      </w:tr>
      <w:tr>
        <w:trPr>
          <w:trHeight w:val="378" w:hRule="atLeast"/>
        </w:trPr>
        <w:tc>
          <w:tcPr>
            <w:tcW w:w="4088" w:type="dxa"/>
            <w:vAlign w:val="top"/>
          </w:tcPr>
          <w:p>
            <w:pPr>
              <w:ind w:left="172"/>
              <w:spacing w:before="116" w:line="228" w:lineRule="auto"/>
              <w:rPr>
                <w:rFonts w:ascii="SimSun" w:hAnsi="SimSun" w:eastAsia="SimSun" w:cs="SimSun"/>
                <w:sz w:val="15"/>
                <w:szCs w:val="15"/>
              </w:rPr>
            </w:pPr>
            <w:r>
              <w:rPr>
                <w:rFonts w:ascii="SimSun" w:hAnsi="SimSun" w:eastAsia="SimSun" w:cs="SimSun"/>
                <w:sz w:val="15"/>
                <w:szCs w:val="15"/>
                <w:color w:val="212529"/>
                <w:spacing w:val="11"/>
              </w:rPr>
              <w:t>兴县人民代表大会常务委员会办公室</w:t>
            </w:r>
          </w:p>
        </w:tc>
        <w:tc>
          <w:tcPr>
            <w:tcW w:w="1296"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404" w:type="dxa"/>
            <w:vAlign w:val="top"/>
          </w:tcPr>
          <w:p>
            <w:pPr>
              <w:ind w:right="18"/>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134" w:type="dxa"/>
            <w:vAlign w:val="top"/>
          </w:tcPr>
          <w:p>
            <w:pPr>
              <w:pStyle w:val="TableText"/>
              <w:rPr/>
            </w:pPr>
            <w:r/>
          </w:p>
        </w:tc>
        <w:tc>
          <w:tcPr>
            <w:tcW w:w="1236" w:type="dxa"/>
            <w:vAlign w:val="top"/>
          </w:tcPr>
          <w:p>
            <w:pPr>
              <w:pStyle w:val="TableText"/>
              <w:rPr/>
            </w:pPr>
            <w:r/>
          </w:p>
        </w:tc>
      </w:tr>
      <w:tr>
        <w:trPr>
          <w:trHeight w:val="378" w:hRule="atLeast"/>
        </w:trPr>
        <w:tc>
          <w:tcPr>
            <w:tcW w:w="4088" w:type="dxa"/>
            <w:vAlign w:val="top"/>
          </w:tcPr>
          <w:p>
            <w:pPr>
              <w:ind w:left="331"/>
              <w:spacing w:before="117" w:line="229" w:lineRule="auto"/>
              <w:rPr>
                <w:rFonts w:ascii="SimSun" w:hAnsi="SimSun" w:eastAsia="SimSun" w:cs="SimSun"/>
                <w:sz w:val="15"/>
                <w:szCs w:val="15"/>
              </w:rPr>
            </w:pPr>
            <w:r>
              <w:rPr>
                <w:rFonts w:ascii="SimSun" w:hAnsi="SimSun" w:eastAsia="SimSun" w:cs="SimSun"/>
                <w:sz w:val="15"/>
                <w:szCs w:val="15"/>
                <w:color w:val="212529"/>
                <w:spacing w:val="10"/>
              </w:rPr>
              <w:t>人大代表联络站建设经费兴财行【2023】62</w:t>
            </w:r>
            <w:r>
              <w:rPr>
                <w:rFonts w:ascii="SimSun" w:hAnsi="SimSun" w:eastAsia="SimSun" w:cs="SimSun"/>
                <w:sz w:val="15"/>
                <w:szCs w:val="15"/>
                <w:color w:val="212529"/>
                <w:spacing w:val="9"/>
              </w:rPr>
              <w:t>6号</w:t>
            </w:r>
          </w:p>
        </w:tc>
        <w:tc>
          <w:tcPr>
            <w:tcW w:w="1296"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404" w:type="dxa"/>
            <w:vAlign w:val="top"/>
          </w:tcPr>
          <w:p>
            <w:pPr>
              <w:ind w:right="18"/>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34" w:type="dxa"/>
            <w:vAlign w:val="top"/>
          </w:tcPr>
          <w:p>
            <w:pPr>
              <w:pStyle w:val="TableText"/>
              <w:rPr/>
            </w:pPr>
            <w:r/>
          </w:p>
        </w:tc>
        <w:tc>
          <w:tcPr>
            <w:tcW w:w="1236" w:type="dxa"/>
            <w:vAlign w:val="top"/>
          </w:tcPr>
          <w:p>
            <w:pPr>
              <w:pStyle w:val="TableText"/>
              <w:rPr/>
            </w:pPr>
            <w:r/>
          </w:p>
        </w:tc>
      </w:tr>
      <w:tr>
        <w:trPr>
          <w:trHeight w:val="384" w:hRule="atLeast"/>
        </w:trPr>
        <w:tc>
          <w:tcPr>
            <w:tcW w:w="4088" w:type="dxa"/>
            <w:vAlign w:val="top"/>
          </w:tcPr>
          <w:p>
            <w:pPr>
              <w:ind w:left="10" w:right="105" w:firstLine="322"/>
              <w:spacing w:before="32" w:line="210" w:lineRule="auto"/>
              <w:rPr>
                <w:rFonts w:ascii="SimSun" w:hAnsi="SimSun" w:eastAsia="SimSun" w:cs="SimSun"/>
                <w:sz w:val="15"/>
                <w:szCs w:val="15"/>
              </w:rPr>
            </w:pPr>
            <w:r>
              <w:rPr>
                <w:rFonts w:ascii="SimSun" w:hAnsi="SimSun" w:eastAsia="SimSun" w:cs="SimSun"/>
                <w:sz w:val="15"/>
                <w:szCs w:val="15"/>
                <w:color w:val="212529"/>
                <w:spacing w:val="8"/>
              </w:rPr>
              <w:t>2024年人大代表联络站建设经费吕财行【2024】</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8"/>
              </w:rPr>
              <w:t>125</w:t>
            </w:r>
            <w:r>
              <w:rPr>
                <w:rFonts w:ascii="SimSun" w:hAnsi="SimSun" w:eastAsia="SimSun" w:cs="SimSun"/>
                <w:sz w:val="15"/>
                <w:szCs w:val="15"/>
                <w:color w:val="212529"/>
              </w:rPr>
              <w:t>号</w:t>
            </w:r>
          </w:p>
        </w:tc>
        <w:tc>
          <w:tcPr>
            <w:tcW w:w="1296"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404" w:type="dxa"/>
            <w:vAlign w:val="top"/>
          </w:tcPr>
          <w:p>
            <w:pPr>
              <w:ind w:right="18"/>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34" w:type="dxa"/>
            <w:vAlign w:val="top"/>
          </w:tcPr>
          <w:p>
            <w:pPr>
              <w:pStyle w:val="TableText"/>
              <w:rPr/>
            </w:pPr>
            <w:r/>
          </w:p>
        </w:tc>
        <w:tc>
          <w:tcPr>
            <w:tcW w:w="1236" w:type="dxa"/>
            <w:vAlign w:val="top"/>
          </w:tcPr>
          <w:p>
            <w:pPr>
              <w:pStyle w:val="TableText"/>
              <w:rPr/>
            </w:pPr>
            <w:r/>
          </w:p>
        </w:tc>
      </w:tr>
    </w:tbl>
    <w:p>
      <w:pPr>
        <w:pStyle w:val="BodyText"/>
        <w:rPr/>
      </w:pPr>
      <w:r/>
    </w:p>
    <w:p>
      <w:pPr>
        <w:sectPr>
          <w:headerReference w:type="default" r:id="rId33"/>
          <w:footerReference w:type="default" r:id="rId34"/>
          <w:pgSz w:w="11900" w:h="16840"/>
          <w:pgMar w:top="642" w:right="0" w:bottom="340" w:left="0" w:header="326" w:footer="93"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9" w:id="32"/>
      <w:bookmarkEnd w:id="32"/>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3"/>
      <w:bookmarkEnd w:id="33"/>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59" w:right="1223" w:firstLine="461"/>
        <w:spacing w:before="184" w:line="323" w:lineRule="auto"/>
        <w:jc w:val="both"/>
        <w:rPr>
          <w:rFonts w:ascii="FangSong" w:hAnsi="FangSong" w:eastAsia="FangSong" w:cs="FangSong"/>
          <w:sz w:val="23"/>
          <w:szCs w:val="23"/>
        </w:rPr>
      </w:pPr>
      <w:r>
        <w:rPr>
          <w:rFonts w:ascii="FangSong" w:hAnsi="FangSong" w:eastAsia="FangSong" w:cs="FangSong"/>
          <w:sz w:val="23"/>
          <w:szCs w:val="23"/>
          <w:spacing w:val="5"/>
        </w:rPr>
        <w:t>2025年度兴县人民代表大会常务委员会办公室预算收入总计1,063.66万元</w:t>
      </w:r>
      <w:r>
        <w:rPr>
          <w:rFonts w:ascii="FangSong" w:hAnsi="FangSong" w:eastAsia="FangSong" w:cs="FangSong"/>
          <w:sz w:val="23"/>
          <w:szCs w:val="23"/>
          <w:spacing w:val="4"/>
        </w:rPr>
        <w:t>，其中：本年</w:t>
      </w:r>
      <w:r>
        <w:rPr>
          <w:rFonts w:ascii="FangSong" w:hAnsi="FangSong" w:eastAsia="FangSong" w:cs="FangSong"/>
          <w:sz w:val="23"/>
          <w:szCs w:val="23"/>
          <w:spacing w:val="2"/>
        </w:rPr>
        <w:t>收入1,043.66万元，上年结转20.00万元，比上年减少224.99万元，下降17.46%</w:t>
      </w:r>
      <w:r>
        <w:rPr>
          <w:rFonts w:ascii="FangSong" w:hAnsi="FangSong" w:eastAsia="FangSong" w:cs="FangSong"/>
          <w:sz w:val="23"/>
          <w:szCs w:val="23"/>
          <w:spacing w:val="1"/>
        </w:rPr>
        <w:t>，主要原因是</w:t>
      </w:r>
      <w:r>
        <w:rPr>
          <w:rFonts w:ascii="FangSong" w:hAnsi="FangSong" w:eastAsia="FangSong" w:cs="FangSong"/>
          <w:sz w:val="23"/>
          <w:szCs w:val="23"/>
          <w:spacing w:val="5"/>
        </w:rPr>
        <w:t>根据中央、省、市厉行节约的规定严把预算关，实行源头控制，严格执行中央八项规定，在</w:t>
      </w:r>
      <w:r>
        <w:rPr>
          <w:rFonts w:ascii="FangSong" w:hAnsi="FangSong" w:eastAsia="FangSong" w:cs="FangSong"/>
          <w:sz w:val="23"/>
          <w:szCs w:val="23"/>
          <w:spacing w:val="10"/>
        </w:rPr>
        <w:t>预算安排中对经费进行压缩，</w:t>
      </w:r>
      <w:r>
        <w:rPr>
          <w:rFonts w:ascii="FangSong" w:hAnsi="FangSong" w:eastAsia="FangSong" w:cs="FangSong"/>
          <w:sz w:val="23"/>
          <w:szCs w:val="23"/>
          <w:spacing w:val="-60"/>
        </w:rPr>
        <w:t xml:space="preserve"> </w:t>
      </w:r>
      <w:r>
        <w:rPr>
          <w:rFonts w:ascii="FangSong" w:hAnsi="FangSong" w:eastAsia="FangSong" w:cs="FangSong"/>
          <w:sz w:val="23"/>
          <w:szCs w:val="23"/>
          <w:spacing w:val="10"/>
        </w:rPr>
        <w:t>因此本年度较上年度基本支出减少、财政拨款减少、收入减</w:t>
      </w:r>
      <w:r>
        <w:rPr>
          <w:rFonts w:ascii="FangSong" w:hAnsi="FangSong" w:eastAsia="FangSong" w:cs="FangSong"/>
          <w:sz w:val="23"/>
          <w:szCs w:val="23"/>
          <w:spacing w:val="10"/>
        </w:rPr>
        <w:t>少；本年部门预算支出总计1,063.66万元，</w:t>
      </w:r>
      <w:r>
        <w:rPr>
          <w:rFonts w:ascii="FangSong" w:hAnsi="FangSong" w:eastAsia="FangSong" w:cs="FangSong"/>
          <w:sz w:val="23"/>
          <w:szCs w:val="23"/>
          <w:spacing w:val="9"/>
        </w:rPr>
        <w:t>其中：本年预算安排1,043.66万元，上年结转</w:t>
      </w:r>
      <w:r>
        <w:rPr>
          <w:rFonts w:ascii="FangSong" w:hAnsi="FangSong" w:eastAsia="FangSong" w:cs="FangSong"/>
          <w:sz w:val="23"/>
          <w:szCs w:val="23"/>
          <w:spacing w:val="2"/>
        </w:rPr>
        <w:t>20.00万元，比上年减少224.99万元，下降17.46%，主要原因是根据中央、省、市厉行节约的</w:t>
      </w:r>
      <w:r>
        <w:rPr>
          <w:rFonts w:ascii="FangSong" w:hAnsi="FangSong" w:eastAsia="FangSong" w:cs="FangSong"/>
          <w:sz w:val="23"/>
          <w:szCs w:val="23"/>
          <w:spacing w:val="5"/>
        </w:rPr>
        <w:t>规定严把预算关，实行源头控制，严格执行中央八项规定，在预算安排中对经费进行压缩，</w:t>
      </w:r>
      <w:r>
        <w:rPr>
          <w:rFonts w:ascii="FangSong" w:hAnsi="FangSong" w:eastAsia="FangSong" w:cs="FangSong"/>
          <w:sz w:val="23"/>
          <w:szCs w:val="23"/>
        </w:rPr>
        <w:t>因</w:t>
      </w:r>
      <w:r>
        <w:rPr>
          <w:rFonts w:ascii="FangSong" w:hAnsi="FangSong" w:eastAsia="FangSong" w:cs="FangSong"/>
          <w:sz w:val="23"/>
          <w:szCs w:val="23"/>
        </w:rPr>
        <w:t xml:space="preserve">    </w:t>
      </w:r>
      <w:r>
        <w:rPr>
          <w:rFonts w:ascii="FangSong" w:hAnsi="FangSong" w:eastAsia="FangSong" w:cs="FangSong"/>
          <w:sz w:val="23"/>
          <w:szCs w:val="23"/>
        </w:rPr>
        <w:t>年度较上年度基本支出减少、财政拨款减少、收入减少</w:t>
      </w:r>
    </w:p>
    <w:p>
      <w:pPr>
        <w:ind w:left="1261"/>
        <w:spacing w:line="229" w:lineRule="exact"/>
        <w:outlineLvl w:val="1"/>
        <w:rPr>
          <w:rFonts w:ascii="Microsoft YaHei" w:hAnsi="Microsoft YaHei" w:eastAsia="Microsoft YaHei" w:cs="Microsoft YaHei"/>
          <w:sz w:val="22"/>
          <w:szCs w:val="22"/>
        </w:rPr>
      </w:pPr>
      <w:bookmarkStart w:name="bookmark21" w:id="34"/>
      <w:bookmarkEnd w:id="34"/>
      <w:r>
        <w:rPr>
          <w:rFonts w:ascii="Microsoft YaHei" w:hAnsi="Microsoft YaHei" w:eastAsia="Microsoft YaHei" w:cs="Microsoft YaHei"/>
          <w:sz w:val="22"/>
          <w:szCs w:val="22"/>
          <w:spacing w:val="8"/>
          <w:position w:val="-1"/>
        </w:rPr>
        <w:t>二、收入预算情况说明</w:t>
      </w:r>
    </w:p>
    <w:p>
      <w:pPr>
        <w:ind w:left="1720"/>
        <w:spacing w:before="186" w:line="222" w:lineRule="auto"/>
        <w:rPr>
          <w:rFonts w:ascii="FangSong" w:hAnsi="FangSong" w:eastAsia="FangSong" w:cs="FangSong"/>
          <w:sz w:val="23"/>
          <w:szCs w:val="23"/>
        </w:rPr>
      </w:pPr>
      <w:r>
        <w:rPr>
          <w:rFonts w:ascii="FangSong" w:hAnsi="FangSong" w:eastAsia="FangSong" w:cs="FangSong"/>
          <w:sz w:val="23"/>
          <w:szCs w:val="23"/>
          <w:spacing w:val="5"/>
        </w:rPr>
        <w:t>2025年度兴县人民代表大会常务委员会办公室预算收入</w:t>
      </w:r>
      <w:r>
        <w:rPr>
          <w:rFonts w:ascii="FangSong" w:hAnsi="FangSong" w:eastAsia="FangSong" w:cs="FangSong"/>
          <w:sz w:val="23"/>
          <w:szCs w:val="23"/>
          <w:spacing w:val="4"/>
        </w:rPr>
        <w:t>1,063.66</w:t>
      </w:r>
      <w:r>
        <w:rPr>
          <w:rFonts w:ascii="FangSong" w:hAnsi="FangSong" w:eastAsia="FangSong" w:cs="FangSong"/>
          <w:sz w:val="23"/>
          <w:szCs w:val="23"/>
          <w:spacing w:val="4"/>
        </w:rPr>
        <w:t xml:space="preserve">    </w:t>
      </w:r>
      <w:r>
        <w:rPr>
          <w:rFonts w:ascii="FangSong" w:hAnsi="FangSong" w:eastAsia="FangSong" w:cs="FangSong"/>
          <w:sz w:val="23"/>
          <w:szCs w:val="23"/>
          <w:spacing w:val="4"/>
        </w:rPr>
        <w:t>，</w:t>
      </w:r>
      <w:r>
        <w:rPr>
          <w:rFonts w:ascii="FangSong" w:hAnsi="FangSong" w:eastAsia="FangSong" w:cs="FangSong"/>
          <w:sz w:val="23"/>
          <w:szCs w:val="23"/>
          <w:spacing w:val="4"/>
        </w:rPr>
        <w:t xml:space="preserve">  </w:t>
      </w:r>
      <w:r>
        <w:rPr>
          <w:rFonts w:ascii="FangSong" w:hAnsi="FangSong" w:eastAsia="FangSong" w:cs="FangSong"/>
          <w:sz w:val="23"/>
          <w:szCs w:val="23"/>
          <w:spacing w:val="4"/>
        </w:rPr>
        <w:t>要包括一般公</w:t>
      </w:r>
    </w:p>
    <w:p>
      <w:pPr>
        <w:ind w:left="1270"/>
        <w:spacing w:before="122" w:line="221" w:lineRule="auto"/>
        <w:rPr>
          <w:rFonts w:ascii="FangSong" w:hAnsi="FangSong" w:eastAsia="FangSong" w:cs="FangSong"/>
          <w:sz w:val="23"/>
          <w:szCs w:val="23"/>
        </w:rPr>
      </w:pPr>
      <w:r>
        <w:rPr>
          <w:rFonts w:ascii="FangSong" w:hAnsi="FangSong" w:eastAsia="FangSong" w:cs="FangSong"/>
          <w:sz w:val="23"/>
          <w:szCs w:val="23"/>
        </w:rPr>
        <w:t>共预算拨款收入1,043.66万元，</w:t>
      </w:r>
      <w:r>
        <w:rPr>
          <w:rFonts w:ascii="FangSong" w:hAnsi="FangSong" w:eastAsia="FangSong" w:cs="FangSong"/>
          <w:sz w:val="23"/>
          <w:szCs w:val="23"/>
          <w:spacing w:val="-57"/>
        </w:rPr>
        <w:t xml:space="preserve"> </w:t>
      </w:r>
      <w:r>
        <w:rPr>
          <w:rFonts w:ascii="FangSong" w:hAnsi="FangSong" w:eastAsia="FangSong" w:cs="FangSong"/>
          <w:sz w:val="23"/>
          <w:szCs w:val="23"/>
        </w:rPr>
        <w:t>占98.12</w:t>
      </w:r>
      <w:r>
        <w:rPr>
          <w:rFonts w:ascii="FangSong" w:hAnsi="FangSong" w:eastAsia="FangSong" w:cs="FangSong"/>
          <w:sz w:val="23"/>
          <w:szCs w:val="23"/>
          <w:spacing w:val="-1"/>
        </w:rPr>
        <w:t>%；政府性基金预算拨款收</w:t>
      </w:r>
      <w:r>
        <w:rPr>
          <w:rFonts w:ascii="FangSong" w:hAnsi="FangSong" w:eastAsia="FangSong" w:cs="FangSong"/>
          <w:sz w:val="23"/>
          <w:szCs w:val="23"/>
          <w:spacing w:val="-1"/>
        </w:rPr>
        <w:t xml:space="preserve">     </w:t>
      </w:r>
      <w:r>
        <w:rPr>
          <w:rFonts w:ascii="FangSong" w:hAnsi="FangSong" w:eastAsia="FangSong" w:cs="FangSong"/>
          <w:sz w:val="23"/>
          <w:szCs w:val="23"/>
          <w:spacing w:val="-1"/>
        </w:rPr>
        <w:t>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占0%；国有资本</w:t>
      </w:r>
    </w:p>
    <w:p>
      <w:pPr>
        <w:ind w:left="1258" w:right="1223" w:firstLine="5"/>
        <w:spacing w:before="125" w:line="329" w:lineRule="auto"/>
        <w:rPr>
          <w:rFonts w:ascii="FangSong" w:hAnsi="FangSong" w:eastAsia="FangSong" w:cs="FangSong"/>
          <w:sz w:val="23"/>
          <w:szCs w:val="23"/>
        </w:rPr>
      </w:pPr>
      <w:r>
        <w:rPr>
          <w:rFonts w:ascii="FangSong" w:hAnsi="FangSong" w:eastAsia="FangSong" w:cs="FangSong"/>
          <w:sz w:val="23"/>
          <w:szCs w:val="23"/>
          <w:spacing w:val="3"/>
        </w:rPr>
        <w:t>经营预算拨款收入0万元，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占0%；财政专户管理资金收入0万元，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占0%；单位资金0万元，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w:t>
      </w:r>
      <w:r>
        <w:rPr>
          <w:rFonts w:ascii="FangSong" w:hAnsi="FangSong" w:eastAsia="FangSong" w:cs="FangSong"/>
          <w:sz w:val="23"/>
          <w:szCs w:val="23"/>
          <w:spacing w:val="-3"/>
        </w:rPr>
        <w:t>0%；上年结转20.00万元，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占1.88%。</w:t>
      </w:r>
    </w:p>
    <w:p>
      <w:pPr>
        <w:pStyle w:val="BodyText"/>
        <w:spacing w:line="441" w:lineRule="auto"/>
        <w:rPr/>
      </w:pPr>
      <w:r/>
    </w:p>
    <w:p>
      <w:pPr>
        <w:ind w:firstLine="3325"/>
        <w:spacing w:before="1" w:line="3118" w:lineRule="exact"/>
        <w:rPr/>
      </w:pPr>
      <w:r>
        <w:rPr>
          <w:position w:val="-62"/>
        </w:rPr>
        <w:drawing>
          <wp:inline distT="0" distB="0" distL="0" distR="0">
            <wp:extent cx="2625452" cy="1979727"/>
            <wp:effectExtent l="0" t="0" r="0" b="0"/>
            <wp:docPr id="4" name="IM 4"/>
            <wp:cNvGraphicFramePr/>
            <a:graphic>
              <a:graphicData uri="http://schemas.openxmlformats.org/drawingml/2006/picture">
                <pic:pic>
                  <pic:nvPicPr>
                    <pic:cNvPr id="4" name="IM 4"/>
                    <pic:cNvPicPr/>
                  </pic:nvPicPr>
                  <pic:blipFill>
                    <a:blip r:embed="rId37"/>
                    <a:stretch>
                      <a:fillRect/>
                    </a:stretch>
                  </pic:blipFill>
                  <pic:spPr>
                    <a:xfrm rot="0">
                      <a:off x="0" y="0"/>
                      <a:ext cx="2625452" cy="1979727"/>
                    </a:xfrm>
                    <a:prstGeom prst="rect">
                      <a:avLst/>
                    </a:prstGeom>
                  </pic:spPr>
                </pic:pic>
              </a:graphicData>
            </a:graphic>
          </wp:inline>
        </w:drawing>
      </w:r>
    </w:p>
    <w:p>
      <w:pPr>
        <w:ind w:left="1262"/>
        <w:spacing w:before="317" w:line="230" w:lineRule="exact"/>
        <w:outlineLvl w:val="1"/>
        <w:rPr>
          <w:rFonts w:ascii="Microsoft YaHei" w:hAnsi="Microsoft YaHei" w:eastAsia="Microsoft YaHei" w:cs="Microsoft YaHei"/>
          <w:sz w:val="22"/>
          <w:szCs w:val="22"/>
        </w:rPr>
      </w:pPr>
      <w:r>
        <w:pict>
          <v:shape id="_x0000_s368" style="position:absolute;margin-left:86.92pt;margin-top:-26.3622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bookmarkStart w:name="bookmark22" w:id="35"/>
      <w:bookmarkEnd w:id="35"/>
      <w:r>
        <w:rPr>
          <w:rFonts w:ascii="Microsoft YaHei" w:hAnsi="Microsoft YaHei" w:eastAsia="Microsoft YaHei" w:cs="Microsoft YaHei"/>
          <w:sz w:val="22"/>
          <w:szCs w:val="22"/>
          <w:spacing w:val="7"/>
          <w:position w:val="-1"/>
        </w:rPr>
        <w:t>三、支出预算情况说明</w:t>
      </w:r>
    </w:p>
    <w:p>
      <w:pPr>
        <w:ind w:left="1255" w:right="1223" w:firstLine="464"/>
        <w:spacing w:before="173" w:line="324" w:lineRule="auto"/>
        <w:rPr>
          <w:rFonts w:ascii="FangSong" w:hAnsi="FangSong" w:eastAsia="FangSong" w:cs="FangSong"/>
          <w:sz w:val="23"/>
          <w:szCs w:val="23"/>
        </w:rPr>
      </w:pPr>
      <w:r>
        <w:rPr>
          <w:rFonts w:ascii="FangSong" w:hAnsi="FangSong" w:eastAsia="FangSong" w:cs="FangSong"/>
          <w:sz w:val="23"/>
          <w:szCs w:val="23"/>
          <w:spacing w:val="8"/>
        </w:rPr>
        <w:t>2025年度兴县人民代表大会常务委员会办公室支出预算10</w:t>
      </w:r>
      <w:r>
        <w:rPr>
          <w:rFonts w:ascii="FangSong" w:hAnsi="FangSong" w:eastAsia="FangSong" w:cs="FangSong"/>
          <w:sz w:val="23"/>
          <w:szCs w:val="23"/>
          <w:spacing w:val="7"/>
        </w:rPr>
        <w:t>63.66万元，其中：基本支出</w:t>
      </w:r>
      <w:r>
        <w:rPr>
          <w:rFonts w:ascii="FangSong" w:hAnsi="FangSong" w:eastAsia="FangSong" w:cs="FangSong"/>
          <w:sz w:val="23"/>
          <w:szCs w:val="23"/>
          <w:spacing w:val="-3"/>
        </w:rPr>
        <w:t>458.46万元，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占43.10%；项目支出605.2万元，</w:t>
      </w:r>
      <w:r>
        <w:rPr>
          <w:rFonts w:ascii="FangSong" w:hAnsi="FangSong" w:eastAsia="FangSong" w:cs="FangSong"/>
          <w:sz w:val="23"/>
          <w:szCs w:val="23"/>
          <w:spacing w:val="-59"/>
        </w:rPr>
        <w:t xml:space="preserve"> </w:t>
      </w:r>
      <w:r>
        <w:rPr>
          <w:rFonts w:ascii="FangSong" w:hAnsi="FangSong" w:eastAsia="FangSong" w:cs="FangSong"/>
          <w:sz w:val="23"/>
          <w:szCs w:val="23"/>
          <w:spacing w:val="-3"/>
        </w:rPr>
        <w:t>占56.90%。</w:t>
      </w:r>
    </w:p>
    <w:p>
      <w:pPr>
        <w:ind w:left="1271"/>
        <w:spacing w:line="230" w:lineRule="exact"/>
        <w:outlineLvl w:val="1"/>
        <w:rPr>
          <w:rFonts w:ascii="Microsoft YaHei" w:hAnsi="Microsoft YaHei" w:eastAsia="Microsoft YaHei" w:cs="Microsoft YaHei"/>
          <w:sz w:val="22"/>
          <w:szCs w:val="22"/>
        </w:rPr>
      </w:pPr>
      <w:bookmarkStart w:name="bookmark23" w:id="36"/>
      <w:bookmarkEnd w:id="36"/>
      <w:r>
        <w:rPr>
          <w:rFonts w:ascii="Microsoft YaHei" w:hAnsi="Microsoft YaHei" w:eastAsia="Microsoft YaHei" w:cs="Microsoft YaHei"/>
          <w:sz w:val="22"/>
          <w:szCs w:val="22"/>
          <w:spacing w:val="8"/>
          <w:position w:val="-1"/>
        </w:rPr>
        <w:t>四、财政拨款收支预算总体情况说明</w:t>
      </w:r>
    </w:p>
    <w:p>
      <w:pPr>
        <w:ind w:left="1265" w:right="1223" w:firstLine="454"/>
        <w:spacing w:before="174" w:line="324" w:lineRule="auto"/>
        <w:jc w:val="both"/>
        <w:rPr>
          <w:rFonts w:ascii="FangSong" w:hAnsi="FangSong" w:eastAsia="FangSong" w:cs="FangSong"/>
          <w:sz w:val="23"/>
          <w:szCs w:val="23"/>
        </w:rPr>
      </w:pPr>
      <w:r>
        <w:rPr>
          <w:rFonts w:ascii="FangSong" w:hAnsi="FangSong" w:eastAsia="FangSong" w:cs="FangSong"/>
          <w:sz w:val="23"/>
          <w:szCs w:val="23"/>
          <w:spacing w:val="9"/>
        </w:rPr>
        <w:t>2025年度兴县人民代表大会常务委员会办公室财政拨款收支总预算1,063.66万元</w:t>
      </w:r>
      <w:r>
        <w:rPr>
          <w:rFonts w:ascii="FangSong" w:hAnsi="FangSong" w:eastAsia="FangSong" w:cs="FangSong"/>
          <w:sz w:val="23"/>
          <w:szCs w:val="23"/>
          <w:spacing w:val="-58"/>
        </w:rPr>
        <w:t xml:space="preserve"> </w:t>
      </w:r>
      <w:r>
        <w:rPr>
          <w:rFonts w:ascii="FangSong" w:hAnsi="FangSong" w:eastAsia="FangSong" w:cs="FangSong"/>
          <w:sz w:val="23"/>
          <w:szCs w:val="23"/>
          <w:spacing w:val="9"/>
        </w:rPr>
        <w:t>。其</w:t>
      </w:r>
      <w:r>
        <w:rPr>
          <w:rFonts w:ascii="FangSong" w:hAnsi="FangSong" w:eastAsia="FangSong" w:cs="FangSong"/>
          <w:sz w:val="23"/>
          <w:szCs w:val="23"/>
          <w:spacing w:val="4"/>
        </w:rPr>
        <w:t>中：一般公共预算拨款1,063.66万元，政府性基金预</w:t>
      </w:r>
      <w:r>
        <w:rPr>
          <w:rFonts w:ascii="FangSong" w:hAnsi="FangSong" w:eastAsia="FangSong" w:cs="FangSong"/>
          <w:sz w:val="23"/>
          <w:szCs w:val="23"/>
          <w:spacing w:val="3"/>
        </w:rPr>
        <w:t>算拨款0万元，</w:t>
      </w:r>
      <w:r>
        <w:rPr>
          <w:rFonts w:ascii="FangSong" w:hAnsi="FangSong" w:eastAsia="FangSong" w:cs="FangSong"/>
          <w:sz w:val="23"/>
          <w:szCs w:val="23"/>
          <w:spacing w:val="-68"/>
        </w:rPr>
        <w:t xml:space="preserve"> </w:t>
      </w:r>
      <w:r>
        <w:rPr>
          <w:rFonts w:ascii="FangSong" w:hAnsi="FangSong" w:eastAsia="FangSong" w:cs="FangSong"/>
          <w:sz w:val="23"/>
          <w:szCs w:val="23"/>
          <w:spacing w:val="3"/>
        </w:rPr>
        <w:t>国有资本经营预算拨款0</w:t>
      </w:r>
      <w:r>
        <w:rPr>
          <w:rFonts w:ascii="FangSong" w:hAnsi="FangSong" w:eastAsia="FangSong" w:cs="FangSong"/>
          <w:sz w:val="23"/>
          <w:szCs w:val="23"/>
          <w:spacing w:val="2"/>
        </w:rPr>
        <w:t>万元。其中：当年拨款收入1,043.66万元，上年结转收入20.00万元。支出包括：一般公共服</w:t>
      </w:r>
      <w:r>
        <w:rPr>
          <w:rFonts w:ascii="FangSong" w:hAnsi="FangSong" w:eastAsia="FangSong" w:cs="FangSong"/>
          <w:sz w:val="23"/>
          <w:szCs w:val="23"/>
          <w:spacing w:val="4"/>
        </w:rPr>
        <w:t>务支出932.17万元、社会保障和就业支出76.71万元、卫生健康支出23.57万元、住房保障支</w:t>
      </w:r>
      <w:r>
        <w:rPr>
          <w:rFonts w:ascii="FangSong" w:hAnsi="FangSong" w:eastAsia="FangSong" w:cs="FangSong"/>
          <w:sz w:val="23"/>
          <w:szCs w:val="23"/>
          <w:spacing w:val="-2"/>
        </w:rPr>
        <w:t>出31.21万元等。</w:t>
      </w:r>
    </w:p>
    <w:p>
      <w:pPr>
        <w:ind w:left="1264"/>
        <w:spacing w:line="230" w:lineRule="exact"/>
        <w:outlineLvl w:val="1"/>
        <w:rPr>
          <w:rFonts w:ascii="Microsoft YaHei" w:hAnsi="Microsoft YaHei" w:eastAsia="Microsoft YaHei" w:cs="Microsoft YaHei"/>
          <w:sz w:val="22"/>
          <w:szCs w:val="22"/>
        </w:rPr>
      </w:pPr>
      <w:bookmarkStart w:name="bookmark24" w:id="37"/>
      <w:bookmarkEnd w:id="37"/>
      <w:r>
        <w:rPr>
          <w:rFonts w:ascii="Microsoft YaHei" w:hAnsi="Microsoft YaHei" w:eastAsia="Microsoft YaHei" w:cs="Microsoft YaHei"/>
          <w:sz w:val="22"/>
          <w:szCs w:val="22"/>
          <w:spacing w:val="8"/>
          <w:position w:val="-1"/>
        </w:rPr>
        <w:t>五、一般公共预算支出情况说明</w:t>
      </w:r>
    </w:p>
    <w:p>
      <w:pPr>
        <w:ind w:left="1725"/>
        <w:spacing w:before="1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spacing w:line="222" w:lineRule="auto"/>
        <w:sectPr>
          <w:headerReference w:type="default" r:id="rId35"/>
          <w:footerReference w:type="default" r:id="rId36"/>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68" w:right="1690" w:firstLine="452"/>
        <w:spacing w:before="74" w:line="322" w:lineRule="auto"/>
        <w:rPr>
          <w:rFonts w:ascii="FangSong" w:hAnsi="FangSong" w:eastAsia="FangSong" w:cs="FangSong"/>
          <w:sz w:val="23"/>
          <w:szCs w:val="23"/>
        </w:rPr>
      </w:pPr>
      <w:r>
        <w:rPr>
          <w:rFonts w:ascii="FangSong" w:hAnsi="FangSong" w:eastAsia="FangSong" w:cs="FangSong"/>
          <w:sz w:val="23"/>
          <w:szCs w:val="23"/>
          <w:spacing w:val="2"/>
        </w:rPr>
        <w:t>2</w:t>
      </w:r>
      <w:r>
        <w:rPr>
          <w:rFonts w:ascii="FangSong" w:hAnsi="FangSong" w:eastAsia="FangSong" w:cs="FangSong"/>
          <w:sz w:val="23"/>
          <w:szCs w:val="23"/>
          <w:spacing w:val="2"/>
        </w:rPr>
        <w:t xml:space="preserve">       </w:t>
      </w:r>
      <w:r>
        <w:rPr>
          <w:rFonts w:ascii="FangSong" w:hAnsi="FangSong" w:eastAsia="FangSong" w:cs="FangSong"/>
          <w:sz w:val="23"/>
          <w:szCs w:val="23"/>
          <w:spacing w:val="2"/>
        </w:rPr>
        <w:t>兴县人民代表大会常务委员会办公室一般公共预算当年支出1,043.66</w:t>
      </w:r>
      <w:r>
        <w:rPr>
          <w:rFonts w:ascii="FangSong" w:hAnsi="FangSong" w:eastAsia="FangSong" w:cs="FangSong"/>
          <w:sz w:val="23"/>
          <w:szCs w:val="23"/>
          <w:spacing w:val="2"/>
        </w:rPr>
        <w:t xml:space="preserve">    </w:t>
      </w:r>
      <w:r>
        <w:rPr>
          <w:rFonts w:ascii="FangSong" w:hAnsi="FangSong" w:eastAsia="FangSong" w:cs="FangSong"/>
          <w:sz w:val="23"/>
          <w:szCs w:val="23"/>
          <w:spacing w:val="2"/>
        </w:rPr>
        <w:t>,</w:t>
      </w:r>
      <w:r>
        <w:rPr>
          <w:rFonts w:ascii="FangSong" w:hAnsi="FangSong" w:eastAsia="FangSong" w:cs="FangSong"/>
          <w:sz w:val="23"/>
          <w:szCs w:val="23"/>
          <w:spacing w:val="-1"/>
        </w:rPr>
        <w:t>年减少</w:t>
      </w:r>
      <w:r>
        <w:rPr>
          <w:rFonts w:ascii="FangSong" w:hAnsi="FangSong" w:eastAsia="FangSong" w:cs="FangSong"/>
          <w:sz w:val="23"/>
          <w:szCs w:val="23"/>
          <w:spacing w:val="-1"/>
        </w:rPr>
        <w:t xml:space="preserve">  </w:t>
      </w:r>
      <w:r>
        <w:rPr>
          <w:rFonts w:ascii="FangSong" w:hAnsi="FangSong" w:eastAsia="FangSong" w:cs="FangSong"/>
          <w:sz w:val="23"/>
          <w:szCs w:val="23"/>
          <w:spacing w:val="-1"/>
        </w:rPr>
        <w:t>4.99万元，下降18.38%。</w:t>
      </w:r>
    </w:p>
    <w:p>
      <w:pPr>
        <w:ind w:left="1725"/>
        <w:spacing w:before="8"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1263" w:right="1223" w:firstLine="456"/>
        <w:spacing w:before="121" w:line="326" w:lineRule="auto"/>
        <w:jc w:val="both"/>
        <w:rPr>
          <w:rFonts w:ascii="FangSong" w:hAnsi="FangSong" w:eastAsia="FangSong" w:cs="FangSong"/>
          <w:sz w:val="23"/>
          <w:szCs w:val="23"/>
        </w:rPr>
      </w:pPr>
      <w:r>
        <w:rPr>
          <w:rFonts w:ascii="FangSong" w:hAnsi="FangSong" w:eastAsia="FangSong" w:cs="FangSong"/>
          <w:sz w:val="23"/>
          <w:szCs w:val="23"/>
          <w:spacing w:val="2"/>
        </w:rPr>
        <w:t>2025年度兴县人民代表大会常务委员会办公室一般公共预算当年支出1,043.66万元,主要</w:t>
      </w:r>
      <w:r>
        <w:rPr>
          <w:rFonts w:ascii="FangSong" w:hAnsi="FangSong" w:eastAsia="FangSong" w:cs="FangSong"/>
          <w:sz w:val="23"/>
          <w:szCs w:val="23"/>
          <w:spacing w:val="1"/>
        </w:rPr>
        <w:t>用于以下方面：一般公共服务支出912.17万元，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占87.40%；社会保障和就</w:t>
      </w:r>
      <w:r>
        <w:rPr>
          <w:rFonts w:ascii="FangSong" w:hAnsi="FangSong" w:eastAsia="FangSong" w:cs="FangSong"/>
          <w:sz w:val="23"/>
          <w:szCs w:val="23"/>
        </w:rPr>
        <w:t>业支出76.71万元，</w:t>
      </w:r>
      <w:r>
        <w:rPr>
          <w:rFonts w:ascii="FangSong" w:hAnsi="FangSong" w:eastAsia="FangSong" w:cs="FangSong"/>
          <w:sz w:val="23"/>
          <w:szCs w:val="23"/>
          <w:spacing w:val="-2"/>
        </w:rPr>
        <w:t>占7.35%；卫生健康支出23.57万元，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占2.26%；住房保障支出31.21万元，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占2.</w:t>
      </w:r>
      <w:r>
        <w:rPr>
          <w:rFonts w:ascii="FangSong" w:hAnsi="FangSong" w:eastAsia="FangSong" w:cs="FangSong"/>
          <w:sz w:val="23"/>
          <w:szCs w:val="23"/>
          <w:spacing w:val="-3"/>
        </w:rPr>
        <w:t>99%等。</w:t>
      </w:r>
    </w:p>
    <w:p>
      <w:pPr>
        <w:pStyle w:val="BodyText"/>
        <w:spacing w:line="425" w:lineRule="auto"/>
        <w:rPr/>
      </w:pPr>
      <w:r/>
    </w:p>
    <w:p>
      <w:pPr>
        <w:ind w:firstLine="3725"/>
        <w:spacing w:line="2368" w:lineRule="exact"/>
        <w:rPr/>
      </w:pPr>
      <w:r>
        <w:rPr>
          <w:position w:val="-47"/>
        </w:rPr>
        <w:drawing>
          <wp:inline distT="0" distB="0" distL="0" distR="0">
            <wp:extent cx="2574719" cy="1503626"/>
            <wp:effectExtent l="0" t="0" r="0" b="0"/>
            <wp:docPr id="6" name="IM 6"/>
            <wp:cNvGraphicFramePr/>
            <a:graphic>
              <a:graphicData uri="http://schemas.openxmlformats.org/drawingml/2006/picture">
                <pic:pic>
                  <pic:nvPicPr>
                    <pic:cNvPr id="6" name="IM 6"/>
                    <pic:cNvPicPr/>
                  </pic:nvPicPr>
                  <pic:blipFill>
                    <a:blip r:embed="rId40"/>
                    <a:stretch>
                      <a:fillRect/>
                    </a:stretch>
                  </pic:blipFill>
                  <pic:spPr>
                    <a:xfrm rot="0">
                      <a:off x="0" y="0"/>
                      <a:ext cx="2574719" cy="1503626"/>
                    </a:xfrm>
                    <a:prstGeom prst="rect">
                      <a:avLst/>
                    </a:prstGeom>
                  </pic:spPr>
                </pic:pic>
              </a:graphicData>
            </a:graphic>
          </wp:inline>
        </w:drawing>
      </w:r>
    </w:p>
    <w:p>
      <w:pPr>
        <w:pStyle w:val="BodyText"/>
        <w:spacing w:line="340" w:lineRule="auto"/>
        <w:rPr/>
      </w:pPr>
      <w:r/>
    </w:p>
    <w:p>
      <w:pPr>
        <w:ind w:left="1262"/>
        <w:spacing w:before="95" w:line="230" w:lineRule="exact"/>
        <w:outlineLvl w:val="1"/>
        <w:rPr>
          <w:rFonts w:ascii="Microsoft YaHei" w:hAnsi="Microsoft YaHei" w:eastAsia="Microsoft YaHei" w:cs="Microsoft YaHei"/>
          <w:sz w:val="22"/>
          <w:szCs w:val="22"/>
        </w:rPr>
      </w:pPr>
      <w:bookmarkStart w:name="bookmark25" w:id="38"/>
      <w:bookmarkEnd w:id="38"/>
      <w:r>
        <w:rPr>
          <w:rFonts w:ascii="Microsoft YaHei" w:hAnsi="Microsoft YaHei" w:eastAsia="Microsoft YaHei" w:cs="Microsoft YaHei"/>
          <w:sz w:val="22"/>
          <w:szCs w:val="22"/>
          <w:spacing w:val="8"/>
          <w:position w:val="-1"/>
        </w:rPr>
        <w:t>六、一般公共预算基本支出情况说明</w:t>
      </w:r>
    </w:p>
    <w:p>
      <w:pPr>
        <w:ind w:left="1265" w:right="1271" w:firstLine="454"/>
        <w:spacing w:before="176" w:line="325" w:lineRule="auto"/>
        <w:rPr>
          <w:rFonts w:ascii="FangSong" w:hAnsi="FangSong" w:eastAsia="FangSong" w:cs="FangSong"/>
          <w:sz w:val="23"/>
          <w:szCs w:val="23"/>
        </w:rPr>
      </w:pPr>
      <w:r>
        <w:rPr>
          <w:rFonts w:ascii="FangSong" w:hAnsi="FangSong" w:eastAsia="FangSong" w:cs="FangSong"/>
          <w:sz w:val="23"/>
          <w:szCs w:val="23"/>
          <w:spacing w:val="4"/>
        </w:rPr>
        <w:t>2025年度兴县人民代表大会常务委员会办公室一般公共预算安排基本支出458</w:t>
      </w:r>
      <w:r>
        <w:rPr>
          <w:rFonts w:ascii="FangSong" w:hAnsi="FangSong" w:eastAsia="FangSong" w:cs="FangSong"/>
          <w:sz w:val="23"/>
          <w:szCs w:val="23"/>
          <w:spacing w:val="3"/>
        </w:rPr>
        <w:t>.46万元，</w:t>
      </w:r>
      <w:r>
        <w:rPr>
          <w:rFonts w:ascii="FangSong" w:hAnsi="FangSong" w:eastAsia="FangSong" w:cs="FangSong"/>
          <w:sz w:val="23"/>
          <w:szCs w:val="23"/>
          <w:spacing w:val="-6"/>
        </w:rPr>
        <w:t>其中：</w:t>
      </w:r>
    </w:p>
    <w:p>
      <w:pPr>
        <w:ind w:left="1264" w:right="1223" w:firstLine="463"/>
        <w:spacing w:before="3" w:line="323" w:lineRule="auto"/>
        <w:jc w:val="both"/>
        <w:rPr>
          <w:rFonts w:ascii="FangSong" w:hAnsi="FangSong" w:eastAsia="FangSong" w:cs="FangSong"/>
          <w:sz w:val="23"/>
          <w:szCs w:val="23"/>
        </w:rPr>
      </w:pPr>
      <w:r>
        <w:rPr>
          <w:rFonts w:ascii="FangSong" w:hAnsi="FangSong" w:eastAsia="FangSong" w:cs="FangSong"/>
          <w:sz w:val="23"/>
          <w:szCs w:val="23"/>
          <w:spacing w:val="5"/>
        </w:rPr>
        <w:t>人员经费416.59万元，主要包括：其他工资福利支出、公务员医疗补助缴费、其他社会</w:t>
      </w:r>
      <w:r>
        <w:rPr>
          <w:rFonts w:ascii="FangSong" w:hAnsi="FangSong" w:eastAsia="FangSong" w:cs="FangSong"/>
          <w:sz w:val="23"/>
          <w:szCs w:val="23"/>
          <w:spacing w:val="5"/>
        </w:rPr>
        <w:t>保障缴费、绩效工资、基本工资、机关事业单位基本养老保险缴费、奖金、住房公积金、退</w:t>
      </w:r>
      <w:r>
        <w:rPr>
          <w:rFonts w:ascii="FangSong" w:hAnsi="FangSong" w:eastAsia="FangSong" w:cs="FangSong"/>
          <w:sz w:val="23"/>
          <w:szCs w:val="23"/>
          <w:spacing w:val="-1"/>
        </w:rPr>
        <w:t>休费、职工基本医疗保险缴费、津贴补贴等；</w:t>
      </w:r>
    </w:p>
    <w:p>
      <w:pPr>
        <w:ind w:left="1263" w:right="1223" w:firstLine="465"/>
        <w:spacing w:before="2" w:line="321" w:lineRule="auto"/>
        <w:rPr>
          <w:rFonts w:ascii="FangSong" w:hAnsi="FangSong" w:eastAsia="FangSong" w:cs="FangSong"/>
          <w:sz w:val="23"/>
          <w:szCs w:val="23"/>
        </w:rPr>
      </w:pPr>
      <w:r>
        <w:rPr>
          <w:rFonts w:ascii="FangSong" w:hAnsi="FangSong" w:eastAsia="FangSong" w:cs="FangSong"/>
          <w:sz w:val="23"/>
          <w:szCs w:val="23"/>
          <w:spacing w:val="2"/>
        </w:rPr>
        <w:t>公用经费41.87万元，主要包括：印刷费、办公费、公务用车运行维护费、其他工资福利</w:t>
      </w:r>
      <w:r>
        <w:rPr>
          <w:rFonts w:ascii="FangSong" w:hAnsi="FangSong" w:eastAsia="FangSong" w:cs="FangSong"/>
          <w:sz w:val="23"/>
          <w:szCs w:val="23"/>
        </w:rPr>
        <w:t>支出、福利费、其他交通费用、其他商品和服务支出、差旅费、工会经费等。</w:t>
      </w:r>
    </w:p>
    <w:p>
      <w:pPr>
        <w:ind w:left="1255"/>
        <w:spacing w:before="6" w:line="229"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720"/>
        <w:spacing w:before="174" w:line="222" w:lineRule="auto"/>
        <w:rPr>
          <w:rFonts w:ascii="FangSong" w:hAnsi="FangSong" w:eastAsia="FangSong" w:cs="FangSong"/>
          <w:sz w:val="23"/>
          <w:szCs w:val="23"/>
        </w:rPr>
      </w:pPr>
      <w:r>
        <w:rPr>
          <w:rFonts w:ascii="FangSong" w:hAnsi="FangSong" w:eastAsia="FangSong" w:cs="FangSong"/>
          <w:sz w:val="23"/>
          <w:szCs w:val="23"/>
          <w:spacing w:val="3"/>
        </w:rPr>
        <w:t>2025年兴县</w:t>
      </w:r>
      <w:r>
        <w:rPr>
          <w:rFonts w:ascii="FangSong" w:hAnsi="FangSong" w:eastAsia="FangSong" w:cs="FangSong"/>
          <w:sz w:val="23"/>
          <w:szCs w:val="23"/>
          <w:spacing w:val="3"/>
        </w:rPr>
        <w:t xml:space="preserve">      </w:t>
      </w:r>
      <w:r>
        <w:rPr>
          <w:rFonts w:ascii="FangSong" w:hAnsi="FangSong" w:eastAsia="FangSong" w:cs="FangSong"/>
          <w:sz w:val="23"/>
          <w:szCs w:val="23"/>
          <w:spacing w:val="3"/>
        </w:rPr>
        <w:t>表大会常务委员会办公室财政拨款安排的“</w:t>
      </w:r>
      <w:r>
        <w:rPr>
          <w:rFonts w:ascii="FangSong" w:hAnsi="FangSong" w:eastAsia="FangSong" w:cs="FangSong"/>
          <w:sz w:val="23"/>
          <w:szCs w:val="23"/>
          <w:spacing w:val="-72"/>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”经费预算2.00万元</w:t>
      </w:r>
    </w:p>
    <w:p>
      <w:pPr>
        <w:ind w:left="1272"/>
        <w:spacing w:before="124" w:line="222" w:lineRule="auto"/>
        <w:rPr>
          <w:rFonts w:ascii="FangSong" w:hAnsi="FangSong" w:eastAsia="FangSong" w:cs="FangSong"/>
          <w:sz w:val="23"/>
          <w:szCs w:val="23"/>
        </w:rPr>
      </w:pPr>
      <w:r>
        <w:rPr>
          <w:rFonts w:ascii="FangSong" w:hAnsi="FangSong" w:eastAsia="FangSong" w:cs="FangSong"/>
          <w:sz w:val="23"/>
          <w:szCs w:val="23"/>
          <w:spacing w:val="3"/>
        </w:rPr>
        <w:t>与2024</w:t>
      </w:r>
      <w:r>
        <w:rPr>
          <w:rFonts w:ascii="FangSong" w:hAnsi="FangSong" w:eastAsia="FangSong" w:cs="FangSong"/>
          <w:sz w:val="23"/>
          <w:szCs w:val="23"/>
          <w:spacing w:val="3"/>
        </w:rPr>
        <w:t xml:space="preserve">        </w:t>
      </w:r>
      <w:r>
        <w:rPr>
          <w:rFonts w:ascii="FangSong" w:hAnsi="FangSong" w:eastAsia="FangSong" w:cs="FangSong"/>
          <w:sz w:val="23"/>
          <w:szCs w:val="23"/>
          <w:spacing w:val="3"/>
        </w:rPr>
        <w:t>相同。其中：</w:t>
      </w:r>
      <w:r>
        <w:rPr>
          <w:rFonts w:ascii="FangSong" w:hAnsi="FangSong" w:eastAsia="FangSong" w:cs="FangSong"/>
          <w:sz w:val="23"/>
          <w:szCs w:val="23"/>
          <w:spacing w:val="-62"/>
        </w:rPr>
        <w:t xml:space="preserve"> </w:t>
      </w:r>
      <w:r>
        <w:rPr>
          <w:rFonts w:ascii="FangSong" w:hAnsi="FangSong" w:eastAsia="FangSong" w:cs="FangSong"/>
          <w:sz w:val="23"/>
          <w:szCs w:val="23"/>
          <w:spacing w:val="3"/>
        </w:rPr>
        <w:t>因公出国（境）费0万元，与上年预算数相同；公务接待</w:t>
      </w:r>
    </w:p>
    <w:p>
      <w:pPr>
        <w:ind w:left="1265" w:right="1223" w:firstLine="1"/>
        <w:spacing w:before="133" w:line="288" w:lineRule="auto"/>
        <w:rPr>
          <w:rFonts w:ascii="FangSong" w:hAnsi="FangSong" w:eastAsia="FangSong" w:cs="FangSong"/>
          <w:sz w:val="23"/>
          <w:szCs w:val="23"/>
        </w:rPr>
      </w:pPr>
      <w:r>
        <w:rPr>
          <w:rFonts w:ascii="FangSong" w:hAnsi="FangSong" w:eastAsia="FangSong" w:cs="FangSong"/>
          <w:sz w:val="23"/>
          <w:szCs w:val="23"/>
          <w:spacing w:val="5"/>
        </w:rPr>
        <w:t>元，与</w:t>
      </w:r>
      <w:r>
        <w:rPr>
          <w:rFonts w:ascii="FangSong" w:hAnsi="FangSong" w:eastAsia="FangSong" w:cs="FangSong"/>
          <w:sz w:val="23"/>
          <w:szCs w:val="23"/>
          <w:spacing w:val="5"/>
        </w:rPr>
        <w:t xml:space="preserve">  </w:t>
      </w:r>
      <w:r>
        <w:rPr>
          <w:rFonts w:ascii="FangSong" w:hAnsi="FangSong" w:eastAsia="FangSong" w:cs="FangSong"/>
          <w:sz w:val="23"/>
          <w:szCs w:val="23"/>
          <w:spacing w:val="5"/>
        </w:rPr>
        <w:t>年预算数相同</w:t>
      </w:r>
      <w:r>
        <w:rPr>
          <w:rFonts w:ascii="FangSong" w:hAnsi="FangSong" w:eastAsia="FangSong" w:cs="FangSong"/>
          <w:sz w:val="23"/>
          <w:szCs w:val="23"/>
          <w:spacing w:val="5"/>
        </w:rPr>
        <w:t xml:space="preserve">  </w:t>
      </w:r>
      <w:r>
        <w:rPr>
          <w:rFonts w:ascii="FangSong" w:hAnsi="FangSong" w:eastAsia="FangSong" w:cs="FangSong"/>
          <w:sz w:val="23"/>
          <w:szCs w:val="23"/>
          <w:spacing w:val="5"/>
        </w:rPr>
        <w:t>公务用车购置及运行费2.00万元，与上</w:t>
      </w:r>
      <w:r>
        <w:rPr>
          <w:rFonts w:ascii="FangSong" w:hAnsi="FangSong" w:eastAsia="FangSong" w:cs="FangSong"/>
          <w:sz w:val="23"/>
          <w:szCs w:val="23"/>
          <w:spacing w:val="4"/>
        </w:rPr>
        <w:t>年预算数相同。公务用车运</w:t>
      </w:r>
      <w:r>
        <w:rPr>
          <w:rFonts w:ascii="FangSong" w:hAnsi="FangSong" w:eastAsia="FangSong" w:cs="FangSong"/>
          <w:sz w:val="23"/>
          <w:szCs w:val="23"/>
        </w:rPr>
        <w:t>行维护费2.00万元，与上年预算数相同；公务用车购置费0万元，与上年预算数相同。</w:t>
      </w:r>
    </w:p>
    <w:p>
      <w:pPr>
        <w:ind w:firstLine="1288"/>
        <w:spacing w:line="3274" w:lineRule="exact"/>
        <w:rPr/>
      </w:pPr>
      <w:r>
        <w:rPr>
          <w:position w:val="-65"/>
        </w:rPr>
        <w:drawing>
          <wp:inline distT="0" distB="0" distL="0" distR="0">
            <wp:extent cx="5859706" cy="2078973"/>
            <wp:effectExtent l="0" t="0" r="0" b="0"/>
            <wp:docPr id="8" name="IM 8"/>
            <wp:cNvGraphicFramePr/>
            <a:graphic>
              <a:graphicData uri="http://schemas.openxmlformats.org/drawingml/2006/picture">
                <pic:pic>
                  <pic:nvPicPr>
                    <pic:cNvPr id="8" name="IM 8"/>
                    <pic:cNvPicPr/>
                  </pic:nvPicPr>
                  <pic:blipFill>
                    <a:blip r:embed="rId41"/>
                    <a:stretch>
                      <a:fillRect/>
                    </a:stretch>
                  </pic:blipFill>
                  <pic:spPr>
                    <a:xfrm rot="0">
                      <a:off x="0" y="0"/>
                      <a:ext cx="5859706" cy="2078973"/>
                    </a:xfrm>
                    <a:prstGeom prst="rect">
                      <a:avLst/>
                    </a:prstGeom>
                  </pic:spPr>
                </pic:pic>
              </a:graphicData>
            </a:graphic>
          </wp:inline>
        </w:drawing>
      </w:r>
    </w:p>
    <w:p>
      <w:pPr>
        <w:ind w:left="1253"/>
        <w:spacing w:before="178" w:line="230" w:lineRule="exact"/>
        <w:outlineLvl w:val="1"/>
        <w:rPr>
          <w:rFonts w:ascii="Microsoft YaHei" w:hAnsi="Microsoft YaHei" w:eastAsia="Microsoft YaHei" w:cs="Microsoft YaHei"/>
          <w:sz w:val="23"/>
          <w:szCs w:val="23"/>
        </w:rPr>
      </w:pPr>
      <w:bookmarkStart w:name="bookmark27" w:id="40"/>
      <w:bookmarkEnd w:id="40"/>
      <w:r>
        <w:rPr>
          <w:rFonts w:ascii="Microsoft YaHei" w:hAnsi="Microsoft YaHei" w:eastAsia="Microsoft YaHei" w:cs="Microsoft YaHei"/>
          <w:sz w:val="23"/>
          <w:szCs w:val="23"/>
          <w:spacing w:val="-1"/>
          <w:position w:val="-1"/>
        </w:rPr>
        <w:t>八、机关运行经费增减变动原因说明</w:t>
      </w:r>
    </w:p>
    <w:p>
      <w:pPr>
        <w:spacing w:line="230" w:lineRule="exact"/>
        <w:sectPr>
          <w:headerReference w:type="default" r:id="rId38"/>
          <w:footerReference w:type="default" r:id="rId39"/>
          <w:pgSz w:w="11900" w:h="16840"/>
          <w:pgMar w:top="642" w:right="0" w:bottom="340" w:left="0" w:header="326" w:footer="93" w:gutter="0"/>
        </w:sectPr>
        <w:rPr>
          <w:rFonts w:ascii="Microsoft YaHei" w:hAnsi="Microsoft YaHei" w:eastAsia="Microsoft YaHei" w:cs="Microsoft YaHei"/>
          <w:sz w:val="23"/>
          <w:szCs w:val="23"/>
        </w:rPr>
      </w:pPr>
    </w:p>
    <w:p>
      <w:pPr>
        <w:pStyle w:val="BodyText"/>
        <w:spacing w:line="282" w:lineRule="auto"/>
        <w:rPr/>
      </w:pPr>
      <w:r/>
    </w:p>
    <w:p>
      <w:pPr>
        <w:pStyle w:val="BodyText"/>
        <w:spacing w:line="282" w:lineRule="auto"/>
        <w:rPr/>
      </w:pPr>
      <w:r/>
    </w:p>
    <w:p>
      <w:pPr>
        <w:ind w:left="1726"/>
        <w:spacing w:before="75" w:line="221" w:lineRule="auto"/>
        <w:rPr>
          <w:rFonts w:ascii="FangSong" w:hAnsi="FangSong" w:eastAsia="FangSong" w:cs="FangSong"/>
          <w:sz w:val="23"/>
          <w:szCs w:val="23"/>
        </w:rPr>
      </w:pPr>
      <w:r>
        <w:rPr>
          <w:rFonts w:ascii="FangSong" w:hAnsi="FangSong" w:eastAsia="FangSong" w:cs="FangSong"/>
          <w:sz w:val="23"/>
          <w:szCs w:val="23"/>
          <w:spacing w:val="13"/>
        </w:rPr>
        <w:t>本</w:t>
      </w:r>
      <w:r>
        <w:rPr>
          <w:rFonts w:ascii="FangSong" w:hAnsi="FangSong" w:eastAsia="FangSong" w:cs="FangSong"/>
          <w:sz w:val="23"/>
          <w:szCs w:val="23"/>
          <w:spacing w:val="1"/>
        </w:rPr>
        <w:t xml:space="preserve">       </w:t>
      </w:r>
      <w:r>
        <w:rPr>
          <w:rFonts w:ascii="FangSong" w:hAnsi="FangSong" w:eastAsia="FangSong" w:cs="FangSong"/>
          <w:sz w:val="23"/>
          <w:szCs w:val="23"/>
          <w:spacing w:val="13"/>
        </w:rPr>
        <w:t>关运行经费财政拨款预算41.87万元</w:t>
      </w:r>
      <w:r>
        <w:rPr>
          <w:rFonts w:ascii="FangSong" w:hAnsi="FangSong" w:eastAsia="FangSong" w:cs="FangSong"/>
          <w:sz w:val="23"/>
          <w:szCs w:val="23"/>
          <w:spacing w:val="-56"/>
        </w:rPr>
        <w:t xml:space="preserve"> </w:t>
      </w:r>
      <w:r>
        <w:rPr>
          <w:rFonts w:ascii="FangSong" w:hAnsi="FangSong" w:eastAsia="FangSong" w:cs="FangSong"/>
          <w:sz w:val="23"/>
          <w:szCs w:val="23"/>
          <w:spacing w:val="13"/>
        </w:rPr>
        <w:t>，</w:t>
      </w:r>
      <w:r>
        <w:rPr>
          <w:rFonts w:ascii="FangSong" w:hAnsi="FangSong" w:eastAsia="FangSong" w:cs="FangSong"/>
          <w:sz w:val="23"/>
          <w:szCs w:val="23"/>
          <w:spacing w:val="-48"/>
        </w:rPr>
        <w:t xml:space="preserve"> </w:t>
      </w:r>
      <w:r>
        <w:rPr>
          <w:rFonts w:ascii="FangSong" w:hAnsi="FangSong" w:eastAsia="FangSong" w:cs="FangSong"/>
          <w:sz w:val="23"/>
          <w:szCs w:val="23"/>
          <w:spacing w:val="13"/>
        </w:rPr>
        <w:t>比2024年预算</w:t>
      </w:r>
      <w:r>
        <w:rPr>
          <w:rFonts w:ascii="FangSong" w:hAnsi="FangSong" w:eastAsia="FangSong" w:cs="FangSong"/>
          <w:sz w:val="23"/>
          <w:szCs w:val="23"/>
          <w:spacing w:val="12"/>
        </w:rPr>
        <w:t>减少2.99万</w:t>
      </w:r>
      <w:r>
        <w:rPr>
          <w:rFonts w:ascii="FangSong" w:hAnsi="FangSong" w:eastAsia="FangSong" w:cs="FangSong"/>
          <w:sz w:val="23"/>
          <w:szCs w:val="23"/>
          <w:spacing w:val="12"/>
        </w:rPr>
        <w:t xml:space="preserve">  </w:t>
      </w:r>
      <w:r>
        <w:rPr>
          <w:rFonts w:ascii="FangSong" w:hAnsi="FangSong" w:eastAsia="FangSong" w:cs="FangSong"/>
          <w:sz w:val="23"/>
          <w:szCs w:val="23"/>
          <w:spacing w:val="12"/>
        </w:rPr>
        <w:t>，</w:t>
      </w:r>
    </w:p>
    <w:p>
      <w:pPr>
        <w:ind w:left="1262" w:right="1223" w:hanging="4"/>
        <w:spacing w:before="125" w:line="324" w:lineRule="auto"/>
        <w:rPr>
          <w:rFonts w:ascii="FangSong" w:hAnsi="FangSong" w:eastAsia="FangSong" w:cs="FangSong"/>
          <w:sz w:val="23"/>
          <w:szCs w:val="23"/>
        </w:rPr>
      </w:pPr>
      <w:r>
        <w:rPr>
          <w:rFonts w:ascii="FangSong" w:hAnsi="FangSong" w:eastAsia="FangSong" w:cs="FangSong"/>
          <w:sz w:val="23"/>
          <w:szCs w:val="23"/>
          <w:spacing w:val="2"/>
        </w:rPr>
        <w:t>6.67%，</w:t>
      </w:r>
      <w:r>
        <w:rPr>
          <w:rFonts w:ascii="FangSong" w:hAnsi="FangSong" w:eastAsia="FangSong" w:cs="FangSong"/>
          <w:sz w:val="23"/>
          <w:szCs w:val="23"/>
          <w:spacing w:val="2"/>
        </w:rPr>
        <w:t xml:space="preserve">  </w:t>
      </w:r>
      <w:r>
        <w:rPr>
          <w:rFonts w:ascii="FangSong" w:hAnsi="FangSong" w:eastAsia="FangSong" w:cs="FangSong"/>
          <w:sz w:val="23"/>
          <w:szCs w:val="23"/>
          <w:spacing w:val="2"/>
        </w:rPr>
        <w:t>因是根据中央、省、市厉行节约的规定严把预算关，实行源头控制，严格执行中央</w:t>
      </w:r>
      <w:r>
        <w:rPr>
          <w:rFonts w:ascii="FangSong" w:hAnsi="FangSong" w:eastAsia="FangSong" w:cs="FangSong"/>
          <w:sz w:val="23"/>
          <w:szCs w:val="23"/>
        </w:rPr>
        <w:t>八项规定，在预算安排中对经费进行压缩，因此财政拨款数减少，机关运行经费减少。</w:t>
      </w:r>
    </w:p>
    <w:p>
      <w:pPr>
        <w:ind w:left="1258"/>
        <w:spacing w:line="225" w:lineRule="exact"/>
        <w:outlineLvl w:val="1"/>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9"/>
          <w:position w:val="-1"/>
        </w:rPr>
        <w:t>九、政府采购情况</w:t>
      </w:r>
    </w:p>
    <w:p>
      <w:pPr>
        <w:ind w:left="1265" w:right="1223" w:firstLine="454"/>
        <w:spacing w:before="178" w:line="323" w:lineRule="auto"/>
        <w:rPr>
          <w:rFonts w:ascii="FangSong" w:hAnsi="FangSong" w:eastAsia="FangSong" w:cs="FangSong"/>
          <w:sz w:val="23"/>
          <w:szCs w:val="23"/>
        </w:rPr>
      </w:pPr>
      <w:r>
        <w:rPr>
          <w:rFonts w:ascii="FangSong" w:hAnsi="FangSong" w:eastAsia="FangSong" w:cs="FangSong"/>
          <w:sz w:val="23"/>
          <w:szCs w:val="23"/>
          <w:spacing w:val="5"/>
        </w:rPr>
        <w:t>2025年兴县人民代表大会常务委员会办公室政府采购预算总额148.40万元。其中：政府</w:t>
      </w:r>
      <w:r>
        <w:rPr>
          <w:rFonts w:ascii="FangSong" w:hAnsi="FangSong" w:eastAsia="FangSong" w:cs="FangSong"/>
          <w:sz w:val="23"/>
          <w:szCs w:val="23"/>
        </w:rPr>
        <w:t>采购货物预算143.20万元、政府采购工程预算0万元、政府采购服务预算5.20万元。</w:t>
      </w:r>
    </w:p>
    <w:p>
      <w:pPr>
        <w:ind w:left="1260"/>
        <w:spacing w:line="229" w:lineRule="exact"/>
        <w:outlineLvl w:val="1"/>
        <w:rPr>
          <w:rFonts w:ascii="Microsoft YaHei" w:hAnsi="Microsoft YaHei" w:eastAsia="Microsoft YaHei" w:cs="Microsoft YaHei"/>
          <w:sz w:val="22"/>
          <w:szCs w:val="22"/>
        </w:rPr>
      </w:pPr>
      <w:bookmarkStart w:name="bookmark29" w:id="42"/>
      <w:bookmarkEnd w:id="42"/>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73"/>
        <w:spacing w:before="134" w:line="221" w:lineRule="auto"/>
        <w:rPr>
          <w:rFonts w:ascii="FangSong" w:hAnsi="FangSong" w:eastAsia="FangSong" w:cs="FangSong"/>
          <w:sz w:val="23"/>
          <w:szCs w:val="23"/>
        </w:rPr>
      </w:pPr>
      <w:r>
        <w:rPr>
          <w:rFonts w:ascii="FangSong" w:hAnsi="FangSong" w:eastAsia="FangSong" w:cs="FangSong"/>
          <w:sz w:val="23"/>
          <w:szCs w:val="23"/>
        </w:rPr>
        <w:t>1、2025年未编报单位整体支出绩效目标，</w:t>
      </w:r>
      <w:r>
        <w:rPr>
          <w:rFonts w:ascii="FangSong" w:hAnsi="FangSong" w:eastAsia="FangSong" w:cs="FangSong"/>
          <w:sz w:val="23"/>
          <w:szCs w:val="23"/>
          <w:spacing w:val="-1"/>
        </w:rPr>
        <w:t>涉及资金0.00万元。</w:t>
      </w:r>
    </w:p>
    <w:p>
      <w:pPr>
        <w:ind w:left="1259"/>
        <w:spacing w:before="124" w:line="221" w:lineRule="auto"/>
        <w:rPr>
          <w:rFonts w:ascii="FangSong" w:hAnsi="FangSong" w:eastAsia="FangSong" w:cs="FangSong"/>
          <w:sz w:val="23"/>
          <w:szCs w:val="23"/>
        </w:rPr>
      </w:pPr>
      <w:r>
        <w:rPr>
          <w:rFonts w:ascii="FangSong" w:hAnsi="FangSong" w:eastAsia="FangSong" w:cs="FangSong"/>
          <w:sz w:val="23"/>
          <w:szCs w:val="23"/>
          <w:spacing w:val="2"/>
        </w:rPr>
        <w:t>2、我单位无重点项目预算的绩效目标，但有其他基本运行预算绩效情况并且都及时做了绩效</w:t>
      </w:r>
    </w:p>
    <w:p>
      <w:pPr>
        <w:ind w:left="1742"/>
        <w:spacing w:before="279" w:line="111" w:lineRule="exact"/>
        <w:rPr>
          <w:rFonts w:ascii="FangSong" w:hAnsi="FangSong" w:eastAsia="FangSong" w:cs="FangSong"/>
          <w:sz w:val="23"/>
          <w:szCs w:val="23"/>
        </w:rPr>
      </w:pPr>
      <w:r>
        <w:rPr>
          <w:rFonts w:ascii="FangSong" w:hAnsi="FangSong" w:eastAsia="FangSong" w:cs="FangSong"/>
          <w:sz w:val="23"/>
          <w:szCs w:val="23"/>
          <w:position w:val="2"/>
        </w:rPr>
        <w:t>。</w:t>
      </w:r>
    </w:p>
    <w:p>
      <w:pPr>
        <w:ind w:left="1720"/>
        <w:spacing w:before="146"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720"/>
        <w:spacing w:before="122" w:line="223" w:lineRule="auto"/>
        <w:rPr>
          <w:rFonts w:ascii="FangSong" w:hAnsi="FangSong" w:eastAsia="FangSong" w:cs="FangSong"/>
          <w:sz w:val="23"/>
          <w:szCs w:val="23"/>
        </w:rPr>
      </w:pPr>
      <w:r>
        <w:rPr>
          <w:rFonts w:ascii="FangSong" w:hAnsi="FangSong" w:eastAsia="FangSong" w:cs="FangSong"/>
          <w:sz w:val="23"/>
          <w:szCs w:val="23"/>
          <w:spacing w:val="5"/>
        </w:rPr>
        <w:t>2025年兴县人民代表大会常务委员会办公室纳入绩效目标管理</w:t>
      </w:r>
      <w:r>
        <w:rPr>
          <w:rFonts w:ascii="FangSong" w:hAnsi="FangSong" w:eastAsia="FangSong" w:cs="FangSong"/>
          <w:sz w:val="23"/>
          <w:szCs w:val="23"/>
          <w:spacing w:val="5"/>
        </w:rPr>
        <w:t xml:space="preserve">     </w:t>
      </w:r>
      <w:r>
        <w:rPr>
          <w:rFonts w:ascii="FangSong" w:hAnsi="FangSong" w:eastAsia="FangSong" w:cs="FangSong"/>
          <w:sz w:val="23"/>
          <w:szCs w:val="23"/>
          <w:spacing w:val="4"/>
        </w:rPr>
        <w:t xml:space="preserve">   </w:t>
      </w:r>
      <w:r>
        <w:rPr>
          <w:rFonts w:ascii="FangSong" w:hAnsi="FangSong" w:eastAsia="FangSong" w:cs="FangSong"/>
          <w:sz w:val="23"/>
          <w:szCs w:val="23"/>
          <w:spacing w:val="4"/>
        </w:rPr>
        <w:t>目14个，共计金</w:t>
      </w:r>
    </w:p>
    <w:p>
      <w:pPr>
        <w:ind w:left="1264" w:right="1223" w:hanging="1"/>
        <w:spacing w:before="120" w:line="325" w:lineRule="auto"/>
        <w:jc w:val="both"/>
        <w:rPr>
          <w:rFonts w:ascii="FangSong" w:hAnsi="FangSong" w:eastAsia="FangSong" w:cs="FangSong"/>
          <w:sz w:val="23"/>
          <w:szCs w:val="23"/>
        </w:rPr>
      </w:pPr>
      <w:r>
        <w:rPr>
          <w:rFonts w:ascii="FangSong" w:hAnsi="FangSong" w:eastAsia="FangSong" w:cs="FangSong"/>
          <w:sz w:val="23"/>
          <w:szCs w:val="23"/>
          <w:spacing w:val="2"/>
        </w:rPr>
        <w:t>额585.20万元。其中：其他运转类项目14个，涉及金额585.20万元；特定目标类项目0个，涉</w:t>
      </w:r>
      <w:r>
        <w:rPr>
          <w:rFonts w:ascii="FangSong" w:hAnsi="FangSong" w:eastAsia="FangSong" w:cs="FangSong"/>
          <w:sz w:val="23"/>
          <w:szCs w:val="23"/>
          <w:spacing w:val="1"/>
        </w:rPr>
        <w:t>及金额0万元。公开项目绩效目标14个，涉及项目金额585.20万元，</w:t>
      </w:r>
      <w:r>
        <w:rPr>
          <w:rFonts w:ascii="FangSong" w:hAnsi="FangSong" w:eastAsia="FangSong" w:cs="FangSong"/>
          <w:sz w:val="23"/>
          <w:szCs w:val="23"/>
          <w:spacing w:val="-58"/>
        </w:rPr>
        <w:t xml:space="preserve"> </w:t>
      </w:r>
      <w:r>
        <w:rPr>
          <w:rFonts w:ascii="FangSong" w:hAnsi="FangSong" w:eastAsia="FangSong" w:cs="FangSong"/>
          <w:sz w:val="23"/>
          <w:szCs w:val="23"/>
          <w:spacing w:val="1"/>
        </w:rPr>
        <w:t>占部门（</w:t>
      </w:r>
      <w:r>
        <w:rPr>
          <w:rFonts w:ascii="FangSong" w:hAnsi="FangSong" w:eastAsia="FangSong" w:cs="FangSong"/>
          <w:sz w:val="23"/>
          <w:szCs w:val="23"/>
        </w:rPr>
        <w:t>单位）项目支出</w:t>
      </w:r>
      <w:r>
        <w:rPr>
          <w:rFonts w:ascii="FangSong" w:hAnsi="FangSong" w:eastAsia="FangSong" w:cs="FangSong"/>
          <w:sz w:val="23"/>
          <w:szCs w:val="23"/>
          <w:spacing w:val="4"/>
        </w:rPr>
        <w:t>总额的96.7%。其中：其他运转类项</w:t>
      </w:r>
      <w:r>
        <w:rPr>
          <w:rFonts w:ascii="FangSong" w:hAnsi="FangSong" w:eastAsia="FangSong" w:cs="FangSong"/>
          <w:sz w:val="23"/>
          <w:szCs w:val="23"/>
          <w:spacing w:val="-46"/>
        </w:rPr>
        <w:t xml:space="preserve"> </w:t>
      </w:r>
      <w:r>
        <w:rPr>
          <w:rFonts w:ascii="FangSong" w:hAnsi="FangSong" w:eastAsia="FangSong" w:cs="FangSong"/>
          <w:sz w:val="23"/>
          <w:szCs w:val="23"/>
          <w:spacing w:val="4"/>
        </w:rPr>
        <w:t>目14个，涉及项</w:t>
      </w:r>
      <w:r>
        <w:rPr>
          <w:rFonts w:ascii="FangSong" w:hAnsi="FangSong" w:eastAsia="FangSong" w:cs="FangSong"/>
          <w:sz w:val="23"/>
          <w:szCs w:val="23"/>
          <w:spacing w:val="-47"/>
        </w:rPr>
        <w:t xml:space="preserve"> </w:t>
      </w:r>
      <w:r>
        <w:rPr>
          <w:rFonts w:ascii="FangSong" w:hAnsi="FangSong" w:eastAsia="FangSong" w:cs="FangSong"/>
          <w:sz w:val="23"/>
          <w:szCs w:val="23"/>
          <w:spacing w:val="4"/>
        </w:rPr>
        <w:t>目金额</w:t>
      </w:r>
      <w:r>
        <w:rPr>
          <w:rFonts w:ascii="FangSong" w:hAnsi="FangSong" w:eastAsia="FangSong" w:cs="FangSong"/>
          <w:sz w:val="23"/>
          <w:szCs w:val="23"/>
          <w:spacing w:val="3"/>
        </w:rPr>
        <w:t>585.20万元；特定</w:t>
      </w:r>
      <w:r>
        <w:rPr>
          <w:rFonts w:ascii="FangSong" w:hAnsi="FangSong" w:eastAsia="FangSong" w:cs="FangSong"/>
          <w:sz w:val="23"/>
          <w:szCs w:val="23"/>
          <w:spacing w:val="-47"/>
        </w:rPr>
        <w:t xml:space="preserve"> </w:t>
      </w:r>
      <w:r>
        <w:rPr>
          <w:rFonts w:ascii="FangSong" w:hAnsi="FangSong" w:eastAsia="FangSong" w:cs="FangSong"/>
          <w:sz w:val="23"/>
          <w:szCs w:val="23"/>
          <w:spacing w:val="3"/>
        </w:rPr>
        <w:t>目标类项</w:t>
      </w:r>
      <w:r>
        <w:rPr>
          <w:rFonts w:ascii="FangSong" w:hAnsi="FangSong" w:eastAsia="FangSong" w:cs="FangSong"/>
          <w:sz w:val="23"/>
          <w:szCs w:val="23"/>
          <w:spacing w:val="-47"/>
        </w:rPr>
        <w:t xml:space="preserve"> </w:t>
      </w:r>
      <w:r>
        <w:rPr>
          <w:rFonts w:ascii="FangSong" w:hAnsi="FangSong" w:eastAsia="FangSong" w:cs="FangSong"/>
          <w:sz w:val="23"/>
          <w:szCs w:val="23"/>
          <w:spacing w:val="3"/>
        </w:rPr>
        <w:t>目0</w:t>
      </w:r>
      <w:r>
        <w:rPr>
          <w:rFonts w:ascii="FangSong" w:hAnsi="FangSong" w:eastAsia="FangSong" w:cs="FangSong"/>
          <w:sz w:val="23"/>
          <w:szCs w:val="23"/>
          <w:spacing w:val="-1"/>
        </w:rPr>
        <w:t>个，涉及项目金额0万元。</w:t>
      </w:r>
    </w:p>
    <w:p>
      <w:pPr>
        <w:ind w:left="1264"/>
        <w:spacing w:before="4"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headerReference w:type="default" r:id="rId42"/>
          <w:footerReference w:type="default" r:id="rId43"/>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ict>
          <v:shape id="_x0000_s438" style="position:absolute;margin-left:491.92pt;margin-top:44.1055pt;mso-position-vertical-relative:page;mso-position-horizontal-relative:page;width:119.4pt;height:18.85pt;z-index:2516623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37"/>
        <w:spacing w:line="13450" w:lineRule="exact"/>
        <w:rPr/>
      </w:pPr>
      <w:r>
        <w:pict>
          <v:shape id="_x0000_s440" style="position:absolute;margin-left:-13.08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442" style="position:absolute;margin-left:391.92pt;margin-top:228.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pict>
          <v:shape id="_x0000_s444" style="position:absolute;margin-left:86.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pict>
          <v:shape id="_x0000_s446" style="position:absolute;margin-left:491.92pt;margin-top:472.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0" name="IM 10"/>
            <wp:cNvGraphicFramePr/>
            <a:graphic>
              <a:graphicData uri="http://schemas.openxmlformats.org/drawingml/2006/picture">
                <pic:pic>
                  <pic:nvPicPr>
                    <pic:cNvPr id="10" name="IM 10"/>
                    <pic:cNvPicPr/>
                  </pic:nvPicPr>
                  <pic:blipFill>
                    <a:blip r:embed="rId46"/>
                    <a:stretch>
                      <a:fillRect/>
                    </a:stretch>
                  </pic:blipFill>
                  <pic:spPr>
                    <a:xfrm rot="0">
                      <a:off x="0" y="0"/>
                      <a:ext cx="6041461" cy="8540429"/>
                    </a:xfrm>
                    <a:prstGeom prst="rect">
                      <a:avLst/>
                    </a:prstGeom>
                  </pic:spPr>
                </pic:pic>
              </a:graphicData>
            </a:graphic>
          </wp:inline>
        </w:drawing>
      </w:r>
    </w:p>
    <w:p>
      <w:pPr>
        <w:spacing w:line="13450" w:lineRule="exact"/>
        <w:sectPr>
          <w:headerReference w:type="default" r:id="rId44"/>
          <w:footerReference w:type="default" r:id="rId45"/>
          <w:pgSz w:w="11900" w:h="16840"/>
          <w:pgMar w:top="642" w:right="0" w:bottom="340" w:left="0" w:header="326" w:footer="93" w:gutter="0"/>
        </w:sectPr>
        <w:rPr/>
      </w:pPr>
    </w:p>
    <w:p>
      <w:pPr>
        <w:pStyle w:val="BodyText"/>
        <w:spacing w:line="277" w:lineRule="auto"/>
        <w:rPr/>
      </w:pPr>
      <w:r>
        <w:pict>
          <v:shape id="_x0000_s448" style="position:absolute;margin-left:491.92pt;margin-top:44.1055pt;mso-position-vertical-relative:page;mso-position-horizontal-relative:page;width:119.4pt;height:18.85pt;z-index:2516664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83"/>
        <w:spacing w:line="13039" w:lineRule="exact"/>
        <w:rPr/>
      </w:pPr>
      <w:r>
        <w:pict>
          <v:shape id="_x0000_s450" style="position:absolute;margin-left:-13.08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452" style="position:absolute;margin-left:391.92pt;margin-top:228.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pict>
          <v:shape id="_x0000_s454" style="position:absolute;margin-left:86.92pt;margin-top:472.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456" style="position:absolute;margin-left:491.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rPr>
          <w:position w:val="-260"/>
        </w:rPr>
        <w:drawing>
          <wp:inline distT="0" distB="0" distL="0" distR="0">
            <wp:extent cx="5560891" cy="8279549"/>
            <wp:effectExtent l="0" t="0" r="0" b="0"/>
            <wp:docPr id="12" name="IM 12"/>
            <wp:cNvGraphicFramePr/>
            <a:graphic>
              <a:graphicData uri="http://schemas.openxmlformats.org/drawingml/2006/picture">
                <pic:pic>
                  <pic:nvPicPr>
                    <pic:cNvPr id="12" name="IM 12"/>
                    <pic:cNvPicPr/>
                  </pic:nvPicPr>
                  <pic:blipFill>
                    <a:blip r:embed="rId48"/>
                    <a:stretch>
                      <a:fillRect/>
                    </a:stretch>
                  </pic:blipFill>
                  <pic:spPr>
                    <a:xfrm rot="0">
                      <a:off x="0" y="0"/>
                      <a:ext cx="5560891" cy="8279549"/>
                    </a:xfrm>
                    <a:prstGeom prst="rect">
                      <a:avLst/>
                    </a:prstGeom>
                  </pic:spPr>
                </pic:pic>
              </a:graphicData>
            </a:graphic>
          </wp:inline>
        </w:drawing>
      </w:r>
    </w:p>
    <w:p>
      <w:pPr>
        <w:spacing w:line="13039" w:lineRule="exact"/>
        <w:sectPr>
          <w:footerReference w:type="default" r:id="rId47"/>
          <w:pgSz w:w="11900" w:h="16840"/>
          <w:pgMar w:top="642" w:right="0" w:bottom="340" w:left="0" w:header="326" w:footer="91" w:gutter="0"/>
        </w:sectPr>
        <w:rPr/>
      </w:pPr>
    </w:p>
    <w:p>
      <w:pPr>
        <w:pStyle w:val="BodyText"/>
        <w:spacing w:line="277" w:lineRule="auto"/>
        <w:rPr/>
      </w:pPr>
      <w:r>
        <w:pict>
          <v:shape id="_x0000_s458" style="position:absolute;margin-left:491.92pt;margin-top:44.1055pt;mso-position-vertical-relative:page;mso-position-horizontal-relative:page;width:119.4pt;height:18.85pt;z-index:2516736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35"/>
        <w:spacing w:line="10466" w:lineRule="exact"/>
        <w:rPr/>
      </w:pPr>
      <w:r>
        <w:pict>
          <v:shape id="_x0000_s460" style="position:absolute;margin-left:-13.08pt;margin-top:228.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462" style="position:absolute;margin-left:391.92pt;margin-top:228.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464" style="position:absolute;margin-left:86.92pt;margin-top:472.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pict>
          <v:shape id="_x0000_s466" style="position:absolute;margin-left:491.92pt;margin-top:472.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rPr>
          <w:position w:val="-209"/>
        </w:rPr>
        <w:drawing>
          <wp:inline distT="0" distB="0" distL="0" distR="0">
            <wp:extent cx="5876694" cy="6645608"/>
            <wp:effectExtent l="0" t="0" r="0" b="0"/>
            <wp:docPr id="14" name="IM 14"/>
            <wp:cNvGraphicFramePr/>
            <a:graphic>
              <a:graphicData uri="http://schemas.openxmlformats.org/drawingml/2006/picture">
                <pic:pic>
                  <pic:nvPicPr>
                    <pic:cNvPr id="14" name="IM 14"/>
                    <pic:cNvPicPr/>
                  </pic:nvPicPr>
                  <pic:blipFill>
                    <a:blip r:embed="rId50"/>
                    <a:stretch>
                      <a:fillRect/>
                    </a:stretch>
                  </pic:blipFill>
                  <pic:spPr>
                    <a:xfrm rot="0">
                      <a:off x="0" y="0"/>
                      <a:ext cx="5876694" cy="6645608"/>
                    </a:xfrm>
                    <a:prstGeom prst="rect">
                      <a:avLst/>
                    </a:prstGeom>
                  </pic:spPr>
                </pic:pic>
              </a:graphicData>
            </a:graphic>
          </wp:inline>
        </w:drawing>
      </w:r>
    </w:p>
    <w:p>
      <w:pPr>
        <w:spacing w:line="10466" w:lineRule="exact"/>
        <w:sectPr>
          <w:footerReference w:type="default" r:id="rId49"/>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135"/>
        <w:spacing w:line="12001" w:lineRule="exact"/>
        <w:rPr/>
      </w:pPr>
      <w:r>
        <w:pict>
          <v:shape id="_x0000_s482" style="position:absolute;margin-left:391.92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484" style="position:absolute;margin-left:86.92pt;margin-top:472.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rPr>
          <w:position w:val="-240"/>
        </w:rPr>
        <w:drawing>
          <wp:inline distT="0" distB="0" distL="0" distR="0">
            <wp:extent cx="4860630" cy="7620480"/>
            <wp:effectExtent l="0" t="0" r="0" b="0"/>
            <wp:docPr id="16" name="IM 16"/>
            <wp:cNvGraphicFramePr/>
            <a:graphic>
              <a:graphicData uri="http://schemas.openxmlformats.org/drawingml/2006/picture">
                <pic:pic>
                  <pic:nvPicPr>
                    <pic:cNvPr id="16" name="IM 16"/>
                    <pic:cNvPicPr/>
                  </pic:nvPicPr>
                  <pic:blipFill>
                    <a:blip r:embed="rId53"/>
                    <a:stretch>
                      <a:fillRect/>
                    </a:stretch>
                  </pic:blipFill>
                  <pic:spPr>
                    <a:xfrm rot="0">
                      <a:off x="0" y="0"/>
                      <a:ext cx="4860630" cy="7620480"/>
                    </a:xfrm>
                    <a:prstGeom prst="rect">
                      <a:avLst/>
                    </a:prstGeom>
                  </pic:spPr>
                </pic:pic>
              </a:graphicData>
            </a:graphic>
          </wp:inline>
        </w:drawing>
      </w:r>
    </w:p>
    <w:p>
      <w:pPr>
        <w:spacing w:line="12001" w:lineRule="exact"/>
        <w:sectPr>
          <w:headerReference w:type="default" r:id="rId51"/>
          <w:footerReference w:type="default" r:id="rId52"/>
          <w:pgSz w:w="11900" w:h="16840"/>
          <w:pgMar w:top="642" w:right="0" w:bottom="340" w:left="0" w:header="326" w:footer="93" w:gutter="0"/>
        </w:sectPr>
        <w:rPr/>
      </w:pPr>
    </w:p>
    <w:p>
      <w:pPr>
        <w:pStyle w:val="BodyText"/>
        <w:spacing w:line="277" w:lineRule="auto"/>
        <w:rPr/>
      </w:pPr>
      <w:r>
        <w:pict>
          <v:shape id="_x0000_s486" style="position:absolute;margin-left:491.92pt;margin-top:44.1055pt;mso-position-vertical-relative:page;mso-position-horizontal-relative:page;width:119.4pt;height:18.85pt;z-index:2516817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64"/>
        <w:spacing w:line="11450" w:lineRule="exact"/>
        <w:rPr/>
      </w:pPr>
      <w:r>
        <w:pict>
          <v:shape id="_x0000_s488" style="position:absolute;margin-left:-13.08pt;margin-top:228.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pict>
          <v:shape id="_x0000_s490" style="position:absolute;margin-left:391.92pt;margin-top:228.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492" style="position:absolute;margin-left:86.92pt;margin-top:472.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pict>
          <v:shape id="_x0000_s494" style="position:absolute;margin-left:491.92pt;margin-top:472.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rPr>
          <w:position w:val="-228"/>
        </w:rPr>
        <w:drawing>
          <wp:inline distT="0" distB="0" distL="0" distR="0">
            <wp:extent cx="5711927" cy="7270350"/>
            <wp:effectExtent l="0" t="0" r="0" b="0"/>
            <wp:docPr id="18" name="IM 18"/>
            <wp:cNvGraphicFramePr/>
            <a:graphic>
              <a:graphicData uri="http://schemas.openxmlformats.org/drawingml/2006/picture">
                <pic:pic>
                  <pic:nvPicPr>
                    <pic:cNvPr id="18" name="IM 18"/>
                    <pic:cNvPicPr/>
                  </pic:nvPicPr>
                  <pic:blipFill>
                    <a:blip r:embed="rId55"/>
                    <a:stretch>
                      <a:fillRect/>
                    </a:stretch>
                  </pic:blipFill>
                  <pic:spPr>
                    <a:xfrm rot="0">
                      <a:off x="0" y="0"/>
                      <a:ext cx="5711927" cy="7270350"/>
                    </a:xfrm>
                    <a:prstGeom prst="rect">
                      <a:avLst/>
                    </a:prstGeom>
                  </pic:spPr>
                </pic:pic>
              </a:graphicData>
            </a:graphic>
          </wp:inline>
        </w:drawing>
      </w:r>
    </w:p>
    <w:p>
      <w:pPr>
        <w:spacing w:line="11450" w:lineRule="exact"/>
        <w:sectPr>
          <w:headerReference w:type="default" r:id="rId44"/>
          <w:footerReference w:type="default" r:id="rId54"/>
          <w:pgSz w:w="11900" w:h="16840"/>
          <w:pgMar w:top="642" w:right="0" w:bottom="340" w:left="0" w:header="326" w:footer="93" w:gutter="0"/>
        </w:sectPr>
        <w:rPr/>
      </w:pPr>
    </w:p>
    <w:p>
      <w:pPr>
        <w:pStyle w:val="BodyText"/>
        <w:spacing w:line="277" w:lineRule="auto"/>
        <w:rPr/>
      </w:pPr>
      <w:r>
        <w:pict>
          <v:shape id="_x0000_s496" style="position:absolute;margin-left:491.92pt;margin-top:44.1055pt;mso-position-vertical-relative:page;mso-position-horizontal-relative:page;width:119.4pt;height:18.85pt;z-index:251686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951"/>
        <w:spacing w:line="10531" w:lineRule="exact"/>
        <w:rPr/>
      </w:pPr>
      <w:r>
        <w:pict>
          <v:shape id="_x0000_s498" style="position:absolute;margin-left:-13.08pt;margin-top:228.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500" style="position:absolute;margin-left:391.92pt;margin-top:228.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502"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pict>
          <v:shape id="_x0000_s504" style="position:absolute;margin-left:491.92pt;margin-top:472.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rPr>
          <w:position w:val="-210"/>
        </w:rPr>
        <w:drawing>
          <wp:inline distT="0" distB="0" distL="0" distR="0">
            <wp:extent cx="5094050" cy="6686799"/>
            <wp:effectExtent l="0" t="0" r="0" b="0"/>
            <wp:docPr id="20" name="IM 20"/>
            <wp:cNvGraphicFramePr/>
            <a:graphic>
              <a:graphicData uri="http://schemas.openxmlformats.org/drawingml/2006/picture">
                <pic:pic>
                  <pic:nvPicPr>
                    <pic:cNvPr id="20" name="IM 20"/>
                    <pic:cNvPicPr/>
                  </pic:nvPicPr>
                  <pic:blipFill>
                    <a:blip r:embed="rId57"/>
                    <a:stretch>
                      <a:fillRect/>
                    </a:stretch>
                  </pic:blipFill>
                  <pic:spPr>
                    <a:xfrm rot="0">
                      <a:off x="0" y="0"/>
                      <a:ext cx="5094050" cy="6686799"/>
                    </a:xfrm>
                    <a:prstGeom prst="rect">
                      <a:avLst/>
                    </a:prstGeom>
                  </pic:spPr>
                </pic:pic>
              </a:graphicData>
            </a:graphic>
          </wp:inline>
        </w:drawing>
      </w:r>
    </w:p>
    <w:p>
      <w:pPr>
        <w:spacing w:line="10531" w:lineRule="exact"/>
        <w:sectPr>
          <w:footerReference w:type="default" r:id="rId56"/>
          <w:pgSz w:w="11900" w:h="16840"/>
          <w:pgMar w:top="642" w:right="0" w:bottom="340" w:left="0" w:header="326" w:footer="93" w:gutter="0"/>
        </w:sectPr>
        <w:rPr/>
      </w:pPr>
    </w:p>
    <w:p>
      <w:pPr>
        <w:pStyle w:val="BodyText"/>
        <w:spacing w:line="277" w:lineRule="auto"/>
        <w:rPr/>
      </w:pPr>
      <w:r>
        <w:pict>
          <v:shape id="_x0000_s506" style="position:absolute;margin-left:491.92pt;margin-top:44.1055pt;mso-position-vertical-relative:page;mso-position-horizontal-relative:page;width:119.4pt;height:18.85pt;z-index:251694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940"/>
        <w:spacing w:line="10282" w:lineRule="exact"/>
        <w:rPr/>
      </w:pPr>
      <w:r>
        <w:pict>
          <v:shape id="_x0000_s508" style="position:absolute;margin-left:-13.08pt;margin-top:228.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pict>
          <v:shape id="_x0000_s510" style="position:absolute;margin-left:391.92pt;margin-top:228.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pict>
          <v:shape id="_x0000_s512" style="position:absolute;margin-left:86.92pt;margin-top:472.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514" style="position:absolute;margin-left:491.92pt;margin-top:472.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rPr>
          <w:position w:val="-205"/>
        </w:rPr>
        <w:drawing>
          <wp:inline distT="0" distB="0" distL="0" distR="0">
            <wp:extent cx="5142107" cy="6528898"/>
            <wp:effectExtent l="0" t="0" r="0" b="0"/>
            <wp:docPr id="22" name="IM 22"/>
            <wp:cNvGraphicFramePr/>
            <a:graphic>
              <a:graphicData uri="http://schemas.openxmlformats.org/drawingml/2006/picture">
                <pic:pic>
                  <pic:nvPicPr>
                    <pic:cNvPr id="22" name="IM 22"/>
                    <pic:cNvPicPr/>
                  </pic:nvPicPr>
                  <pic:blipFill>
                    <a:blip r:embed="rId59"/>
                    <a:stretch>
                      <a:fillRect/>
                    </a:stretch>
                  </pic:blipFill>
                  <pic:spPr>
                    <a:xfrm rot="0">
                      <a:off x="0" y="0"/>
                      <a:ext cx="5142107" cy="6528898"/>
                    </a:xfrm>
                    <a:prstGeom prst="rect">
                      <a:avLst/>
                    </a:prstGeom>
                  </pic:spPr>
                </pic:pic>
              </a:graphicData>
            </a:graphic>
          </wp:inline>
        </w:drawing>
      </w:r>
    </w:p>
    <w:p>
      <w:pPr>
        <w:spacing w:line="10282" w:lineRule="exact"/>
        <w:sectPr>
          <w:footerReference w:type="default" r:id="rId58"/>
          <w:pgSz w:w="11900" w:h="16840"/>
          <w:pgMar w:top="642" w:right="0" w:bottom="340" w:left="0" w:header="326" w:footer="93" w:gutter="0"/>
        </w:sectPr>
        <w:rPr/>
      </w:pPr>
    </w:p>
    <w:p>
      <w:pPr>
        <w:pStyle w:val="BodyText"/>
        <w:spacing w:line="277" w:lineRule="auto"/>
        <w:rPr/>
      </w:pPr>
      <w:r>
        <w:pict>
          <v:shape id="_x0000_s516" style="position:absolute;margin-left:491.92pt;margin-top:44.1055pt;mso-position-vertical-relative:page;mso-position-horizontal-relative:page;width:119.4pt;height:18.85pt;z-index:251700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24"/>
        <w:spacing w:line="10217" w:lineRule="exact"/>
        <w:rPr/>
      </w:pPr>
      <w:r>
        <w:pict>
          <v:shape id="_x0000_s518" style="position:absolute;margin-left:-13.08pt;margin-top:228.067pt;mso-position-vertical-relative:text;mso-position-horizontal-relative:text;width:119.4pt;height:18.85pt;z-index:251697152;rotation:330;" fillcolor="#404040" filled="true" stroked="false" type="#_x0000_t136">
            <v:fill opacity="0.400000"/>
            <v:textpath style="font-family:&quot;STSong&quot;;font-size:20;v-text-kern:t;mso-text-shadow:auto" string="仅供内部审核"/>
          </v:shape>
        </w:pict>
      </w:r>
      <w:r>
        <w:pict>
          <v:shape id="_x0000_s520" style="position:absolute;margin-left:391.92pt;margin-top:228.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522" style="position:absolute;margin-left:86.92pt;margin-top:472.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524" style="position:absolute;margin-left:491.92pt;margin-top:472.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rPr>
          <w:position w:val="-204"/>
        </w:rPr>
        <w:drawing>
          <wp:inline distT="0" distB="0" distL="0" distR="0">
            <wp:extent cx="5890425" cy="6487705"/>
            <wp:effectExtent l="0" t="0" r="0" b="0"/>
            <wp:docPr id="24" name="IM 24"/>
            <wp:cNvGraphicFramePr/>
            <a:graphic>
              <a:graphicData uri="http://schemas.openxmlformats.org/drawingml/2006/picture">
                <pic:pic>
                  <pic:nvPicPr>
                    <pic:cNvPr id="24" name="IM 24"/>
                    <pic:cNvPicPr/>
                  </pic:nvPicPr>
                  <pic:blipFill>
                    <a:blip r:embed="rId61"/>
                    <a:stretch>
                      <a:fillRect/>
                    </a:stretch>
                  </pic:blipFill>
                  <pic:spPr>
                    <a:xfrm rot="0">
                      <a:off x="0" y="0"/>
                      <a:ext cx="5890425" cy="6487705"/>
                    </a:xfrm>
                    <a:prstGeom prst="rect">
                      <a:avLst/>
                    </a:prstGeom>
                  </pic:spPr>
                </pic:pic>
              </a:graphicData>
            </a:graphic>
          </wp:inline>
        </w:drawing>
      </w:r>
    </w:p>
    <w:p>
      <w:pPr>
        <w:spacing w:line="10217" w:lineRule="exact"/>
        <w:sectPr>
          <w:footerReference w:type="default" r:id="rId60"/>
          <w:pgSz w:w="11900" w:h="16840"/>
          <w:pgMar w:top="642" w:right="0" w:bottom="340" w:left="0" w:header="326" w:footer="91" w:gutter="0"/>
        </w:sectPr>
        <w:rPr/>
      </w:pPr>
    </w:p>
    <w:p>
      <w:pPr>
        <w:pStyle w:val="BodyText"/>
        <w:spacing w:line="277" w:lineRule="auto"/>
        <w:rPr/>
      </w:pPr>
      <w:r>
        <w:pict>
          <v:shape id="_x0000_s526" style="position:absolute;margin-left:491.92pt;margin-top:44.1055pt;mso-position-vertical-relative:page;mso-position-horizontal-relative:page;width:119.4pt;height:18.85pt;z-index:2517063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83"/>
        <w:spacing w:line="12304" w:lineRule="exact"/>
        <w:rPr/>
      </w:pPr>
      <w:r>
        <w:pict>
          <v:shape id="_x0000_s528" style="position:absolute;margin-left:-13.08pt;margin-top:228.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pict>
          <v:shape id="_x0000_s530" style="position:absolute;margin-left:391.92pt;margin-top:228.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532"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534" style="position:absolute;margin-left:491.92pt;margin-top:472.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rPr>
          <w:position w:val="-246"/>
        </w:rPr>
        <w:drawing>
          <wp:inline distT="0" distB="0" distL="0" distR="0">
            <wp:extent cx="5560891" cy="7812707"/>
            <wp:effectExtent l="0" t="0" r="0" b="0"/>
            <wp:docPr id="26" name="IM 26"/>
            <wp:cNvGraphicFramePr/>
            <a:graphic>
              <a:graphicData uri="http://schemas.openxmlformats.org/drawingml/2006/picture">
                <pic:pic>
                  <pic:nvPicPr>
                    <pic:cNvPr id="26" name="IM 26"/>
                    <pic:cNvPicPr/>
                  </pic:nvPicPr>
                  <pic:blipFill>
                    <a:blip r:embed="rId63"/>
                    <a:stretch>
                      <a:fillRect/>
                    </a:stretch>
                  </pic:blipFill>
                  <pic:spPr>
                    <a:xfrm rot="0">
                      <a:off x="0" y="0"/>
                      <a:ext cx="5560891" cy="7812707"/>
                    </a:xfrm>
                    <a:prstGeom prst="rect">
                      <a:avLst/>
                    </a:prstGeom>
                  </pic:spPr>
                </pic:pic>
              </a:graphicData>
            </a:graphic>
          </wp:inline>
        </w:drawing>
      </w:r>
    </w:p>
    <w:p>
      <w:pPr>
        <w:spacing w:line="12304" w:lineRule="exact"/>
        <w:sectPr>
          <w:footerReference w:type="default" r:id="rId62"/>
          <w:pgSz w:w="11900" w:h="16840"/>
          <w:pgMar w:top="642" w:right="0" w:bottom="340" w:left="0" w:header="326" w:footer="93" w:gutter="0"/>
        </w:sectPr>
        <w:rPr/>
      </w:pPr>
    </w:p>
    <w:p>
      <w:pPr>
        <w:pStyle w:val="BodyText"/>
        <w:spacing w:line="277" w:lineRule="auto"/>
        <w:rPr/>
      </w:pPr>
      <w:r>
        <w:pict>
          <v:shape id="_x0000_s536" style="position:absolute;margin-left:491.92pt;margin-top:44.1055pt;mso-position-vertical-relative:page;mso-position-horizontal-relative:page;width:119.4pt;height:18.85pt;z-index:251709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32"/>
        <w:spacing w:line="10282" w:lineRule="exact"/>
        <w:rPr/>
      </w:pPr>
      <w:r>
        <w:pict>
          <v:shape id="_x0000_s538" style="position:absolute;margin-left:-13.08pt;margin-top:228.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pict>
          <v:shape id="_x0000_s540" style="position:absolute;margin-left:391.92pt;margin-top:228.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pict>
          <v:shape id="_x0000_s542" style="position:absolute;margin-left:86.92pt;margin-top:472.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pict>
          <v:shape id="_x0000_s544" style="position:absolute;margin-left:491.92pt;margin-top:472.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rPr>
          <w:position w:val="-205"/>
        </w:rPr>
        <w:drawing>
          <wp:inline distT="0" distB="0" distL="0" distR="0">
            <wp:extent cx="5753118" cy="6528898"/>
            <wp:effectExtent l="0" t="0" r="0" b="0"/>
            <wp:docPr id="28" name="IM 28"/>
            <wp:cNvGraphicFramePr/>
            <a:graphic>
              <a:graphicData uri="http://schemas.openxmlformats.org/drawingml/2006/picture">
                <pic:pic>
                  <pic:nvPicPr>
                    <pic:cNvPr id="28" name="IM 28"/>
                    <pic:cNvPicPr/>
                  </pic:nvPicPr>
                  <pic:blipFill>
                    <a:blip r:embed="rId65"/>
                    <a:stretch>
                      <a:fillRect/>
                    </a:stretch>
                  </pic:blipFill>
                  <pic:spPr>
                    <a:xfrm rot="0">
                      <a:off x="0" y="0"/>
                      <a:ext cx="5753118" cy="6528898"/>
                    </a:xfrm>
                    <a:prstGeom prst="rect">
                      <a:avLst/>
                    </a:prstGeom>
                  </pic:spPr>
                </pic:pic>
              </a:graphicData>
            </a:graphic>
          </wp:inline>
        </w:drawing>
      </w:r>
    </w:p>
    <w:p>
      <w:pPr>
        <w:spacing w:line="10282" w:lineRule="exact"/>
        <w:sectPr>
          <w:footerReference w:type="default" r:id="rId64"/>
          <w:pgSz w:w="11900" w:h="16840"/>
          <w:pgMar w:top="642" w:right="0" w:bottom="340" w:left="0" w:header="326" w:footer="93" w:gutter="0"/>
        </w:sectPr>
        <w:rPr/>
      </w:pPr>
    </w:p>
    <w:p>
      <w:pPr>
        <w:pStyle w:val="BodyText"/>
        <w:spacing w:line="277" w:lineRule="auto"/>
        <w:rPr/>
      </w:pPr>
      <w:r>
        <w:pict>
          <v:shape id="_x0000_s546" style="position:absolute;margin-left:491.92pt;margin-top:44.1055pt;mso-position-vertical-relative:page;mso-position-horizontal-relative:page;width:119.4pt;height:18.85pt;z-index:251713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81"/>
        <w:spacing w:line="12001" w:lineRule="exact"/>
        <w:rPr/>
      </w:pPr>
      <w:r>
        <w:pict>
          <v:shape id="_x0000_s548" style="position:absolute;margin-left:-13.08pt;margin-top:228.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pict>
          <v:shape id="_x0000_s550" style="position:absolute;margin-left:391.92pt;margin-top:228.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pict>
          <v:shape id="_x0000_s552" style="position:absolute;margin-left:86.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554" style="position:absolute;margin-left:491.92pt;margin-top:472.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rPr>
          <w:position w:val="-240"/>
        </w:rPr>
        <w:drawing>
          <wp:inline distT="0" distB="0" distL="0" distR="0">
            <wp:extent cx="5945347" cy="7620480"/>
            <wp:effectExtent l="0" t="0" r="0" b="0"/>
            <wp:docPr id="30" name="IM 30"/>
            <wp:cNvGraphicFramePr/>
            <a:graphic>
              <a:graphicData uri="http://schemas.openxmlformats.org/drawingml/2006/picture">
                <pic:pic>
                  <pic:nvPicPr>
                    <pic:cNvPr id="30" name="IM 30"/>
                    <pic:cNvPicPr/>
                  </pic:nvPicPr>
                  <pic:blipFill>
                    <a:blip r:embed="rId67"/>
                    <a:stretch>
                      <a:fillRect/>
                    </a:stretch>
                  </pic:blipFill>
                  <pic:spPr>
                    <a:xfrm rot="0">
                      <a:off x="0" y="0"/>
                      <a:ext cx="5945347" cy="7620480"/>
                    </a:xfrm>
                    <a:prstGeom prst="rect">
                      <a:avLst/>
                    </a:prstGeom>
                  </pic:spPr>
                </pic:pic>
              </a:graphicData>
            </a:graphic>
          </wp:inline>
        </w:drawing>
      </w:r>
    </w:p>
    <w:p>
      <w:pPr>
        <w:spacing w:line="12001" w:lineRule="exact"/>
        <w:sectPr>
          <w:footerReference w:type="default" r:id="rId6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135"/>
        <w:spacing w:line="10466" w:lineRule="exact"/>
        <w:rPr/>
      </w:pPr>
      <w:r>
        <w:pict>
          <v:shape id="_x0000_s556" style="position:absolute;margin-left:391.92pt;margin-top:228.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558" style="position:absolute;margin-left:86.92pt;margin-top:472.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rPr>
          <w:position w:val="-209"/>
        </w:rPr>
        <w:drawing>
          <wp:inline distT="0" distB="0" distL="0" distR="0">
            <wp:extent cx="4860630" cy="6645608"/>
            <wp:effectExtent l="0" t="0" r="0" b="0"/>
            <wp:docPr id="32" name="IM 32"/>
            <wp:cNvGraphicFramePr/>
            <a:graphic>
              <a:graphicData uri="http://schemas.openxmlformats.org/drawingml/2006/picture">
                <pic:pic>
                  <pic:nvPicPr>
                    <pic:cNvPr id="32" name="IM 32"/>
                    <pic:cNvPicPr/>
                  </pic:nvPicPr>
                  <pic:blipFill>
                    <a:blip r:embed="rId69"/>
                    <a:stretch>
                      <a:fillRect/>
                    </a:stretch>
                  </pic:blipFill>
                  <pic:spPr>
                    <a:xfrm rot="0">
                      <a:off x="0" y="0"/>
                      <a:ext cx="4860630" cy="6645608"/>
                    </a:xfrm>
                    <a:prstGeom prst="rect">
                      <a:avLst/>
                    </a:prstGeom>
                  </pic:spPr>
                </pic:pic>
              </a:graphicData>
            </a:graphic>
          </wp:inline>
        </w:drawing>
      </w:r>
    </w:p>
    <w:p>
      <w:pPr>
        <w:spacing w:line="10466" w:lineRule="exact"/>
        <w:sectPr>
          <w:headerReference w:type="default" r:id="rId51"/>
          <w:footerReference w:type="default" r:id="rId68"/>
          <w:pgSz w:w="11900" w:h="16840"/>
          <w:pgMar w:top="642" w:right="0" w:bottom="340" w:left="0" w:header="326" w:footer="93" w:gutter="0"/>
        </w:sectPr>
        <w:rPr/>
      </w:pPr>
    </w:p>
    <w:p>
      <w:pPr>
        <w:pStyle w:val="BodyText"/>
        <w:spacing w:line="277" w:lineRule="auto"/>
        <w:rPr/>
      </w:pPr>
      <w:r>
        <w:pict>
          <v:shape id="_x0000_s560" style="position:absolute;margin-left:491.92pt;margin-top:44.1055pt;mso-position-vertical-relative:page;mso-position-horizontal-relative:page;width:119.4pt;height:18.85pt;z-index:2517248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973"/>
        <w:spacing w:line="12055" w:lineRule="exact"/>
        <w:rPr/>
      </w:pPr>
      <w:r>
        <w:pict>
          <v:shape id="_x0000_s562" style="position:absolute;margin-left:-13.08pt;margin-top:228.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564" style="position:absolute;margin-left:391.92pt;margin-top:228.067pt;mso-position-vertical-relative:text;mso-position-horizontal-relative:text;width:119.4pt;height:18.85pt;z-index:251725824;rotation:330;" fillcolor="#404040" filled="true" stroked="false" type="#_x0000_t136">
            <v:fill opacity="0.400000"/>
            <v:textpath style="font-family:&quot;STSong&quot;;font-size:20;v-text-kern:t;mso-text-shadow:auto" string="仅供内部审核"/>
          </v:shape>
        </w:pict>
      </w:r>
      <w:r>
        <w:pict>
          <v:shape id="_x0000_s566" style="position:absolute;margin-left:86.92pt;margin-top:472.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pict>
          <v:shape id="_x0000_s568" style="position:absolute;margin-left:491.92pt;margin-top:472.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rPr>
          <w:position w:val="-241"/>
        </w:rPr>
        <w:drawing>
          <wp:inline distT="0" distB="0" distL="0" distR="0">
            <wp:extent cx="5135242" cy="7654806"/>
            <wp:effectExtent l="0" t="0" r="0" b="0"/>
            <wp:docPr id="34" name="IM 34"/>
            <wp:cNvGraphicFramePr/>
            <a:graphic>
              <a:graphicData uri="http://schemas.openxmlformats.org/drawingml/2006/picture">
                <pic:pic>
                  <pic:nvPicPr>
                    <pic:cNvPr id="34" name="IM 34"/>
                    <pic:cNvPicPr/>
                  </pic:nvPicPr>
                  <pic:blipFill>
                    <a:blip r:embed="rId71"/>
                    <a:stretch>
                      <a:fillRect/>
                    </a:stretch>
                  </pic:blipFill>
                  <pic:spPr>
                    <a:xfrm rot="0">
                      <a:off x="0" y="0"/>
                      <a:ext cx="5135242" cy="7654806"/>
                    </a:xfrm>
                    <a:prstGeom prst="rect">
                      <a:avLst/>
                    </a:prstGeom>
                  </pic:spPr>
                </pic:pic>
              </a:graphicData>
            </a:graphic>
          </wp:inline>
        </w:drawing>
      </w:r>
    </w:p>
    <w:p>
      <w:pPr>
        <w:spacing w:line="12055" w:lineRule="exact"/>
        <w:sectPr>
          <w:headerReference w:type="default" r:id="rId44"/>
          <w:footerReference w:type="default" r:id="rId70"/>
          <w:pgSz w:w="11900" w:h="16840"/>
          <w:pgMar w:top="642" w:right="0" w:bottom="340" w:left="0" w:header="326" w:footer="93" w:gutter="0"/>
        </w:sectPr>
        <w:rPr/>
      </w:pPr>
    </w:p>
    <w:p>
      <w:pPr>
        <w:pStyle w:val="BodyText"/>
        <w:spacing w:line="277" w:lineRule="auto"/>
        <w:rPr/>
      </w:pPr>
      <w:r>
        <w:pict>
          <v:shape id="_x0000_s570" style="position:absolute;margin-left:491.92pt;margin-top:44.1055pt;mso-position-vertical-relative:page;mso-position-horizontal-relative:page;width:119.4pt;height:18.85pt;z-index:251729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43"/>
        <w:spacing w:line="13450" w:lineRule="exact"/>
        <w:rPr/>
      </w:pPr>
      <w:r>
        <w:pict>
          <v:shape id="_x0000_s572" style="position:absolute;margin-left:-13.08pt;margin-top:228.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574" style="position:absolute;margin-left:391.92pt;margin-top:228.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576" style="position:absolute;margin-left:86.92pt;margin-top:472.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pict>
          <v:shape id="_x0000_s578" style="position:absolute;margin-left:491.92pt;margin-top:472.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739388" cy="8540429"/>
            <wp:effectExtent l="0" t="0" r="0" b="0"/>
            <wp:docPr id="36" name="IM 36"/>
            <wp:cNvGraphicFramePr/>
            <a:graphic>
              <a:graphicData uri="http://schemas.openxmlformats.org/drawingml/2006/picture">
                <pic:pic>
                  <pic:nvPicPr>
                    <pic:cNvPr id="36" name="IM 36"/>
                    <pic:cNvPicPr/>
                  </pic:nvPicPr>
                  <pic:blipFill>
                    <a:blip r:embed="rId73"/>
                    <a:stretch>
                      <a:fillRect/>
                    </a:stretch>
                  </pic:blipFill>
                  <pic:spPr>
                    <a:xfrm rot="0">
                      <a:off x="0" y="0"/>
                      <a:ext cx="5739388" cy="8540429"/>
                    </a:xfrm>
                    <a:prstGeom prst="rect">
                      <a:avLst/>
                    </a:prstGeom>
                  </pic:spPr>
                </pic:pic>
              </a:graphicData>
            </a:graphic>
          </wp:inline>
        </w:drawing>
      </w:r>
    </w:p>
    <w:p>
      <w:pPr>
        <w:spacing w:line="13450" w:lineRule="exact"/>
        <w:sectPr>
          <w:footerReference w:type="default" r:id="rId72"/>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4"/>
      <w:bookmarkEnd w:id="44"/>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3" w:firstLine="461"/>
        <w:spacing w:before="135" w:line="321" w:lineRule="auto"/>
        <w:rPr>
          <w:rFonts w:ascii="FangSong" w:hAnsi="FangSong" w:eastAsia="FangSong" w:cs="FangSong"/>
          <w:sz w:val="23"/>
          <w:szCs w:val="23"/>
        </w:rPr>
      </w:pPr>
      <w:r>
        <w:rPr>
          <w:rFonts w:ascii="FangSong" w:hAnsi="FangSong" w:eastAsia="FangSong" w:cs="FangSong"/>
          <w:sz w:val="23"/>
          <w:szCs w:val="23"/>
          <w:spacing w:val="2"/>
        </w:rPr>
        <w:t>截至2025年4月30日，兴县人民代表大会常务委员会办公室共有公务用车编制1辆，实有1</w:t>
      </w:r>
      <w:r>
        <w:rPr>
          <w:rFonts w:ascii="FangSong" w:hAnsi="FangSong" w:eastAsia="FangSong" w:cs="FangSong"/>
          <w:sz w:val="23"/>
          <w:szCs w:val="23"/>
          <w:spacing w:val="5"/>
        </w:rPr>
        <w:t>辆，其中：领导用车0辆，机要通信用车1辆，应急保障用车0辆，执法执勤用车0辆，特种专</w:t>
      </w:r>
      <w:r>
        <w:rPr>
          <w:rFonts w:ascii="FangSong" w:hAnsi="FangSong" w:eastAsia="FangSong" w:cs="FangSong"/>
          <w:sz w:val="23"/>
          <w:szCs w:val="23"/>
        </w:rPr>
        <w:t>业技术用车0辆，事业单位业务用车0辆，其他公务用车0辆。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261" w:right="1223" w:firstLine="463"/>
        <w:spacing w:before="123" w:line="322" w:lineRule="auto"/>
        <w:rPr>
          <w:rFonts w:ascii="FangSong" w:hAnsi="FangSong" w:eastAsia="FangSong" w:cs="FangSong"/>
          <w:sz w:val="23"/>
          <w:szCs w:val="23"/>
        </w:rPr>
      </w:pPr>
      <w:r>
        <w:rPr>
          <w:rFonts w:ascii="FangSong" w:hAnsi="FangSong" w:eastAsia="FangSong" w:cs="FangSong"/>
          <w:sz w:val="23"/>
          <w:szCs w:val="23"/>
          <w:spacing w:val="5"/>
        </w:rPr>
        <w:t>截至2025年04月30日，兴县人民代表大会常务委员会办公室使用的办公用房建筑总面积</w:t>
      </w:r>
      <w:r>
        <w:rPr>
          <w:rFonts w:ascii="FangSong" w:hAnsi="FangSong" w:eastAsia="FangSong" w:cs="FangSong"/>
          <w:sz w:val="23"/>
          <w:szCs w:val="23"/>
          <w:spacing w:val="-2"/>
        </w:rPr>
        <w:t>310.5平方米。</w:t>
      </w:r>
    </w:p>
    <w:p>
      <w:pPr>
        <w:ind w:left="17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3" w:right="1223" w:firstLine="461"/>
        <w:spacing w:before="125" w:line="323" w:lineRule="auto"/>
        <w:rPr>
          <w:rFonts w:ascii="FangSong" w:hAnsi="FangSong" w:eastAsia="FangSong" w:cs="FangSong"/>
          <w:sz w:val="23"/>
          <w:szCs w:val="23"/>
        </w:rPr>
      </w:pPr>
      <w:r>
        <w:rPr>
          <w:rFonts w:ascii="FangSong" w:hAnsi="FangSong" w:eastAsia="FangSong" w:cs="FangSong"/>
          <w:sz w:val="23"/>
          <w:szCs w:val="23"/>
          <w:spacing w:val="9"/>
        </w:rPr>
        <w:t>截至2025年04月30</w:t>
      </w:r>
      <w:r>
        <w:rPr>
          <w:rFonts w:ascii="FangSong" w:hAnsi="FangSong" w:eastAsia="FangSong" w:cs="FangSong"/>
          <w:sz w:val="23"/>
          <w:szCs w:val="23"/>
          <w:spacing w:val="-39"/>
        </w:rPr>
        <w:t xml:space="preserve"> </w:t>
      </w:r>
      <w:r>
        <w:rPr>
          <w:rFonts w:ascii="FangSong" w:hAnsi="FangSong" w:eastAsia="FangSong" w:cs="FangSong"/>
          <w:sz w:val="23"/>
          <w:szCs w:val="23"/>
          <w:spacing w:val="9"/>
        </w:rPr>
        <w:t>日，兴县人民代表大会常务委员会办</w:t>
      </w:r>
      <w:r>
        <w:rPr>
          <w:rFonts w:ascii="FangSong" w:hAnsi="FangSong" w:eastAsia="FangSong" w:cs="FangSong"/>
          <w:sz w:val="23"/>
          <w:szCs w:val="23"/>
          <w:spacing w:val="8"/>
        </w:rPr>
        <w:t>公室占有使用价值50万元（原</w:t>
      </w:r>
      <w:r>
        <w:rPr>
          <w:rFonts w:ascii="FangSong" w:hAnsi="FangSong" w:eastAsia="FangSong" w:cs="FangSong"/>
          <w:sz w:val="23"/>
          <w:szCs w:val="23"/>
          <w:spacing w:val="3"/>
        </w:rPr>
        <w:t>值）</w:t>
      </w:r>
      <w:r>
        <w:rPr>
          <w:rFonts w:ascii="FangSong" w:hAnsi="FangSong" w:eastAsia="FangSong" w:cs="FangSong"/>
          <w:sz w:val="23"/>
          <w:szCs w:val="23"/>
          <w:spacing w:val="-65"/>
        </w:rPr>
        <w:t xml:space="preserve"> </w:t>
      </w:r>
      <w:r>
        <w:rPr>
          <w:rFonts w:ascii="FangSong" w:hAnsi="FangSong" w:eastAsia="FangSong" w:cs="FangSong"/>
          <w:sz w:val="23"/>
          <w:szCs w:val="23"/>
          <w:spacing w:val="3"/>
        </w:rPr>
        <w:t>以上的通用设备0台（套</w:t>
      </w:r>
      <w:r>
        <w:rPr>
          <w:rFonts w:ascii="FangSong" w:hAnsi="FangSong" w:eastAsia="FangSong" w:cs="FangSong"/>
          <w:sz w:val="23"/>
          <w:szCs w:val="23"/>
          <w:spacing w:val="21"/>
        </w:rPr>
        <w:t>）；</w:t>
      </w:r>
      <w:r>
        <w:rPr>
          <w:rFonts w:ascii="FangSong" w:hAnsi="FangSong" w:eastAsia="FangSong" w:cs="FangSong"/>
          <w:sz w:val="23"/>
          <w:szCs w:val="23"/>
          <w:spacing w:val="3"/>
        </w:rPr>
        <w:t>兴县人民代表大会常务委员会办公室占有使用价值100万元</w:t>
      </w:r>
      <w:r>
        <w:rPr>
          <w:rFonts w:ascii="FangSong" w:hAnsi="FangSong" w:eastAsia="FangSong" w:cs="FangSong"/>
          <w:sz w:val="23"/>
          <w:szCs w:val="23"/>
          <w:spacing w:val="-1"/>
        </w:rPr>
        <w:t>（原值）以上的通用设备0台（套）。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45"/>
      <w:bookmarkEnd w:id="45"/>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2" w:id="46"/>
      <w:bookmarkEnd w:id="46"/>
      <w:r>
        <w:rPr>
          <w:rFonts w:ascii="FangSong" w:hAnsi="FangSong" w:eastAsia="FangSong" w:cs="FangSong"/>
          <w:sz w:val="23"/>
          <w:szCs w:val="23"/>
          <w:spacing w:val="-1"/>
        </w:rPr>
        <w:t>（一）政府购买服务指导性目录</w:t>
      </w:r>
    </w:p>
    <w:p>
      <w:pPr>
        <w:ind w:left="1727"/>
        <w:spacing w:before="265" w:line="226" w:lineRule="auto"/>
        <w:rPr>
          <w:rFonts w:ascii="FangSong" w:hAnsi="FangSong" w:eastAsia="FangSong" w:cs="FangSong"/>
          <w:sz w:val="23"/>
          <w:szCs w:val="23"/>
        </w:rPr>
      </w:pPr>
      <w:r>
        <w:rPr>
          <w:rFonts w:ascii="FangSong" w:hAnsi="FangSong" w:eastAsia="FangSong" w:cs="FangSong"/>
          <w:sz w:val="23"/>
          <w:szCs w:val="23"/>
        </w:rPr>
        <w:t>无</w:t>
      </w:r>
    </w:p>
    <w:p>
      <w:pPr>
        <w:ind w:left="1725"/>
        <w:spacing w:before="249" w:line="222" w:lineRule="auto"/>
        <w:outlineLvl w:val="2"/>
        <w:rPr>
          <w:rFonts w:ascii="FangSong" w:hAnsi="FangSong" w:eastAsia="FangSong" w:cs="FangSong"/>
          <w:sz w:val="23"/>
          <w:szCs w:val="23"/>
        </w:rPr>
      </w:pPr>
      <w:bookmarkStart w:name="bookmark33" w:id="47"/>
      <w:bookmarkEnd w:id="47"/>
      <w:r>
        <w:rPr>
          <w:rFonts w:ascii="FangSong" w:hAnsi="FangSong" w:eastAsia="FangSong" w:cs="FangSong"/>
          <w:sz w:val="23"/>
          <w:szCs w:val="23"/>
          <w:spacing w:val="-3"/>
        </w:rPr>
        <w:t>（二）其他</w:t>
      </w:r>
    </w:p>
    <w:p>
      <w:pPr>
        <w:ind w:left="1726"/>
        <w:spacing w:before="253" w:line="221" w:lineRule="auto"/>
        <w:rPr>
          <w:rFonts w:ascii="FangSong" w:hAnsi="FangSong" w:eastAsia="FangSong" w:cs="FangSong"/>
          <w:sz w:val="23"/>
          <w:szCs w:val="23"/>
        </w:rPr>
      </w:pPr>
      <w:r>
        <w:rPr>
          <w:rFonts w:ascii="FangSong" w:hAnsi="FangSong" w:eastAsia="FangSong" w:cs="FangSong"/>
          <w:sz w:val="23"/>
          <w:szCs w:val="23"/>
        </w:rPr>
        <w:t>本单位无专项资金相关情况管理办法，一切依据财政部门及相关规定执行。</w:t>
      </w:r>
    </w:p>
    <w:p>
      <w:pPr>
        <w:spacing w:line="221" w:lineRule="auto"/>
        <w:sectPr>
          <w:headerReference w:type="default" r:id="rId5"/>
          <w:footerReference w:type="default" r:id="rId74"/>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178"/>
        <w:spacing w:line="13461" w:lineRule="exact"/>
        <w:rPr/>
      </w:pPr>
      <w:r>
        <w:pict>
          <v:shape id="_x0000_s580" style="position:absolute;margin-left:391.92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pict>
          <v:shape id="_x0000_s582" style="position:absolute;margin-left:86.92pt;margin-top:472.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805707" cy="8547295"/>
            <wp:effectExtent l="0" t="0" r="0" b="0"/>
            <wp:docPr id="38" name="IM 38"/>
            <wp:cNvGraphicFramePr/>
            <a:graphic>
              <a:graphicData uri="http://schemas.openxmlformats.org/drawingml/2006/picture">
                <pic:pic>
                  <pic:nvPicPr>
                    <pic:cNvPr id="38" name="IM 38"/>
                    <pic:cNvPicPr/>
                  </pic:nvPicPr>
                  <pic:blipFill>
                    <a:blip r:embed="rId76"/>
                    <a:stretch>
                      <a:fillRect/>
                    </a:stretch>
                  </pic:blipFill>
                  <pic:spPr>
                    <a:xfrm rot="0">
                      <a:off x="0" y="0"/>
                      <a:ext cx="4805707" cy="8547295"/>
                    </a:xfrm>
                    <a:prstGeom prst="rect">
                      <a:avLst/>
                    </a:prstGeom>
                  </pic:spPr>
                </pic:pic>
              </a:graphicData>
            </a:graphic>
          </wp:inline>
        </w:drawing>
      </w:r>
    </w:p>
    <w:p>
      <w:pPr>
        <w:spacing w:line="13461" w:lineRule="exact"/>
        <w:sectPr>
          <w:headerReference w:type="default" r:id="rId51"/>
          <w:footerReference w:type="default" r:id="rId75"/>
          <w:pgSz w:w="11900" w:h="16840"/>
          <w:pgMar w:top="642" w:right="0" w:bottom="340" w:left="0" w:header="326" w:footer="93" w:gutter="0"/>
        </w:sectPr>
        <w:rPr/>
      </w:pPr>
    </w:p>
    <w:p>
      <w:pPr>
        <w:pStyle w:val="BodyText"/>
        <w:spacing w:line="267" w:lineRule="auto"/>
        <w:rPr/>
      </w:pPr>
      <w:r>
        <w:pict>
          <v:shape id="_x0000_s588" style="position:absolute;margin-left:312.92pt;margin-top:45.1055pt;mso-position-vertical-relative:page;mso-position-horizontal-relative:page;width:119.4pt;height:18.85pt;z-index:251748352;rotation:330;" o:allowincell="f" fillcolor="#404040" filled="true" stroked="false" type="#_x0000_t136">
            <v:fill opacity="0.400000"/>
            <v:textpath style="font-family:&quot;STSong&quot;;font-size:20;v-text-kern:t;mso-text-shadow:auto" string="仅供内部审核"/>
          </v:shape>
        </w:pict>
      </w:r>
      <w:r>
        <w:pict>
          <v:shape id="_x0000_s590" style="position:absolute;margin-left:638.92pt;margin-top:45.1055pt;mso-position-vertical-relative:page;mso-position-horizontal-relative:page;width:119.4pt;height:18.85pt;z-index:2517442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1860"/>
        <w:spacing w:line="9330" w:lineRule="exact"/>
        <w:rPr/>
      </w:pPr>
      <w:r>
        <w:pict>
          <v:shape id="_x0000_s592" style="position:absolute;margin-left:86.92pt;margin-top:228.073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594" style="position:absolute;margin-left:-45.0434pt;margin-top:347.362pt;mso-position-vertical-relative:text;mso-position-horizontal-relative:text;width:609.35pt;height:22.25pt;z-index:251747328;rotation:330;" fillcolor="#404040" filled="true" stroked="false" type="#_x0000_t136">
            <v:fill opacity="0.400000"/>
            <v:textpath style="font-family:&quot;STSong&quot;;font-size:20;v-text-kern:t;mso-text-shadow:auto" string="仅供内部审核                                                                          仅供内部审核"/>
          </v:shape>
        </w:pict>
      </w:r>
      <w:r>
        <w:pict>
          <v:shape id="_x0000_s596" style="position:absolute;margin-left:280.957pt;margin-top:347.362pt;mso-position-vertical-relative:text;mso-position-horizontal-relative:text;width:609.35pt;height:22.25pt;z-index:251745280;rotation:330;" fillcolor="#404040" filled="true" stroked="false" type="#_x0000_t136">
            <v:fill opacity="0.400000"/>
            <v:textpath style="font-family:&quot;STSong&quot;;font-size:20;v-text-kern:t;mso-text-shadow:auto" string="仅供内部审核                                                                          仅供内部审核"/>
          </v:shape>
        </w:pict>
      </w:r>
      <w:r>
        <w:pict>
          <v:shape id="_x0000_s598" style="position:absolute;margin-left:638.92pt;margin-top:470.073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8239125" cy="5924550"/>
            <wp:effectExtent l="0" t="0" r="0" b="0"/>
            <wp:docPr id="40" name="IM 40"/>
            <wp:cNvGraphicFramePr/>
            <a:graphic>
              <a:graphicData uri="http://schemas.openxmlformats.org/drawingml/2006/picture">
                <pic:pic>
                  <pic:nvPicPr>
                    <pic:cNvPr id="40" name="IM 40"/>
                    <pic:cNvPicPr/>
                  </pic:nvPicPr>
                  <pic:blipFill>
                    <a:blip r:embed="rId79"/>
                    <a:stretch>
                      <a:fillRect/>
                    </a:stretch>
                  </pic:blipFill>
                  <pic:spPr>
                    <a:xfrm rot="0">
                      <a:off x="0" y="0"/>
                      <a:ext cx="8239125" cy="5924550"/>
                    </a:xfrm>
                    <a:prstGeom prst="rect">
                      <a:avLst/>
                    </a:prstGeom>
                  </pic:spPr>
                </pic:pic>
              </a:graphicData>
            </a:graphic>
          </wp:inline>
        </w:drawing>
      </w:r>
    </w:p>
    <w:p>
      <w:pPr>
        <w:spacing w:line="9330" w:lineRule="exact"/>
        <w:sectPr>
          <w:headerReference w:type="default" r:id="rId77"/>
          <w:footerReference w:type="default" r:id="rId78"/>
          <w:pgSz w:w="16840" w:h="11900"/>
          <w:pgMar w:top="642" w:right="0" w:bottom="340" w:left="0" w:header="326" w:footer="93" w:gutter="0"/>
        </w:sectPr>
        <w:rPr/>
      </w:pPr>
    </w:p>
    <w:p>
      <w:pPr>
        <w:pStyle w:val="BodyText"/>
        <w:spacing w:line="277" w:lineRule="auto"/>
        <w:rPr/>
      </w:pPr>
      <w:r>
        <w:pict>
          <v:shape id="_x0000_s604" style="position:absolute;margin-left:491.92pt;margin-top:44.1055pt;mso-position-vertical-relative:page;mso-position-horizontal-relative:page;width:119.4pt;height:18.85pt;z-index:2517493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06" style="position:absolute;margin-left:-13.08pt;margin-top:228.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608" style="position:absolute;margin-left:391.92pt;margin-top:228.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pict>
          <v:shape id="_x0000_s610" style="position:absolute;margin-left:86.92pt;margin-top:472.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pict>
          <v:shape id="_x0000_s612" style="position:absolute;margin-left:-13.08pt;margin-top:716.067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pict>
          <v:shape id="_x0000_s614" style="position:absolute;margin-left:491.92pt;margin-top:472.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pict>
          <v:shape id="_x0000_s616" style="position:absolute;margin-left:391.92pt;margin-top:716.067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42" name="IM 42"/>
            <wp:cNvGraphicFramePr/>
            <a:graphic>
              <a:graphicData uri="http://schemas.openxmlformats.org/drawingml/2006/picture">
                <pic:pic>
                  <pic:nvPicPr>
                    <pic:cNvPr id="42" name="IM 42"/>
                    <pic:cNvPicPr/>
                  </pic:nvPicPr>
                  <pic:blipFill>
                    <a:blip r:embed="rId8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81"/>
          <w:pgSz w:w="11900" w:h="16840"/>
          <w:pgMar w:top="642" w:right="0" w:bottom="340" w:left="0" w:header="326" w:footer="93" w:gutter="0"/>
        </w:sectPr>
        <w:rPr/>
      </w:pPr>
    </w:p>
    <w:p>
      <w:pPr>
        <w:pStyle w:val="BodyText"/>
        <w:spacing w:line="277" w:lineRule="auto"/>
        <w:rPr/>
      </w:pPr>
      <w:r>
        <w:pict>
          <v:shape id="_x0000_s634" style="position:absolute;margin-left:491.92pt;margin-top:44.1055pt;mso-position-vertical-relative:page;mso-position-horizontal-relative:page;width:119.4pt;height:18.85pt;z-index:251756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44" name="IM 44"/>
            <wp:cNvGraphicFramePr/>
            <a:graphic>
              <a:graphicData uri="http://schemas.openxmlformats.org/drawingml/2006/picture">
                <pic:pic>
                  <pic:nvPicPr>
                    <pic:cNvPr id="44" name="IM 44"/>
                    <pic:cNvPicPr/>
                  </pic:nvPicPr>
                  <pic:blipFill>
                    <a:blip r:embed="rId85"/>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84"/>
          <w:pgSz w:w="11900" w:h="16840"/>
          <w:pgMar w:top="642" w:right="0" w:bottom="340" w:left="0" w:header="326" w:footer="93" w:gutter="0"/>
        </w:sectPr>
        <w:rPr/>
      </w:pPr>
    </w:p>
    <w:p>
      <w:pPr>
        <w:pStyle w:val="BodyText"/>
        <w:spacing w:line="277" w:lineRule="auto"/>
        <w:rPr/>
      </w:pPr>
      <w:r>
        <w:pict>
          <v:shape id="_x0000_s636" style="position:absolute;margin-left:491.92pt;margin-top:44.1055pt;mso-position-vertical-relative:page;mso-position-horizontal-relative:page;width:119.4pt;height:18.85pt;z-index:2517667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38" style="position:absolute;margin-left:-13.08pt;margin-top:228.067pt;mso-position-vertical-relative:text;mso-position-horizontal-relative:text;width:119.4pt;height:18.85pt;z-index:251765760;rotation:330;" fillcolor="#404040" filled="true" stroked="false" type="#_x0000_t136">
            <v:fill opacity="0.400000"/>
            <v:textpath style="font-family:&quot;STSong&quot;;font-size:20;v-text-kern:t;mso-text-shadow:auto" string="仅供内部审核"/>
          </v:shape>
        </w:pict>
      </w:r>
      <w:r>
        <w:pict>
          <v:shape id="_x0000_s640" style="position:absolute;margin-left:391.92pt;margin-top:228.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pict>
          <v:shape id="_x0000_s642" style="position:absolute;margin-left:86.92pt;margin-top:472.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644" style="position:absolute;margin-left:-13.08pt;margin-top:716.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pict>
          <v:shape id="_x0000_s646" style="position:absolute;margin-left:491.92pt;margin-top:472.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pict>
          <v:shape id="_x0000_s648" style="position:absolute;margin-left:391.92pt;margin-top:716.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46" name="IM 46"/>
            <wp:cNvGraphicFramePr/>
            <a:graphic>
              <a:graphicData uri="http://schemas.openxmlformats.org/drawingml/2006/picture">
                <pic:pic>
                  <pic:nvPicPr>
                    <pic:cNvPr id="46" name="IM 46"/>
                    <pic:cNvPicPr/>
                  </pic:nvPicPr>
                  <pic:blipFill>
                    <a:blip r:embed="rId87"/>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86"/>
          <w:pgSz w:w="11900" w:h="16840"/>
          <w:pgMar w:top="642" w:right="0" w:bottom="340" w:left="0" w:header="326" w:footer="93" w:gutter="0"/>
        </w:sectPr>
        <w:rPr/>
      </w:pPr>
    </w:p>
    <w:p>
      <w:pPr>
        <w:pStyle w:val="BodyText"/>
        <w:spacing w:line="277" w:lineRule="auto"/>
        <w:rPr/>
      </w:pPr>
      <w:r>
        <w:pict>
          <v:shape id="_x0000_s650" style="position:absolute;margin-left:491.92pt;margin-top:44.1055pt;mso-position-vertical-relative:page;mso-position-horizontal-relative:page;width:119.4pt;height:18.85pt;z-index:2517708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48" name="IM 48"/>
            <wp:cNvGraphicFramePr/>
            <a:graphic>
              <a:graphicData uri="http://schemas.openxmlformats.org/drawingml/2006/picture">
                <pic:pic>
                  <pic:nvPicPr>
                    <pic:cNvPr id="48" name="IM 48"/>
                    <pic:cNvPicPr/>
                  </pic:nvPicPr>
                  <pic:blipFill>
                    <a:blip r:embed="rId89"/>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88"/>
          <w:pgSz w:w="11900" w:h="16840"/>
          <w:pgMar w:top="642" w:right="0" w:bottom="340" w:left="0" w:header="326" w:footer="93" w:gutter="0"/>
        </w:sectPr>
        <w:rPr/>
      </w:pPr>
    </w:p>
    <w:p>
      <w:pPr>
        <w:pStyle w:val="BodyText"/>
        <w:spacing w:line="277" w:lineRule="auto"/>
        <w:rPr/>
      </w:pPr>
      <w:r>
        <w:pict>
          <v:shape id="_x0000_s652" style="position:absolute;margin-left:491.92pt;margin-top:44.1055pt;mso-position-vertical-relative:page;mso-position-horizontal-relative:page;width:119.4pt;height:18.85pt;z-index:2517821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54" style="position:absolute;margin-left:-13.08pt;margin-top:228.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656" style="position:absolute;margin-left:391.92pt;margin-top:228.067pt;mso-position-vertical-relative:text;mso-position-horizontal-relative:text;width:119.4pt;height:18.85pt;z-index:251778048;rotation:330;" fillcolor="#404040" filled="true" stroked="false" type="#_x0000_t136">
            <v:fill opacity="0.400000"/>
            <v:textpath style="font-family:&quot;STSong&quot;;font-size:20;v-text-kern:t;mso-text-shadow:auto" string="仅供内部审核"/>
          </v:shape>
        </w:pict>
      </w:r>
      <w:r>
        <w:pict>
          <v:shape id="_x0000_s658" style="position:absolute;margin-left:86.92pt;margin-top:472.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660" style="position:absolute;margin-left:-13.08pt;margin-top:716.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pict>
          <v:shape id="_x0000_s662" style="position:absolute;margin-left:491.92pt;margin-top:472.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pict>
          <v:shape id="_x0000_s664" style="position:absolute;margin-left:391.92pt;margin-top:716.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0" name="IM 50"/>
            <wp:cNvGraphicFramePr/>
            <a:graphic>
              <a:graphicData uri="http://schemas.openxmlformats.org/drawingml/2006/picture">
                <pic:pic>
                  <pic:nvPicPr>
                    <pic:cNvPr id="50" name="IM 50"/>
                    <pic:cNvPicPr/>
                  </pic:nvPicPr>
                  <pic:blipFill>
                    <a:blip r:embed="rId91"/>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90"/>
          <w:pgSz w:w="11900" w:h="16840"/>
          <w:pgMar w:top="642" w:right="0" w:bottom="340" w:left="0" w:header="326" w:footer="93" w:gutter="0"/>
        </w:sectPr>
        <w:rPr/>
      </w:pPr>
    </w:p>
    <w:p>
      <w:pPr>
        <w:pStyle w:val="BodyText"/>
        <w:spacing w:line="277" w:lineRule="auto"/>
        <w:rPr/>
      </w:pPr>
      <w:r>
        <w:pict>
          <v:shape id="_x0000_s666" style="position:absolute;margin-left:491.92pt;margin-top:44.1055pt;mso-position-vertical-relative:page;mso-position-horizontal-relative:page;width:119.4pt;height:18.85pt;z-index:2517852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2" name="IM 52"/>
            <wp:cNvGraphicFramePr/>
            <a:graphic>
              <a:graphicData uri="http://schemas.openxmlformats.org/drawingml/2006/picture">
                <pic:pic>
                  <pic:nvPicPr>
                    <pic:cNvPr id="52" name="IM 52"/>
                    <pic:cNvPicPr/>
                  </pic:nvPicPr>
                  <pic:blipFill>
                    <a:blip r:embed="rId93"/>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92"/>
          <w:pgSz w:w="11900" w:h="16840"/>
          <w:pgMar w:top="642" w:right="0" w:bottom="340" w:left="0" w:header="326" w:footer="93" w:gutter="0"/>
        </w:sectPr>
        <w:rPr/>
      </w:pPr>
    </w:p>
    <w:p>
      <w:pPr>
        <w:pStyle w:val="BodyText"/>
        <w:spacing w:line="277" w:lineRule="auto"/>
        <w:rPr/>
      </w:pPr>
      <w:r>
        <w:pict>
          <v:shape id="_x0000_s668" style="position:absolute;margin-left:491.92pt;margin-top:44.1055pt;mso-position-vertical-relative:page;mso-position-horizontal-relative:page;width:119.4pt;height:18.85pt;z-index:251795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70" style="position:absolute;margin-left:-13.08pt;margin-top:228.067pt;mso-position-vertical-relative:text;mso-position-horizontal-relative:text;width:119.4pt;height:18.85pt;z-index:251794432;rotation:330;" fillcolor="#404040" filled="true" stroked="false" type="#_x0000_t136">
            <v:fill opacity="0.400000"/>
            <v:textpath style="font-family:&quot;STSong&quot;;font-size:20;v-text-kern:t;mso-text-shadow:auto" string="仅供内部审核"/>
          </v:shape>
        </w:pict>
      </w:r>
      <w:r>
        <w:pict>
          <v:shape id="_x0000_s672" style="position:absolute;margin-left:391.92pt;margin-top:228.067pt;mso-position-vertical-relative:text;mso-position-horizontal-relative:text;width:119.4pt;height:18.85pt;z-index:251796480;rotation:330;" fillcolor="#404040" filled="true" stroked="false" type="#_x0000_t136">
            <v:fill opacity="0.400000"/>
            <v:textpath style="font-family:&quot;STSong&quot;;font-size:20;v-text-kern:t;mso-text-shadow:auto" string="仅供内部审核"/>
          </v:shape>
        </w:pict>
      </w:r>
      <w:r>
        <w:pict>
          <v:shape id="_x0000_s674" style="position:absolute;margin-left:86.92pt;margin-top:472.067pt;mso-position-vertical-relative:text;mso-position-horizontal-relative:text;width:119.4pt;height:18.85pt;z-index:251797504;rotation:330;" fillcolor="#404040" filled="true" stroked="false" type="#_x0000_t136">
            <v:fill opacity="0.400000"/>
            <v:textpath style="font-family:&quot;STSong&quot;;font-size:20;v-text-kern:t;mso-text-shadow:auto" string="仅供内部审核"/>
          </v:shape>
        </w:pict>
      </w:r>
      <w:r>
        <w:pict>
          <v:shape id="_x0000_s676" style="position:absolute;margin-left:-13.08pt;margin-top:716.067pt;mso-position-vertical-relative:text;mso-position-horizontal-relative:text;width:119.4pt;height:18.85pt;z-index:251792384;rotation:330;" fillcolor="#404040" filled="true" stroked="false" type="#_x0000_t136">
            <v:fill opacity="0.400000"/>
            <v:textpath style="font-family:&quot;STSong&quot;;font-size:20;v-text-kern:t;mso-text-shadow:auto" string="仅供内部审核"/>
          </v:shape>
        </w:pict>
      </w:r>
      <w:r>
        <w:pict>
          <v:shape id="_x0000_s678" style="position:absolute;margin-left:491.92pt;margin-top:472.067pt;mso-position-vertical-relative:text;mso-position-horizontal-relative:text;width:119.4pt;height:18.85pt;z-index:251793408;rotation:330;" fillcolor="#404040" filled="true" stroked="false" type="#_x0000_t136">
            <v:fill opacity="0.400000"/>
            <v:textpath style="font-family:&quot;STSong&quot;;font-size:20;v-text-kern:t;mso-text-shadow:auto" string="仅供内部审核"/>
          </v:shape>
        </w:pict>
      </w:r>
      <w:r>
        <w:pict>
          <v:shape id="_x0000_s680" style="position:absolute;margin-left:391.92pt;margin-top:716.067pt;mso-position-vertical-relative:text;mso-position-horizontal-relative:text;width:119.4pt;height:18.85pt;z-index:2517985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4" name="IM 54"/>
            <wp:cNvGraphicFramePr/>
            <a:graphic>
              <a:graphicData uri="http://schemas.openxmlformats.org/drawingml/2006/picture">
                <pic:pic>
                  <pic:nvPicPr>
                    <pic:cNvPr id="54" name="IM 54"/>
                    <pic:cNvPicPr/>
                  </pic:nvPicPr>
                  <pic:blipFill>
                    <a:blip r:embed="rId95"/>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94"/>
          <w:pgSz w:w="11900" w:h="16840"/>
          <w:pgMar w:top="642" w:right="0" w:bottom="340" w:left="0" w:header="326" w:footer="93" w:gutter="0"/>
        </w:sectPr>
        <w:rPr/>
      </w:pPr>
    </w:p>
    <w:p>
      <w:pPr>
        <w:pStyle w:val="BodyText"/>
        <w:spacing w:line="277" w:lineRule="auto"/>
        <w:rPr/>
      </w:pPr>
      <w:r>
        <w:pict>
          <v:shape id="_x0000_s682" style="position:absolute;margin-left:491.92pt;margin-top:44.1055pt;mso-position-vertical-relative:page;mso-position-horizontal-relative:page;width:119.4pt;height:18.85pt;z-index:251799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6" name="IM 56"/>
            <wp:cNvGraphicFramePr/>
            <a:graphic>
              <a:graphicData uri="http://schemas.openxmlformats.org/drawingml/2006/picture">
                <pic:pic>
                  <pic:nvPicPr>
                    <pic:cNvPr id="56" name="IM 56"/>
                    <pic:cNvPicPr/>
                  </pic:nvPicPr>
                  <pic:blipFill>
                    <a:blip r:embed="rId97"/>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96"/>
          <w:pgSz w:w="11900" w:h="16840"/>
          <w:pgMar w:top="642" w:right="0" w:bottom="340" w:left="0" w:header="326" w:footer="93" w:gutter="0"/>
        </w:sectPr>
        <w:rPr/>
      </w:pPr>
    </w:p>
    <w:p>
      <w:pPr>
        <w:pStyle w:val="BodyText"/>
        <w:spacing w:line="277" w:lineRule="auto"/>
        <w:rPr/>
      </w:pPr>
      <w:r>
        <w:pict>
          <v:shape id="_x0000_s684" style="position:absolute;margin-left:491.92pt;margin-top:44.1055pt;mso-position-vertical-relative:page;mso-position-horizontal-relative:page;width:119.4pt;height:18.85pt;z-index:251807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86" style="position:absolute;margin-left:-13.08pt;margin-top:228.067pt;mso-position-vertical-relative:text;mso-position-horizontal-relative:text;width:119.4pt;height:18.85pt;z-index:251806720;rotation:330;" fillcolor="#404040" filled="true" stroked="false" type="#_x0000_t136">
            <v:fill opacity="0.400000"/>
            <v:textpath style="font-family:&quot;STSong&quot;;font-size:20;v-text-kern:t;mso-text-shadow:auto" string="仅供内部审核"/>
          </v:shape>
        </w:pict>
      </w:r>
      <w:r>
        <w:pict>
          <v:shape id="_x0000_s688" style="position:absolute;margin-left:391.92pt;margin-top:228.067pt;mso-position-vertical-relative:text;mso-position-horizontal-relative:text;width:119.4pt;height:18.85pt;z-index:251809792;rotation:330;" fillcolor="#404040" filled="true" stroked="false" type="#_x0000_t136">
            <v:fill opacity="0.400000"/>
            <v:textpath style="font-family:&quot;STSong&quot;;font-size:20;v-text-kern:t;mso-text-shadow:auto" string="仅供内部审核"/>
          </v:shape>
        </w:pict>
      </w:r>
      <w:r>
        <w:pict>
          <v:shape id="_x0000_s690" style="position:absolute;margin-left:86.92pt;margin-top:472.067pt;mso-position-vertical-relative:text;mso-position-horizontal-relative:text;width:119.4pt;height:18.85pt;z-index:251808768;rotation:330;" fillcolor="#404040" filled="true" stroked="false" type="#_x0000_t136">
            <v:fill opacity="0.400000"/>
            <v:textpath style="font-family:&quot;STSong&quot;;font-size:20;v-text-kern:t;mso-text-shadow:auto" string="仅供内部审核"/>
          </v:shape>
        </w:pict>
      </w:r>
      <w:r>
        <w:pict>
          <v:shape id="_x0000_s692" style="position:absolute;margin-left:-13.08pt;margin-top:716.067pt;mso-position-vertical-relative:text;mso-position-horizontal-relative:text;width:119.4pt;height:18.85pt;z-index:251812864;rotation:330;" fillcolor="#404040" filled="true" stroked="false" type="#_x0000_t136">
            <v:fill opacity="0.400000"/>
            <v:textpath style="font-family:&quot;STSong&quot;;font-size:20;v-text-kern:t;mso-text-shadow:auto" string="仅供内部审核"/>
          </v:shape>
        </w:pict>
      </w:r>
      <w:r>
        <w:pict>
          <v:shape id="_x0000_s694" style="position:absolute;margin-left:491.92pt;margin-top:472.067pt;mso-position-vertical-relative:text;mso-position-horizontal-relative:text;width:119.4pt;height:18.85pt;z-index:251810816;rotation:330;" fillcolor="#404040" filled="true" stroked="false" type="#_x0000_t136">
            <v:fill opacity="0.400000"/>
            <v:textpath style="font-family:&quot;STSong&quot;;font-size:20;v-text-kern:t;mso-text-shadow:auto" string="仅供内部审核"/>
          </v:shape>
        </w:pict>
      </w:r>
      <w:r>
        <w:pict>
          <v:shape id="_x0000_s696" style="position:absolute;margin-left:391.92pt;margin-top:716.067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8" name="IM 58"/>
            <wp:cNvGraphicFramePr/>
            <a:graphic>
              <a:graphicData uri="http://schemas.openxmlformats.org/drawingml/2006/picture">
                <pic:pic>
                  <pic:nvPicPr>
                    <pic:cNvPr id="58" name="IM 58"/>
                    <pic:cNvPicPr/>
                  </pic:nvPicPr>
                  <pic:blipFill>
                    <a:blip r:embed="rId99"/>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98"/>
          <w:pgSz w:w="11900" w:h="16840"/>
          <w:pgMar w:top="642" w:right="0" w:bottom="340" w:left="0" w:header="326" w:footer="93" w:gutter="0"/>
        </w:sectPr>
        <w:rPr/>
      </w:pPr>
    </w:p>
    <w:p>
      <w:pPr>
        <w:pStyle w:val="BodyText"/>
        <w:spacing w:line="277" w:lineRule="auto"/>
        <w:rPr/>
      </w:pPr>
      <w:r>
        <w:pict>
          <v:shape id="_x0000_s698" style="position:absolute;margin-left:491.92pt;margin-top:44.1055pt;mso-position-vertical-relative:page;mso-position-horizontal-relative:page;width:119.4pt;height:18.85pt;z-index:251813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0" name="IM 60"/>
            <wp:cNvGraphicFramePr/>
            <a:graphic>
              <a:graphicData uri="http://schemas.openxmlformats.org/drawingml/2006/picture">
                <pic:pic>
                  <pic:nvPicPr>
                    <pic:cNvPr id="60" name="IM 60"/>
                    <pic:cNvPicPr/>
                  </pic:nvPicPr>
                  <pic:blipFill>
                    <a:blip r:embed="rId101"/>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100"/>
          <w:pgSz w:w="11900" w:h="16840"/>
          <w:pgMar w:top="642" w:right="0" w:bottom="340" w:left="0" w:header="326" w:footer="93" w:gutter="0"/>
        </w:sectPr>
        <w:rPr/>
      </w:pPr>
    </w:p>
    <w:p>
      <w:pPr>
        <w:pStyle w:val="BodyText"/>
        <w:spacing w:line="277" w:lineRule="auto"/>
        <w:rPr/>
      </w:pPr>
      <w:r>
        <w:pict>
          <v:shape id="_x0000_s700" style="position:absolute;margin-left:491.92pt;margin-top:44.1055pt;mso-position-vertical-relative:page;mso-position-horizontal-relative:page;width:119.4pt;height:18.85pt;z-index:2518261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02" style="position:absolute;margin-left:-13.08pt;margin-top:228.067pt;mso-position-vertical-relative:text;mso-position-horizontal-relative:text;width:119.4pt;height:18.85pt;z-index:251822080;rotation:330;" fillcolor="#404040" filled="true" stroked="false" type="#_x0000_t136">
            <v:fill opacity="0.400000"/>
            <v:textpath style="font-family:&quot;STSong&quot;;font-size:20;v-text-kern:t;mso-text-shadow:auto" string="仅供内部审核"/>
          </v:shape>
        </w:pict>
      </w:r>
      <w:r>
        <w:pict>
          <v:shape id="_x0000_s704" style="position:absolute;margin-left:391.92pt;margin-top:228.067pt;mso-position-vertical-relative:text;mso-position-horizontal-relative:text;width:119.4pt;height:18.85pt;z-index:251823104;rotation:330;" fillcolor="#404040" filled="true" stroked="false" type="#_x0000_t136">
            <v:fill opacity="0.400000"/>
            <v:textpath style="font-family:&quot;STSong&quot;;font-size:20;v-text-kern:t;mso-text-shadow:auto" string="仅供内部审核"/>
          </v:shape>
        </w:pict>
      </w:r>
      <w:r>
        <w:pict>
          <v:shape id="_x0000_s706" style="position:absolute;margin-left:86.92pt;margin-top:472.067pt;mso-position-vertical-relative:text;mso-position-horizontal-relative:text;width:119.4pt;height:18.85pt;z-index:251824128;rotation:330;" fillcolor="#404040" filled="true" stroked="false" type="#_x0000_t136">
            <v:fill opacity="0.400000"/>
            <v:textpath style="font-family:&quot;STSong&quot;;font-size:20;v-text-kern:t;mso-text-shadow:auto" string="仅供内部审核"/>
          </v:shape>
        </w:pict>
      </w:r>
      <w:r>
        <w:pict>
          <v:shape id="_x0000_s708" style="position:absolute;margin-left:-13.08pt;margin-top:716.067pt;mso-position-vertical-relative:text;mso-position-horizontal-relative:text;width:119.4pt;height:18.85pt;z-index:251821056;rotation:330;" fillcolor="#404040" filled="true" stroked="false" type="#_x0000_t136">
            <v:fill opacity="0.400000"/>
            <v:textpath style="font-family:&quot;STSong&quot;;font-size:20;v-text-kern:t;mso-text-shadow:auto" string="仅供内部审核"/>
          </v:shape>
        </w:pict>
      </w:r>
      <w:r>
        <w:pict>
          <v:shape id="_x0000_s710" style="position:absolute;margin-left:491.92pt;margin-top:472.067pt;mso-position-vertical-relative:text;mso-position-horizontal-relative:text;width:119.4pt;height:18.85pt;z-index:251825152;rotation:330;" fillcolor="#404040" filled="true" stroked="false" type="#_x0000_t136">
            <v:fill opacity="0.400000"/>
            <v:textpath style="font-family:&quot;STSong&quot;;font-size:20;v-text-kern:t;mso-text-shadow:auto" string="仅供内部审核"/>
          </v:shape>
        </w:pict>
      </w:r>
      <w:r>
        <w:pict>
          <v:shape id="_x0000_s712" style="position:absolute;margin-left:391.92pt;margin-top:716.067pt;mso-position-vertical-relative:text;mso-position-horizontal-relative:text;width:119.4pt;height:18.85pt;z-index:2518272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2" name="IM 62"/>
            <wp:cNvGraphicFramePr/>
            <a:graphic>
              <a:graphicData uri="http://schemas.openxmlformats.org/drawingml/2006/picture">
                <pic:pic>
                  <pic:nvPicPr>
                    <pic:cNvPr id="62" name="IM 62"/>
                    <pic:cNvPicPr/>
                  </pic:nvPicPr>
                  <pic:blipFill>
                    <a:blip r:embed="rId103"/>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102"/>
          <w:pgSz w:w="11900" w:h="16840"/>
          <w:pgMar w:top="642" w:right="0" w:bottom="340" w:left="0" w:header="326" w:footer="93" w:gutter="0"/>
        </w:sectPr>
        <w:rPr/>
      </w:pPr>
    </w:p>
    <w:p>
      <w:pPr>
        <w:pStyle w:val="BodyText"/>
        <w:spacing w:line="277" w:lineRule="auto"/>
        <w:rPr/>
      </w:pPr>
      <w:r>
        <w:pict>
          <v:shape id="_x0000_s714" style="position:absolute;margin-left:491.92pt;margin-top:44.1055pt;mso-position-vertical-relative:page;mso-position-horizontal-relative:page;width:119.4pt;height:18.85pt;z-index:251828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4" name="IM 64"/>
            <wp:cNvGraphicFramePr/>
            <a:graphic>
              <a:graphicData uri="http://schemas.openxmlformats.org/drawingml/2006/picture">
                <pic:pic>
                  <pic:nvPicPr>
                    <pic:cNvPr id="64" name="IM 64"/>
                    <pic:cNvPicPr/>
                  </pic:nvPicPr>
                  <pic:blipFill>
                    <a:blip r:embed="rId105"/>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104"/>
          <w:pgSz w:w="11900" w:h="16840"/>
          <w:pgMar w:top="642" w:right="0" w:bottom="340" w:left="0" w:header="326" w:footer="93" w:gutter="0"/>
        </w:sectPr>
        <w:rPr/>
      </w:pPr>
    </w:p>
    <w:p>
      <w:pPr>
        <w:pStyle w:val="BodyText"/>
        <w:spacing w:line="277" w:lineRule="auto"/>
        <w:rPr/>
      </w:pPr>
      <w:r>
        <w:pict>
          <v:shape id="_x0000_s716" style="position:absolute;margin-left:491.92pt;margin-top:44.1055pt;mso-position-vertical-relative:page;mso-position-horizontal-relative:page;width:119.4pt;height:18.85pt;z-index:2518394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15040" w:lineRule="exact"/>
        <w:rPr/>
      </w:pPr>
      <w:r>
        <w:pict>
          <v:shape id="_x0000_s718" style="position:absolute;margin-left:-13.08pt;margin-top:228.067pt;mso-position-vertical-relative:text;mso-position-horizontal-relative:text;width:119.4pt;height:18.85pt;z-index:251837440;rotation:330;" fillcolor="#404040" filled="true" stroked="false" type="#_x0000_t136">
            <v:fill opacity="0.400000"/>
            <v:textpath style="font-family:&quot;STSong&quot;;font-size:20;v-text-kern:t;mso-text-shadow:auto" string="仅供内部审核"/>
          </v:shape>
        </w:pict>
      </w:r>
      <w:r>
        <w:pict>
          <v:shape id="_x0000_s720" style="position:absolute;margin-left:391.92pt;margin-top:228.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pict>
          <v:shape id="_x0000_s722" style="position:absolute;margin-left:86.92pt;margin-top:472.067pt;mso-position-vertical-relative:text;mso-position-horizontal-relative:text;width:119.4pt;height:18.85pt;z-index:251835392;rotation:330;" fillcolor="#404040" filled="true" stroked="false" type="#_x0000_t136">
            <v:fill opacity="0.400000"/>
            <v:textpath style="font-family:&quot;STSong&quot;;font-size:20;v-text-kern:t;mso-text-shadow:auto" string="仅供内部审核"/>
          </v:shape>
        </w:pict>
      </w:r>
      <w:r>
        <w:pict>
          <v:shape id="_x0000_s724" style="position:absolute;margin-left:-13.08pt;margin-top:716.067pt;mso-position-vertical-relative:text;mso-position-horizontal-relative:text;width:119.4pt;height:18.85pt;z-index:251836416;rotation:330;" fillcolor="#404040" filled="true" stroked="false" type="#_x0000_t136">
            <v:fill opacity="0.400000"/>
            <v:textpath style="font-family:&quot;STSong&quot;;font-size:20;v-text-kern:t;mso-text-shadow:auto" string="仅供内部审核"/>
          </v:shape>
        </w:pict>
      </w:r>
      <w:r>
        <w:pict>
          <v:shape id="_x0000_s726" style="position:absolute;margin-left:491.92pt;margin-top:472.067pt;mso-position-vertical-relative:text;mso-position-horizontal-relative:text;width:119.4pt;height:18.85pt;z-index:251838464;rotation:330;" fillcolor="#404040" filled="true" stroked="false" type="#_x0000_t136">
            <v:fill opacity="0.400000"/>
            <v:textpath style="font-family:&quot;STSong&quot;;font-size:20;v-text-kern:t;mso-text-shadow:auto" string="仅供内部审核"/>
          </v:shape>
        </w:pict>
      </w:r>
      <w:r>
        <w:pict>
          <v:shape id="_x0000_s728" style="position:absolute;margin-left:391.92pt;margin-top:716.067pt;mso-position-vertical-relative:text;mso-position-horizontal-relative:text;width:119.4pt;height:18.85pt;z-index:2518415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600825" cy="9550449"/>
            <wp:effectExtent l="0" t="0" r="0" b="0"/>
            <wp:docPr id="66" name="IM 66"/>
            <wp:cNvGraphicFramePr/>
            <a:graphic>
              <a:graphicData uri="http://schemas.openxmlformats.org/drawingml/2006/picture">
                <pic:pic>
                  <pic:nvPicPr>
                    <pic:cNvPr id="66" name="IM 66"/>
                    <pic:cNvPicPr/>
                  </pic:nvPicPr>
                  <pic:blipFill>
                    <a:blip r:embed="rId107"/>
                    <a:stretch>
                      <a:fillRect/>
                    </a:stretch>
                  </pic:blipFill>
                  <pic:spPr>
                    <a:xfrm rot="0">
                      <a:off x="0" y="0"/>
                      <a:ext cx="6600825" cy="9550449"/>
                    </a:xfrm>
                    <a:prstGeom prst="rect">
                      <a:avLst/>
                    </a:prstGeom>
                  </pic:spPr>
                </pic:pic>
              </a:graphicData>
            </a:graphic>
          </wp:inline>
        </w:drawing>
      </w:r>
    </w:p>
    <w:p>
      <w:pPr>
        <w:spacing w:line="15040" w:lineRule="exact"/>
        <w:sectPr>
          <w:headerReference w:type="default" r:id="rId80"/>
          <w:footerReference w:type="default" r:id="rId106"/>
          <w:pgSz w:w="11900" w:h="16840"/>
          <w:pgMar w:top="642" w:right="0" w:bottom="340" w:left="0" w:header="326" w:footer="93" w:gutter="0"/>
        </w:sectPr>
        <w:rPr/>
      </w:pPr>
    </w:p>
    <w:p>
      <w:pPr>
        <w:pStyle w:val="BodyText"/>
        <w:spacing w:line="277" w:lineRule="auto"/>
        <w:rPr/>
      </w:pPr>
      <w:r>
        <w:pict>
          <v:shape id="_x0000_s730" style="position:absolute;margin-left:491.92pt;margin-top:44.1055pt;mso-position-vertical-relative:page;mso-position-horizontal-relative:page;width:119.4pt;height:18.85pt;z-index:2518425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3630" w:lineRule="exact"/>
        <w:rPr/>
      </w:pPr>
      <w:r>
        <w:rPr>
          <w:position w:val="-72"/>
        </w:rPr>
        <w:drawing>
          <wp:inline distT="0" distB="0" distL="0" distR="0">
            <wp:extent cx="6600825" cy="2305050"/>
            <wp:effectExtent l="0" t="0" r="0" b="0"/>
            <wp:docPr id="68" name="IM 68"/>
            <wp:cNvGraphicFramePr/>
            <a:graphic>
              <a:graphicData uri="http://schemas.openxmlformats.org/drawingml/2006/picture">
                <pic:pic>
                  <pic:nvPicPr>
                    <pic:cNvPr id="68" name="IM 68"/>
                    <pic:cNvPicPr/>
                  </pic:nvPicPr>
                  <pic:blipFill>
                    <a:blip r:embed="rId109"/>
                    <a:stretch>
                      <a:fillRect/>
                    </a:stretch>
                  </pic:blipFill>
                  <pic:spPr>
                    <a:xfrm rot="0">
                      <a:off x="0" y="0"/>
                      <a:ext cx="6600825" cy="2305050"/>
                    </a:xfrm>
                    <a:prstGeom prst="rect">
                      <a:avLst/>
                    </a:prstGeom>
                  </pic:spPr>
                </pic:pic>
              </a:graphicData>
            </a:graphic>
          </wp:inline>
        </w:drawing>
      </w:r>
    </w:p>
    <w:p>
      <w:pPr>
        <w:spacing w:line="3630" w:lineRule="exact"/>
        <w:sectPr>
          <w:headerReference w:type="default" r:id="rId83"/>
          <w:footerReference w:type="default" r:id="rId108"/>
          <w:pgSz w:w="11900" w:h="16840"/>
          <w:pgMar w:top="642" w:right="0" w:bottom="340" w:left="0" w:header="326" w:footer="93" w:gutter="0"/>
        </w:sectPr>
        <w:rPr/>
      </w:pPr>
    </w:p>
    <w:p>
      <w:pPr>
        <w:pStyle w:val="BodyText"/>
        <w:spacing w:line="267" w:lineRule="auto"/>
        <w:rPr/>
      </w:pPr>
      <w:r>
        <w:pict>
          <v:shape id="_x0000_s732" style="position:absolute;margin-left:312.92pt;margin-top:45.1055pt;mso-position-vertical-relative:page;mso-position-horizontal-relative:page;width:119.4pt;height:18.85pt;z-index:251851776;rotation:330;" o:allowincell="f" fillcolor="#404040" filled="true" stroked="false" type="#_x0000_t136">
            <v:fill opacity="0.400000"/>
            <v:textpath style="font-family:&quot;STSong&quot;;font-size:20;v-text-kern:t;mso-text-shadow:auto" string="仅供内部审核"/>
          </v:shape>
        </w:pict>
      </w:r>
      <w:r>
        <w:pict>
          <v:shape id="_x0000_s734" style="position:absolute;margin-left:638.92pt;margin-top:45.1055pt;mso-position-vertical-relative:page;mso-position-horizontal-relative:page;width:119.4pt;height:18.85pt;z-index:2518528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445"/>
        <w:spacing w:line="9330" w:lineRule="exact"/>
        <w:rPr/>
      </w:pPr>
      <w:r>
        <w:pict>
          <v:shape id="_x0000_s736" style="position:absolute;margin-left:86.92pt;margin-top:228.073pt;mso-position-vertical-relative:text;mso-position-horizontal-relative:text;width:119.4pt;height:18.85pt;z-index:251854848;rotation:330;" fillcolor="#404040" filled="true" stroked="false" type="#_x0000_t136">
            <v:fill opacity="0.400000"/>
            <v:textpath style="font-family:&quot;STSong&quot;;font-size:20;v-text-kern:t;mso-text-shadow:auto" string="仅供内部审核"/>
          </v:shape>
        </w:pict>
      </w:r>
      <w:r>
        <w:pict>
          <v:shape id="_x0000_s738" style="position:absolute;margin-left:-45.0434pt;margin-top:347.362pt;mso-position-vertical-relative:text;mso-position-horizontal-relative:text;width:609.35pt;height:22.25pt;z-index:251849728;rotation:330;" fillcolor="#404040" filled="true" stroked="false" type="#_x0000_t136">
            <v:fill opacity="0.400000"/>
            <v:textpath style="font-family:&quot;STSong&quot;;font-size:20;v-text-kern:t;mso-text-shadow:auto" string="仅供内部审核                                                                          仅供内部审核"/>
          </v:shape>
        </w:pict>
      </w:r>
      <w:r>
        <w:pict>
          <v:shape id="_x0000_s740" style="position:absolute;margin-left:280.957pt;margin-top:347.362pt;mso-position-vertical-relative:text;mso-position-horizontal-relative:text;width:609.35pt;height:22.25pt;z-index:251850752;rotation:330;" fillcolor="#404040" filled="true" stroked="false" type="#_x0000_t136">
            <v:fill opacity="0.400000"/>
            <v:textpath style="font-family:&quot;STSong&quot;;font-size:20;v-text-kern:t;mso-text-shadow:auto" string="仅供内部审核                                                                          仅供内部审核"/>
          </v:shape>
        </w:pict>
      </w:r>
      <w:r>
        <w:pict>
          <v:shape id="_x0000_s742" style="position:absolute;margin-left:638.92pt;margin-top:470.073pt;mso-position-vertical-relative:text;mso-position-horizontal-relative:text;width:119.4pt;height:18.85pt;z-index:251853824;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91425" cy="5924550"/>
            <wp:effectExtent l="0" t="0" r="0" b="0"/>
            <wp:docPr id="70" name="IM 70"/>
            <wp:cNvGraphicFramePr/>
            <a:graphic>
              <a:graphicData uri="http://schemas.openxmlformats.org/drawingml/2006/picture">
                <pic:pic>
                  <pic:nvPicPr>
                    <pic:cNvPr id="70" name="IM 70"/>
                    <pic:cNvPicPr/>
                  </pic:nvPicPr>
                  <pic:blipFill>
                    <a:blip r:embed="rId111"/>
                    <a:stretch>
                      <a:fillRect/>
                    </a:stretch>
                  </pic:blipFill>
                  <pic:spPr>
                    <a:xfrm rot="0">
                      <a:off x="0" y="0"/>
                      <a:ext cx="7591425" cy="5924550"/>
                    </a:xfrm>
                    <a:prstGeom prst="rect">
                      <a:avLst/>
                    </a:prstGeom>
                  </pic:spPr>
                </pic:pic>
              </a:graphicData>
            </a:graphic>
          </wp:inline>
        </w:drawing>
      </w:r>
    </w:p>
    <w:p>
      <w:pPr>
        <w:spacing w:line="9330" w:lineRule="exact"/>
        <w:sectPr>
          <w:headerReference w:type="default" r:id="rId77"/>
          <w:footerReference w:type="default" r:id="rId110"/>
          <w:pgSz w:w="16840" w:h="11900"/>
          <w:pgMar w:top="642" w:right="0" w:bottom="340" w:left="0" w:header="326" w:footer="93" w:gutter="0"/>
        </w:sectPr>
        <w:rPr/>
      </w:pPr>
    </w:p>
    <w:p>
      <w:pPr>
        <w:pStyle w:val="BodyText"/>
        <w:spacing w:line="277" w:lineRule="auto"/>
        <w:rPr/>
      </w:pPr>
      <w:r>
        <w:pict>
          <v:shape id="_x0000_s744" style="position:absolute;margin-left:491.92pt;margin-top:44.1055pt;mso-position-vertical-relative:page;mso-position-horizontal-relative:page;width:119.4pt;height:18.85pt;z-index:251863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46" style="position:absolute;margin-left:-13.08pt;margin-top:228.067pt;mso-position-vertical-relative:text;mso-position-horizontal-relative:text;width:119.4pt;height:18.85pt;z-index:251859968;rotation:330;" fillcolor="#404040" filled="true" stroked="false" type="#_x0000_t136">
            <v:fill opacity="0.400000"/>
            <v:textpath style="font-family:&quot;STSong&quot;;font-size:20;v-text-kern:t;mso-text-shadow:auto" string="仅供内部审核"/>
          </v:shape>
        </w:pict>
      </w:r>
      <w:r>
        <w:pict>
          <v:shape id="_x0000_s748" style="position:absolute;margin-left:391.92pt;margin-top:228.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pict>
          <v:shape id="_x0000_s750" style="position:absolute;margin-left:86.92pt;margin-top:472.067pt;mso-position-vertical-relative:text;mso-position-horizontal-relative:text;width:119.4pt;height:18.85pt;z-index:251860992;rotation:330;" fillcolor="#404040" filled="true" stroked="false" type="#_x0000_t136">
            <v:fill opacity="0.400000"/>
            <v:textpath style="font-family:&quot;STSong&quot;;font-size:20;v-text-kern:t;mso-text-shadow:auto" string="仅供内部审核"/>
          </v:shape>
        </w:pict>
      </w:r>
      <w:r>
        <w:pict>
          <v:shape id="_x0000_s752" style="position:absolute;margin-left:-13.08pt;margin-top:716.067pt;mso-position-vertical-relative:text;mso-position-horizontal-relative:text;width:119.4pt;height:18.85pt;z-index:251858944;rotation:330;" fillcolor="#404040" filled="true" stroked="false" type="#_x0000_t136">
            <v:fill opacity="0.400000"/>
            <v:textpath style="font-family:&quot;STSong&quot;;font-size:20;v-text-kern:t;mso-text-shadow:auto" string="仅供内部审核"/>
          </v:shape>
        </w:pict>
      </w:r>
      <w:r>
        <w:pict>
          <v:shape id="_x0000_s754" style="position:absolute;margin-left:491.92pt;margin-top:472.067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pict>
          <v:shape id="_x0000_s756" style="position:absolute;margin-left:391.92pt;margin-top:716.067pt;mso-position-vertical-relative:text;mso-position-horizontal-relative:text;width:119.4pt;height:18.85pt;z-index:2518568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2" name="IM 72"/>
            <wp:cNvGraphicFramePr/>
            <a:graphic>
              <a:graphicData uri="http://schemas.openxmlformats.org/drawingml/2006/picture">
                <pic:pic>
                  <pic:nvPicPr>
                    <pic:cNvPr id="72" name="IM 72"/>
                    <pic:cNvPicPr/>
                  </pic:nvPicPr>
                  <pic:blipFill>
                    <a:blip r:embed="rId113"/>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112"/>
          <w:pgSz w:w="11900" w:h="16840"/>
          <w:pgMar w:top="642" w:right="0" w:bottom="340" w:left="0" w:header="326" w:footer="93" w:gutter="0"/>
        </w:sectPr>
        <w:rPr/>
      </w:pPr>
    </w:p>
    <w:p>
      <w:pPr>
        <w:pStyle w:val="BodyText"/>
        <w:spacing w:line="277" w:lineRule="auto"/>
        <w:rPr/>
      </w:pPr>
      <w:r>
        <w:pict>
          <v:shape id="_x0000_s758" style="position:absolute;margin-left:491.92pt;margin-top:44.1055pt;mso-position-vertical-relative:page;mso-position-horizontal-relative:page;width:119.4pt;height:18.85pt;z-index:2518640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74" name="IM 74"/>
            <wp:cNvGraphicFramePr/>
            <a:graphic>
              <a:graphicData uri="http://schemas.openxmlformats.org/drawingml/2006/picture">
                <pic:pic>
                  <pic:nvPicPr>
                    <pic:cNvPr id="74" name="IM 74"/>
                    <pic:cNvPicPr/>
                  </pic:nvPicPr>
                  <pic:blipFill>
                    <a:blip r:embed="rId115"/>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114"/>
          <w:pgSz w:w="11900" w:h="16840"/>
          <w:pgMar w:top="642" w:right="0" w:bottom="340" w:left="0" w:header="326" w:footer="93" w:gutter="0"/>
        </w:sectPr>
        <w:rPr/>
      </w:pPr>
    </w:p>
    <w:p>
      <w:pPr>
        <w:pStyle w:val="BodyText"/>
        <w:spacing w:line="267" w:lineRule="auto"/>
        <w:rPr/>
      </w:pPr>
      <w:r>
        <w:pict>
          <v:shape id="_x0000_s760" style="position:absolute;margin-left:312.92pt;margin-top:45.1055pt;mso-position-vertical-relative:page;mso-position-horizontal-relative:page;width:119.4pt;height:18.85pt;z-index:251875328;rotation:330;" o:allowincell="f" fillcolor="#404040" filled="true" stroked="false" type="#_x0000_t136">
            <v:fill opacity="0.400000"/>
            <v:textpath style="font-family:&quot;STSong&quot;;font-size:20;v-text-kern:t;mso-text-shadow:auto" string="仅供内部审核"/>
          </v:shape>
        </w:pict>
      </w:r>
      <w:r>
        <w:pict>
          <v:shape id="_x0000_s762" style="position:absolute;margin-left:638.92pt;margin-top:45.1055pt;mso-position-vertical-relative:page;mso-position-horizontal-relative:page;width:119.4pt;height:18.85pt;z-index:2518722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505"/>
        <w:spacing w:line="9330" w:lineRule="exact"/>
        <w:rPr/>
      </w:pPr>
      <w:r>
        <w:pict>
          <v:shape id="_x0000_s764" style="position:absolute;margin-left:86.92pt;margin-top:228.073pt;mso-position-vertical-relative:text;mso-position-horizontal-relative:text;width:119.4pt;height:18.85pt;z-index:251871232;rotation:330;" fillcolor="#404040" filled="true" stroked="false" type="#_x0000_t136">
            <v:fill opacity="0.400000"/>
            <v:textpath style="font-family:&quot;STSong&quot;;font-size:20;v-text-kern:t;mso-text-shadow:auto" string="仅供内部审核"/>
          </v:shape>
        </w:pict>
      </w:r>
      <w:r>
        <w:pict>
          <v:shape id="_x0000_s766" style="position:absolute;margin-left:-45.0434pt;margin-top:347.362pt;mso-position-vertical-relative:text;mso-position-horizontal-relative:text;width:609.35pt;height:22.25pt;z-index:251873280;rotation:330;" fillcolor="#404040" filled="true" stroked="false" type="#_x0000_t136">
            <v:fill opacity="0.400000"/>
            <v:textpath style="font-family:&quot;STSong&quot;;font-size:20;v-text-kern:t;mso-text-shadow:auto" string="仅供内部审核                                                                          仅供内部审核"/>
          </v:shape>
        </w:pict>
      </w:r>
      <w:r>
        <w:pict>
          <v:shape id="_x0000_s768" style="position:absolute;margin-left:280.957pt;margin-top:347.362pt;mso-position-vertical-relative:text;mso-position-horizontal-relative:text;width:609.35pt;height:22.25pt;z-index:251874304;rotation:330;" fillcolor="#404040" filled="true" stroked="false" type="#_x0000_t136">
            <v:fill opacity="0.400000"/>
            <v:textpath style="font-family:&quot;STSong&quot;;font-size:20;v-text-kern:t;mso-text-shadow:auto" string="仅供内部审核                                                                          仅供内部审核"/>
          </v:shape>
        </w:pict>
      </w:r>
      <w:r>
        <w:pict>
          <v:shape id="_x0000_s770" style="position:absolute;margin-left:638.92pt;margin-top:470.073pt;mso-position-vertical-relative:text;mso-position-horizontal-relative:text;width:119.4pt;height:18.85pt;z-index:251876352;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15225" cy="5924550"/>
            <wp:effectExtent l="0" t="0" r="0" b="0"/>
            <wp:docPr id="76" name="IM 76"/>
            <wp:cNvGraphicFramePr/>
            <a:graphic>
              <a:graphicData uri="http://schemas.openxmlformats.org/drawingml/2006/picture">
                <pic:pic>
                  <pic:nvPicPr>
                    <pic:cNvPr id="76" name="IM 76"/>
                    <pic:cNvPicPr/>
                  </pic:nvPicPr>
                  <pic:blipFill>
                    <a:blip r:embed="rId117"/>
                    <a:stretch>
                      <a:fillRect/>
                    </a:stretch>
                  </pic:blipFill>
                  <pic:spPr>
                    <a:xfrm rot="0">
                      <a:off x="0" y="0"/>
                      <a:ext cx="7515225" cy="5924550"/>
                    </a:xfrm>
                    <a:prstGeom prst="rect">
                      <a:avLst/>
                    </a:prstGeom>
                  </pic:spPr>
                </pic:pic>
              </a:graphicData>
            </a:graphic>
          </wp:inline>
        </w:drawing>
      </w:r>
    </w:p>
    <w:p>
      <w:pPr>
        <w:spacing w:line="9330" w:lineRule="exact"/>
        <w:sectPr>
          <w:headerReference w:type="default" r:id="rId77"/>
          <w:footerReference w:type="default" r:id="rId116"/>
          <w:pgSz w:w="16840" w:h="11900"/>
          <w:pgMar w:top="642" w:right="0" w:bottom="340" w:left="0" w:header="326" w:footer="93" w:gutter="0"/>
        </w:sectPr>
        <w:rPr/>
      </w:pPr>
    </w:p>
    <w:p>
      <w:pPr>
        <w:pStyle w:val="BodyText"/>
        <w:spacing w:line="277" w:lineRule="auto"/>
        <w:rPr/>
      </w:pPr>
      <w:r>
        <w:pict>
          <v:shape id="_x0000_s772" style="position:absolute;margin-left:491.92pt;margin-top:44.1055pt;mso-position-vertical-relative:page;mso-position-horizontal-relative:page;width:119.4pt;height:18.85pt;z-index:2518784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74" style="position:absolute;margin-left:-13.08pt;margin-top:228.067pt;mso-position-vertical-relative:text;mso-position-horizontal-relative:text;width:119.4pt;height:18.85pt;z-index:251881472;rotation:330;" fillcolor="#404040" filled="true" stroked="false" type="#_x0000_t136">
            <v:fill opacity="0.400000"/>
            <v:textpath style="font-family:&quot;STSong&quot;;font-size:20;v-text-kern:t;mso-text-shadow:auto" string="仅供内部审核"/>
          </v:shape>
        </w:pict>
      </w:r>
      <w:r>
        <w:pict>
          <v:shape id="_x0000_s776" style="position:absolute;margin-left:391.92pt;margin-top:228.067pt;mso-position-vertical-relative:text;mso-position-horizontal-relative:text;width:119.4pt;height:18.85pt;z-index:251879424;rotation:330;" fillcolor="#404040" filled="true" stroked="false" type="#_x0000_t136">
            <v:fill opacity="0.400000"/>
            <v:textpath style="font-family:&quot;STSong&quot;;font-size:20;v-text-kern:t;mso-text-shadow:auto" string="仅供内部审核"/>
          </v:shape>
        </w:pict>
      </w:r>
      <w:r>
        <w:pict>
          <v:shape id="_x0000_s778" style="position:absolute;margin-left:86.92pt;margin-top:472.067pt;mso-position-vertical-relative:text;mso-position-horizontal-relative:text;width:119.4pt;height:18.85pt;z-index:251883520;rotation:330;" fillcolor="#404040" filled="true" stroked="false" type="#_x0000_t136">
            <v:fill opacity="0.400000"/>
            <v:textpath style="font-family:&quot;STSong&quot;;font-size:20;v-text-kern:t;mso-text-shadow:auto" string="仅供内部审核"/>
          </v:shape>
        </w:pict>
      </w:r>
      <w:r>
        <w:pict>
          <v:shape id="_x0000_s780" style="position:absolute;margin-left:-13.08pt;margin-top:716.067pt;mso-position-vertical-relative:text;mso-position-horizontal-relative:text;width:119.4pt;height:18.85pt;z-index:251884544;rotation:330;" fillcolor="#404040" filled="true" stroked="false" type="#_x0000_t136">
            <v:fill opacity="0.400000"/>
            <v:textpath style="font-family:&quot;STSong&quot;;font-size:20;v-text-kern:t;mso-text-shadow:auto" string="仅供内部审核"/>
          </v:shape>
        </w:pict>
      </w:r>
      <w:r>
        <w:pict>
          <v:shape id="_x0000_s782" style="position:absolute;margin-left:491.92pt;margin-top:472.067pt;mso-position-vertical-relative:text;mso-position-horizontal-relative:text;width:119.4pt;height:18.85pt;z-index:251882496;rotation:330;" fillcolor="#404040" filled="true" stroked="false" type="#_x0000_t136">
            <v:fill opacity="0.400000"/>
            <v:textpath style="font-family:&quot;STSong&quot;;font-size:20;v-text-kern:t;mso-text-shadow:auto" string="仅供内部审核"/>
          </v:shape>
        </w:pict>
      </w:r>
      <w:r>
        <w:pict>
          <v:shape id="_x0000_s784" style="position:absolute;margin-left:391.92pt;margin-top:716.067pt;mso-position-vertical-relative:text;mso-position-horizontal-relative:text;width:119.4pt;height:18.85pt;z-index:2518804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8" name="IM 78"/>
            <wp:cNvGraphicFramePr/>
            <a:graphic>
              <a:graphicData uri="http://schemas.openxmlformats.org/drawingml/2006/picture">
                <pic:pic>
                  <pic:nvPicPr>
                    <pic:cNvPr id="78" name="IM 78"/>
                    <pic:cNvPicPr/>
                  </pic:nvPicPr>
                  <pic:blipFill>
                    <a:blip r:embed="rId119"/>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118"/>
          <w:pgSz w:w="11900" w:h="16840"/>
          <w:pgMar w:top="642" w:right="0" w:bottom="340" w:left="0" w:header="326" w:footer="93" w:gutter="0"/>
        </w:sectPr>
        <w:rPr/>
      </w:pPr>
    </w:p>
    <w:p>
      <w:pPr>
        <w:pStyle w:val="BodyText"/>
        <w:spacing w:line="277" w:lineRule="auto"/>
        <w:rPr/>
      </w:pPr>
      <w:r>
        <w:pict>
          <v:shape id="_x0000_s786" style="position:absolute;margin-left:491.92pt;margin-top:44.1055pt;mso-position-vertical-relative:page;mso-position-horizontal-relative:page;width:119.4pt;height:18.85pt;z-index:251885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0" name="IM 80"/>
            <wp:cNvGraphicFramePr/>
            <a:graphic>
              <a:graphicData uri="http://schemas.openxmlformats.org/drawingml/2006/picture">
                <pic:pic>
                  <pic:nvPicPr>
                    <pic:cNvPr id="80" name="IM 80"/>
                    <pic:cNvPicPr/>
                  </pic:nvPicPr>
                  <pic:blipFill>
                    <a:blip r:embed="rId121"/>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120"/>
          <w:pgSz w:w="11900" w:h="16840"/>
          <w:pgMar w:top="642" w:right="0" w:bottom="340" w:left="0" w:header="326" w:footer="93" w:gutter="0"/>
        </w:sectPr>
        <w:rPr/>
      </w:pPr>
    </w:p>
    <w:p>
      <w:pPr>
        <w:pStyle w:val="BodyText"/>
        <w:spacing w:line="277" w:lineRule="auto"/>
        <w:rPr/>
      </w:pPr>
      <w:r>
        <w:pict>
          <v:shape id="_x0000_s788" style="position:absolute;margin-left:491.92pt;margin-top:44.1055pt;mso-position-vertical-relative:page;mso-position-horizontal-relative:page;width:119.4pt;height:18.85pt;z-index:251893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15040" w:lineRule="exact"/>
        <w:rPr/>
      </w:pPr>
      <w:r>
        <w:pict>
          <v:shape id="_x0000_s790" style="position:absolute;margin-left:-13.08pt;margin-top:228.067pt;mso-position-vertical-relative:text;mso-position-horizontal-relative:text;width:119.4pt;height:18.85pt;z-index:251897856;rotation:330;" fillcolor="#404040" filled="true" stroked="false" type="#_x0000_t136">
            <v:fill opacity="0.400000"/>
            <v:textpath style="font-family:&quot;STSong&quot;;font-size:20;v-text-kern:t;mso-text-shadow:auto" string="仅供内部审核"/>
          </v:shape>
        </w:pict>
      </w:r>
      <w:r>
        <w:pict>
          <v:shape id="_x0000_s792" style="position:absolute;margin-left:391.92pt;margin-top:228.067pt;mso-position-vertical-relative:text;mso-position-horizontal-relative:text;width:119.4pt;height:18.85pt;z-index:251894784;rotation:330;" fillcolor="#404040" filled="true" stroked="false" type="#_x0000_t136">
            <v:fill opacity="0.400000"/>
            <v:textpath style="font-family:&quot;STSong&quot;;font-size:20;v-text-kern:t;mso-text-shadow:auto" string="仅供内部审核"/>
          </v:shape>
        </w:pict>
      </w:r>
      <w:r>
        <w:pict>
          <v:shape id="_x0000_s794" style="position:absolute;margin-left:86.92pt;margin-top:472.067pt;mso-position-vertical-relative:text;mso-position-horizontal-relative:text;width:119.4pt;height:18.85pt;z-index:251892736;rotation:330;" fillcolor="#404040" filled="true" stroked="false" type="#_x0000_t136">
            <v:fill opacity="0.400000"/>
            <v:textpath style="font-family:&quot;STSong&quot;;font-size:20;v-text-kern:t;mso-text-shadow:auto" string="仅供内部审核"/>
          </v:shape>
        </w:pict>
      </w:r>
      <w:r>
        <w:pict>
          <v:shape id="_x0000_s796" style="position:absolute;margin-left:-13.08pt;margin-top:716.067pt;mso-position-vertical-relative:text;mso-position-horizontal-relative:text;width:119.4pt;height:18.85pt;z-index:251896832;rotation:330;" fillcolor="#404040" filled="true" stroked="false" type="#_x0000_t136">
            <v:fill opacity="0.400000"/>
            <v:textpath style="font-family:&quot;STSong&quot;;font-size:20;v-text-kern:t;mso-text-shadow:auto" string="仅供内部审核"/>
          </v:shape>
        </w:pict>
      </w:r>
      <w:r>
        <w:pict>
          <v:shape id="_x0000_s798" style="position:absolute;margin-left:491.92pt;margin-top:472.067pt;mso-position-vertical-relative:text;mso-position-horizontal-relative:text;width:119.4pt;height:18.85pt;z-index:251898880;rotation:330;" fillcolor="#404040" filled="true" stroked="false" type="#_x0000_t136">
            <v:fill opacity="0.400000"/>
            <v:textpath style="font-family:&quot;STSong&quot;;font-size:20;v-text-kern:t;mso-text-shadow:auto" string="仅供内部审核"/>
          </v:shape>
        </w:pict>
      </w:r>
      <w:r>
        <w:pict>
          <v:shape id="_x0000_s800" style="position:absolute;margin-left:391.92pt;margin-top:716.067pt;mso-position-vertical-relative:text;mso-position-horizontal-relative:text;width:119.4pt;height:18.85pt;z-index:2518958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711999" cy="9550449"/>
            <wp:effectExtent l="0" t="0" r="0" b="0"/>
            <wp:docPr id="82" name="IM 82"/>
            <wp:cNvGraphicFramePr/>
            <a:graphic>
              <a:graphicData uri="http://schemas.openxmlformats.org/drawingml/2006/picture">
                <pic:pic>
                  <pic:nvPicPr>
                    <pic:cNvPr id="82" name="IM 82"/>
                    <pic:cNvPicPr/>
                  </pic:nvPicPr>
                  <pic:blipFill>
                    <a:blip r:embed="rId123"/>
                    <a:stretch>
                      <a:fillRect/>
                    </a:stretch>
                  </pic:blipFill>
                  <pic:spPr>
                    <a:xfrm rot="0">
                      <a:off x="0" y="0"/>
                      <a:ext cx="6711999" cy="9550449"/>
                    </a:xfrm>
                    <a:prstGeom prst="rect">
                      <a:avLst/>
                    </a:prstGeom>
                  </pic:spPr>
                </pic:pic>
              </a:graphicData>
            </a:graphic>
          </wp:inline>
        </w:drawing>
      </w:r>
    </w:p>
    <w:p>
      <w:pPr>
        <w:spacing w:line="15040" w:lineRule="exact"/>
        <w:sectPr>
          <w:headerReference w:type="default" r:id="rId80"/>
          <w:footerReference w:type="default" r:id="rId122"/>
          <w:pgSz w:w="11900" w:h="16840"/>
          <w:pgMar w:top="642" w:right="0" w:bottom="340" w:left="0" w:header="326" w:footer="93" w:gutter="0"/>
        </w:sectPr>
        <w:rPr/>
      </w:pPr>
    </w:p>
    <w:p>
      <w:pPr>
        <w:pStyle w:val="BodyText"/>
        <w:spacing w:line="277" w:lineRule="auto"/>
        <w:rPr/>
      </w:pPr>
      <w:r>
        <w:pict>
          <v:shape id="_x0000_s802" style="position:absolute;margin-left:491.92pt;margin-top:44.1055pt;mso-position-vertical-relative:page;mso-position-horizontal-relative:page;width:119.4pt;height:18.85pt;z-index:251899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3630" w:lineRule="exact"/>
        <w:rPr/>
      </w:pPr>
      <w:r>
        <w:rPr>
          <w:position w:val="-72"/>
        </w:rPr>
        <w:drawing>
          <wp:inline distT="0" distB="0" distL="0" distR="0">
            <wp:extent cx="6711999" cy="2305050"/>
            <wp:effectExtent l="0" t="0" r="0" b="0"/>
            <wp:docPr id="84" name="IM 84"/>
            <wp:cNvGraphicFramePr/>
            <a:graphic>
              <a:graphicData uri="http://schemas.openxmlformats.org/drawingml/2006/picture">
                <pic:pic>
                  <pic:nvPicPr>
                    <pic:cNvPr id="84" name="IM 84"/>
                    <pic:cNvPicPr/>
                  </pic:nvPicPr>
                  <pic:blipFill>
                    <a:blip r:embed="rId125"/>
                    <a:stretch>
                      <a:fillRect/>
                    </a:stretch>
                  </pic:blipFill>
                  <pic:spPr>
                    <a:xfrm rot="0">
                      <a:off x="0" y="0"/>
                      <a:ext cx="6711999" cy="2305050"/>
                    </a:xfrm>
                    <a:prstGeom prst="rect">
                      <a:avLst/>
                    </a:prstGeom>
                  </pic:spPr>
                </pic:pic>
              </a:graphicData>
            </a:graphic>
          </wp:inline>
        </w:drawing>
      </w:r>
    </w:p>
    <w:p>
      <w:pPr>
        <w:spacing w:line="3630" w:lineRule="exact"/>
        <w:sectPr>
          <w:headerReference w:type="default" r:id="rId83"/>
          <w:footerReference w:type="default" r:id="rId124"/>
          <w:pgSz w:w="11900" w:h="16840"/>
          <w:pgMar w:top="642" w:right="0" w:bottom="340" w:left="0" w:header="326" w:footer="93" w:gutter="0"/>
        </w:sectPr>
        <w:rPr/>
      </w:pPr>
    </w:p>
    <w:p>
      <w:pPr>
        <w:pStyle w:val="BodyText"/>
        <w:spacing w:line="277" w:lineRule="auto"/>
        <w:rPr/>
      </w:pPr>
      <w:r>
        <w:pict>
          <v:shape id="_x0000_s804" style="position:absolute;margin-left:491.92pt;margin-top:44.1055pt;mso-position-vertical-relative:page;mso-position-horizontal-relative:page;width:119.4pt;height:18.85pt;z-index:2519091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806" style="position:absolute;margin-left:-13.08pt;margin-top:228.067pt;mso-position-vertical-relative:text;mso-position-horizontal-relative:text;width:119.4pt;height:18.85pt;z-index:251912192;rotation:330;" fillcolor="#404040" filled="true" stroked="false" type="#_x0000_t136">
            <v:fill opacity="0.400000"/>
            <v:textpath style="font-family:&quot;STSong&quot;;font-size:20;v-text-kern:t;mso-text-shadow:auto" string="仅供内部审核"/>
          </v:shape>
        </w:pict>
      </w:r>
      <w:r>
        <w:pict>
          <v:shape id="_x0000_s808" style="position:absolute;margin-left:391.92pt;margin-top:228.067pt;mso-position-vertical-relative:text;mso-position-horizontal-relative:text;width:119.4pt;height:18.85pt;z-index:251913216;rotation:330;" fillcolor="#404040" filled="true" stroked="false" type="#_x0000_t136">
            <v:fill opacity="0.400000"/>
            <v:textpath style="font-family:&quot;STSong&quot;;font-size:20;v-text-kern:t;mso-text-shadow:auto" string="仅供内部审核"/>
          </v:shape>
        </w:pict>
      </w:r>
      <w:r>
        <w:pict>
          <v:shape id="_x0000_s810" style="position:absolute;margin-left:86.92pt;margin-top:472.067pt;mso-position-vertical-relative:text;mso-position-horizontal-relative:text;width:119.4pt;height:18.85pt;z-index:251908096;rotation:330;" fillcolor="#404040" filled="true" stroked="false" type="#_x0000_t136">
            <v:fill opacity="0.400000"/>
            <v:textpath style="font-family:&quot;STSong&quot;;font-size:20;v-text-kern:t;mso-text-shadow:auto" string="仅供内部审核"/>
          </v:shape>
        </w:pict>
      </w:r>
      <w:r>
        <w:pict>
          <v:shape id="_x0000_s812" style="position:absolute;margin-left:-13.08pt;margin-top:716.067pt;mso-position-vertical-relative:text;mso-position-horizontal-relative:text;width:119.4pt;height:18.85pt;z-index:251910144;rotation:330;" fillcolor="#404040" filled="true" stroked="false" type="#_x0000_t136">
            <v:fill opacity="0.400000"/>
            <v:textpath style="font-family:&quot;STSong&quot;;font-size:20;v-text-kern:t;mso-text-shadow:auto" string="仅供内部审核"/>
          </v:shape>
        </w:pict>
      </w:r>
      <w:r>
        <w:pict>
          <v:shape id="_x0000_s814" style="position:absolute;margin-left:491.92pt;margin-top:472.067pt;mso-position-vertical-relative:text;mso-position-horizontal-relative:text;width:119.4pt;height:18.85pt;z-index:251907072;rotation:330;" fillcolor="#404040" filled="true" stroked="false" type="#_x0000_t136">
            <v:fill opacity="0.400000"/>
            <v:textpath style="font-family:&quot;STSong&quot;;font-size:20;v-text-kern:t;mso-text-shadow:auto" string="仅供内部审核"/>
          </v:shape>
        </w:pict>
      </w:r>
      <w:r>
        <w:pict>
          <v:shape id="_x0000_s816" style="position:absolute;margin-left:391.92pt;margin-top:716.067pt;mso-position-vertical-relative:text;mso-position-horizontal-relative:text;width:119.4pt;height:18.85pt;z-index:2519111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86" name="IM 86"/>
            <wp:cNvGraphicFramePr/>
            <a:graphic>
              <a:graphicData uri="http://schemas.openxmlformats.org/drawingml/2006/picture">
                <pic:pic>
                  <pic:nvPicPr>
                    <pic:cNvPr id="86" name="IM 86"/>
                    <pic:cNvPicPr/>
                  </pic:nvPicPr>
                  <pic:blipFill>
                    <a:blip r:embed="rId127"/>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126"/>
          <w:pgSz w:w="11900" w:h="16840"/>
          <w:pgMar w:top="642" w:right="0" w:bottom="340" w:left="0" w:header="326" w:footer="93" w:gutter="0"/>
        </w:sectPr>
        <w:rPr/>
      </w:pPr>
    </w:p>
    <w:p>
      <w:pPr>
        <w:pStyle w:val="BodyText"/>
        <w:spacing w:line="277" w:lineRule="auto"/>
        <w:rPr/>
      </w:pPr>
      <w:r>
        <w:pict>
          <v:shape id="_x0000_s818" style="position:absolute;margin-left:491.92pt;margin-top:44.1055pt;mso-position-vertical-relative:page;mso-position-horizontal-relative:page;width:119.4pt;height:18.85pt;z-index:2519142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8" name="IM 88"/>
            <wp:cNvGraphicFramePr/>
            <a:graphic>
              <a:graphicData uri="http://schemas.openxmlformats.org/drawingml/2006/picture">
                <pic:pic>
                  <pic:nvPicPr>
                    <pic:cNvPr id="88" name="IM 88"/>
                    <pic:cNvPicPr/>
                  </pic:nvPicPr>
                  <pic:blipFill>
                    <a:blip r:embed="rId129"/>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128"/>
          <w:pgSz w:w="11900" w:h="16840"/>
          <w:pgMar w:top="642" w:right="0" w:bottom="340" w:left="0" w:header="326" w:footer="93" w:gutter="0"/>
        </w:sectPr>
        <w:rPr/>
      </w:pPr>
    </w:p>
    <w:p>
      <w:pPr>
        <w:pStyle w:val="BodyText"/>
        <w:spacing w:line="277" w:lineRule="auto"/>
        <w:rPr/>
      </w:pPr>
      <w:r>
        <w:pict>
          <v:shape id="_x0000_s820" style="position:absolute;margin-left:491.92pt;margin-top:44.1055pt;mso-position-vertical-relative:page;mso-position-horizontal-relative:page;width:119.4pt;height:18.85pt;z-index:251923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822" style="position:absolute;margin-left:-13.08pt;margin-top:228.067pt;mso-position-vertical-relative:text;mso-position-horizontal-relative:text;width:119.4pt;height:18.85pt;z-index:251926528;rotation:330;" fillcolor="#404040" filled="true" stroked="false" type="#_x0000_t136">
            <v:fill opacity="0.400000"/>
            <v:textpath style="font-family:&quot;STSong&quot;;font-size:20;v-text-kern:t;mso-text-shadow:auto" string="仅供内部审核"/>
          </v:shape>
        </w:pict>
      </w:r>
      <w:r>
        <w:pict>
          <v:shape id="_x0000_s824" style="position:absolute;margin-left:391.92pt;margin-top:228.067pt;mso-position-vertical-relative:text;mso-position-horizontal-relative:text;width:119.4pt;height:18.85pt;z-index:251921408;rotation:330;" fillcolor="#404040" filled="true" stroked="false" type="#_x0000_t136">
            <v:fill opacity="0.400000"/>
            <v:textpath style="font-family:&quot;STSong&quot;;font-size:20;v-text-kern:t;mso-text-shadow:auto" string="仅供内部审核"/>
          </v:shape>
        </w:pict>
      </w:r>
      <w:r>
        <w:pict>
          <v:shape id="_x0000_s826" style="position:absolute;margin-left:86.92pt;margin-top:472.067pt;mso-position-vertical-relative:text;mso-position-horizontal-relative:text;width:119.4pt;height:18.85pt;z-index:251924480;rotation:330;" fillcolor="#404040" filled="true" stroked="false" type="#_x0000_t136">
            <v:fill opacity="0.400000"/>
            <v:textpath style="font-family:&quot;STSong&quot;;font-size:20;v-text-kern:t;mso-text-shadow:auto" string="仅供内部审核"/>
          </v:shape>
        </w:pict>
      </w:r>
      <w:r>
        <w:pict>
          <v:shape id="_x0000_s828" style="position:absolute;margin-left:-13.08pt;margin-top:716.067pt;mso-position-vertical-relative:text;mso-position-horizontal-relative:text;width:119.4pt;height:18.85pt;z-index:251925504;rotation:330;" fillcolor="#404040" filled="true" stroked="false" type="#_x0000_t136">
            <v:fill opacity="0.400000"/>
            <v:textpath style="font-family:&quot;STSong&quot;;font-size:20;v-text-kern:t;mso-text-shadow:auto" string="仅供内部审核"/>
          </v:shape>
        </w:pict>
      </w:r>
      <w:r>
        <w:pict>
          <v:shape id="_x0000_s830" style="position:absolute;margin-left:491.92pt;margin-top:472.067pt;mso-position-vertical-relative:text;mso-position-horizontal-relative:text;width:119.4pt;height:18.85pt;z-index:251922432;rotation:330;" fillcolor="#404040" filled="true" stroked="false" type="#_x0000_t136">
            <v:fill opacity="0.400000"/>
            <v:textpath style="font-family:&quot;STSong&quot;;font-size:20;v-text-kern:t;mso-text-shadow:auto" string="仅供内部审核"/>
          </v:shape>
        </w:pict>
      </w:r>
      <w:r>
        <w:pict>
          <v:shape id="_x0000_s832" style="position:absolute;margin-left:391.92pt;margin-top:716.067pt;mso-position-vertical-relative:text;mso-position-horizontal-relative:text;width:119.4pt;height:18.85pt;z-index:25192755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0" name="IM 90"/>
            <wp:cNvGraphicFramePr/>
            <a:graphic>
              <a:graphicData uri="http://schemas.openxmlformats.org/drawingml/2006/picture">
                <pic:pic>
                  <pic:nvPicPr>
                    <pic:cNvPr id="90" name="IM 90"/>
                    <pic:cNvPicPr/>
                  </pic:nvPicPr>
                  <pic:blipFill>
                    <a:blip r:embed="rId131"/>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130"/>
          <w:pgSz w:w="11900" w:h="16840"/>
          <w:pgMar w:top="642" w:right="0" w:bottom="340" w:left="0" w:header="326" w:footer="93" w:gutter="0"/>
        </w:sectPr>
        <w:rPr/>
      </w:pPr>
    </w:p>
    <w:p>
      <w:pPr>
        <w:pStyle w:val="BodyText"/>
        <w:spacing w:line="277" w:lineRule="auto"/>
        <w:rPr/>
      </w:pPr>
      <w:r>
        <w:pict>
          <v:shape id="_x0000_s834" style="position:absolute;margin-left:491.92pt;margin-top:44.1055pt;mso-position-vertical-relative:page;mso-position-horizontal-relative:page;width:119.4pt;height:18.85pt;z-index:2519285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92" name="IM 92"/>
            <wp:cNvGraphicFramePr/>
            <a:graphic>
              <a:graphicData uri="http://schemas.openxmlformats.org/drawingml/2006/picture">
                <pic:pic>
                  <pic:nvPicPr>
                    <pic:cNvPr id="92" name="IM 92"/>
                    <pic:cNvPicPr/>
                  </pic:nvPicPr>
                  <pic:blipFill>
                    <a:blip r:embed="rId133"/>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3"/>
          <w:footerReference w:type="default" r:id="rId132"/>
          <w:pgSz w:w="11900" w:h="16840"/>
          <w:pgMar w:top="642" w:right="0" w:bottom="340" w:left="0" w:header="326" w:footer="93" w:gutter="0"/>
        </w:sectPr>
        <w:rPr/>
      </w:pPr>
    </w:p>
    <w:p>
      <w:pPr>
        <w:pStyle w:val="BodyText"/>
        <w:spacing w:line="277" w:lineRule="auto"/>
        <w:rPr/>
      </w:pPr>
      <w:r>
        <w:pict>
          <v:shape id="_x0000_s836" style="position:absolute;margin-left:491.92pt;margin-top:44.1055pt;mso-position-vertical-relative:page;mso-position-horizontal-relative:page;width:119.4pt;height:18.85pt;z-index:251941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838" style="position:absolute;margin-left:-13.08pt;margin-top:228.067pt;mso-position-vertical-relative:text;mso-position-horizontal-relative:text;width:119.4pt;height:18.85pt;z-index:251939840;rotation:330;" fillcolor="#404040" filled="true" stroked="false" type="#_x0000_t136">
            <v:fill opacity="0.400000"/>
            <v:textpath style="font-family:&quot;STSong&quot;;font-size:20;v-text-kern:t;mso-text-shadow:auto" string="仅供内部审核"/>
          </v:shape>
        </w:pict>
      </w:r>
      <w:r>
        <w:pict>
          <v:shape id="_x0000_s840" style="position:absolute;margin-left:391.92pt;margin-top:228.067pt;mso-position-vertical-relative:text;mso-position-horizontal-relative:text;width:119.4pt;height:18.85pt;z-index:251940864;rotation:330;" fillcolor="#404040" filled="true" stroked="false" type="#_x0000_t136">
            <v:fill opacity="0.400000"/>
            <v:textpath style="font-family:&quot;STSong&quot;;font-size:20;v-text-kern:t;mso-text-shadow:auto" string="仅供内部审核"/>
          </v:shape>
        </w:pict>
      </w:r>
      <w:r>
        <w:pict>
          <v:shape id="_x0000_s842" style="position:absolute;margin-left:86.92pt;margin-top:472.067pt;mso-position-vertical-relative:text;mso-position-horizontal-relative:text;width:119.4pt;height:18.85pt;z-index:251936768;rotation:330;" fillcolor="#404040" filled="true" stroked="false" type="#_x0000_t136">
            <v:fill opacity="0.400000"/>
            <v:textpath style="font-family:&quot;STSong&quot;;font-size:20;v-text-kern:t;mso-text-shadow:auto" string="仅供内部审核"/>
          </v:shape>
        </w:pict>
      </w:r>
      <w:r>
        <w:pict>
          <v:shape id="_x0000_s844" style="position:absolute;margin-left:-13.08pt;margin-top:716.067pt;mso-position-vertical-relative:text;mso-position-horizontal-relative:text;width:119.4pt;height:18.85pt;z-index:251935744;rotation:330;" fillcolor="#404040" filled="true" stroked="false" type="#_x0000_t136">
            <v:fill opacity="0.400000"/>
            <v:textpath style="font-family:&quot;STSong&quot;;font-size:20;v-text-kern:t;mso-text-shadow:auto" string="仅供内部审核"/>
          </v:shape>
        </w:pict>
      </w:r>
      <w:r>
        <w:pict>
          <v:shape id="_x0000_s846" style="position:absolute;margin-left:491.92pt;margin-top:472.067pt;mso-position-vertical-relative:text;mso-position-horizontal-relative:text;width:119.4pt;height:18.85pt;z-index:251937792;rotation:330;" fillcolor="#404040" filled="true" stroked="false" type="#_x0000_t136">
            <v:fill opacity="0.400000"/>
            <v:textpath style="font-family:&quot;STSong&quot;;font-size:20;v-text-kern:t;mso-text-shadow:auto" string="仅供内部审核"/>
          </v:shape>
        </w:pict>
      </w:r>
      <w:r>
        <w:pict>
          <v:shape id="_x0000_s848" style="position:absolute;margin-left:391.92pt;margin-top:716.067pt;mso-position-vertical-relative:text;mso-position-horizontal-relative:text;width:119.4pt;height:18.85pt;z-index:25193881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4" name="IM 94"/>
            <wp:cNvGraphicFramePr/>
            <a:graphic>
              <a:graphicData uri="http://schemas.openxmlformats.org/drawingml/2006/picture">
                <pic:pic>
                  <pic:nvPicPr>
                    <pic:cNvPr id="94" name="IM 94"/>
                    <pic:cNvPicPr/>
                  </pic:nvPicPr>
                  <pic:blipFill>
                    <a:blip r:embed="rId135"/>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0"/>
          <w:footerReference w:type="default" r:id="rId134"/>
          <w:pgSz w:w="11900" w:h="16840"/>
          <w:pgMar w:top="642" w:right="0" w:bottom="340" w:left="0" w:header="326" w:footer="93" w:gutter="0"/>
        </w:sectPr>
        <w:rPr/>
      </w:pPr>
    </w:p>
    <w:p>
      <w:pPr>
        <w:ind w:left="649"/>
        <w:spacing w:line="227" w:lineRule="auto"/>
        <w:rPr>
          <w:rFonts w:ascii="STSong" w:hAnsi="STSong" w:eastAsia="STSong" w:cs="STSong"/>
          <w:sz w:val="16"/>
          <w:szCs w:val="16"/>
        </w:rPr>
      </w:pPr>
      <w:r>
        <w:pict>
          <v:shape id="_x0000_s862" style="position:absolute;margin-left:86.92pt;margin-top:26.1683pt;mso-position-vertical-relative:text;mso-position-horizontal-relative:text;width:119.4pt;height:18.85pt;z-index:-251371520;rotation:330;" fillcolor="#404040" filled="true" stroked="false" type="#_x0000_t136">
            <v:fill opacity="0.400000"/>
            <v:textpath style="font-family:&quot;STSong&quot;;font-size:20;v-text-kern:t;mso-text-shadow:auto" string="仅供内部审核"/>
          </v:shape>
        </w:pict>
      </w:r>
      <w:r>
        <w:pict>
          <v:shape id="_x0000_s864" style="position:absolute;margin-left:491.92pt;margin-top:44.1055pt;mso-position-vertical-relative:page;mso-position-horizontal-relative:page;width:119.4pt;height:18.85pt;z-index:-251372544;rotation:330;" o:allowincell="f" fillcolor="#404040" filled="true" stroked="false" type="#_x0000_t136">
            <v:fill opacity="0.400000"/>
            <v:textpath style="font-family:&quot;STSong&quot;;font-size:20;v-text-kern:t;mso-text-shadow:auto" string="仅供内部审核"/>
          </v:shape>
        </w:pict>
      </w:r>
      <w:r>
        <w:pict>
          <v:shape id="_x0000_s866" style="position:absolute;margin-left:30.5pt;margin-top:12.0629pt;mso-position-vertical-relative:text;mso-position-horizontal-relative:text;width:535pt;height:1pt;z-index:-251373568;" filled="false" strokecolor="#646464" strokeweight="1.00pt" coordsize="10700,20" coordorigin="0,0" path="m0,10l10700,10e">
            <v:stroke joinstyle="miter" miterlimit="10"/>
          </v:shape>
        </w:pict>
      </w:r>
      <w:r>
        <w:rPr>
          <w:rFonts w:ascii="STSong" w:hAnsi="STSong" w:eastAsia="STSong" w:cs="STSong"/>
          <w:sz w:val="16"/>
          <w:szCs w:val="16"/>
          <w:spacing w:val="-1"/>
        </w:rPr>
        <w:t>兴县人民代表大会常务委员会办公室2025年部门预算公开报告</w:t>
      </w:r>
    </w:p>
    <w:p>
      <w:pPr>
        <w:spacing w:line="227" w:lineRule="auto"/>
        <w:sectPr>
          <w:headerReference w:type="default" r:id="rId136"/>
          <w:footerReference w:type="default" r:id="rId137"/>
          <w:pgSz w:w="11900" w:h="16840"/>
          <w:pgMar w:top="359" w:right="0" w:bottom="340" w:left="0" w:header="0" w:footer="93" w:gutter="0"/>
        </w:sectPr>
        <w:rPr>
          <w:rFonts w:ascii="STSong" w:hAnsi="STSong" w:eastAsia="STSong" w:cs="STSong"/>
          <w:sz w:val="16"/>
          <w:szCs w:val="16"/>
        </w:rPr>
      </w:pPr>
    </w:p>
    <w:p>
      <w:pPr>
        <w:pStyle w:val="BodyText"/>
        <w:spacing w:line="265" w:lineRule="auto"/>
        <w:rPr/>
      </w:pPr>
      <w:r/>
    </w:p>
    <w:p>
      <w:pPr>
        <w:pStyle w:val="BodyText"/>
        <w:spacing w:line="266" w:lineRule="auto"/>
        <w:rPr/>
      </w:pPr>
      <w:r/>
    </w:p>
    <w:p>
      <w:pPr>
        <w:ind w:left="4608"/>
        <w:spacing w:before="133" w:line="316" w:lineRule="exact"/>
        <w:outlineLvl w:val="0"/>
        <w:rPr>
          <w:rFonts w:ascii="Microsoft YaHei" w:hAnsi="Microsoft YaHei" w:eastAsia="Microsoft YaHei" w:cs="Microsoft YaHei"/>
          <w:sz w:val="31"/>
          <w:szCs w:val="31"/>
        </w:rPr>
      </w:pPr>
      <w:bookmarkStart w:name="bookmark34" w:id="49"/>
      <w:bookmarkEnd w:id="49"/>
      <w:r>
        <w:rPr>
          <w:rFonts w:ascii="Microsoft YaHei" w:hAnsi="Microsoft YaHei" w:eastAsia="Microsoft YaHei" w:cs="Microsoft YaHei"/>
          <w:sz w:val="31"/>
          <w:szCs w:val="31"/>
          <w:spacing w:val="16"/>
          <w:position w:val="-1"/>
        </w:rPr>
        <w:t>第四部分</w:t>
      </w:r>
      <w:r>
        <w:rPr>
          <w:rFonts w:ascii="Microsoft YaHei" w:hAnsi="Microsoft YaHei" w:eastAsia="Microsoft YaHei" w:cs="Microsoft YaHei"/>
          <w:sz w:val="31"/>
          <w:szCs w:val="31"/>
          <w:spacing w:val="16"/>
          <w:position w:val="-1"/>
        </w:rPr>
        <w:t xml:space="preserve"> </w:t>
      </w:r>
      <w:r>
        <w:rPr>
          <w:rFonts w:ascii="Microsoft YaHei" w:hAnsi="Microsoft YaHei" w:eastAsia="Microsoft YaHei" w:cs="Microsoft YaHei"/>
          <w:sz w:val="31"/>
          <w:szCs w:val="31"/>
          <w:spacing w:val="16"/>
          <w:position w:val="-1"/>
        </w:rPr>
        <w:t>名词解释</w:t>
      </w:r>
    </w:p>
    <w:p>
      <w:pPr>
        <w:pStyle w:val="BodyText"/>
        <w:spacing w:line="322" w:lineRule="auto"/>
        <w:rPr/>
      </w:pPr>
      <w:r/>
    </w:p>
    <w:p>
      <w:pPr>
        <w:ind w:left="1530" w:right="1474" w:firstLine="627"/>
        <w:spacing w:before="101" w:line="335" w:lineRule="auto"/>
        <w:rPr>
          <w:rFonts w:ascii="FangSong" w:hAnsi="FangSong" w:eastAsia="FangSong" w:cs="FangSong"/>
          <w:sz w:val="31"/>
          <w:szCs w:val="31"/>
        </w:rPr>
      </w:pPr>
      <w:r>
        <w:rPr>
          <w:rFonts w:ascii="SimHei" w:hAnsi="SimHei" w:eastAsia="SimHei" w:cs="SimHei"/>
          <w:sz w:val="31"/>
          <w:szCs w:val="31"/>
          <w:spacing w:val="16"/>
        </w:rPr>
        <w:t>一、基本支出：</w:t>
      </w:r>
      <w:r>
        <w:rPr>
          <w:rFonts w:ascii="FangSong" w:hAnsi="FangSong" w:eastAsia="FangSong" w:cs="FangSong"/>
          <w:sz w:val="31"/>
          <w:szCs w:val="31"/>
          <w:spacing w:val="16"/>
        </w:rPr>
        <w:t>指为保障机构正常运转、完成</w:t>
      </w:r>
      <w:r>
        <w:rPr>
          <w:rFonts w:ascii="FangSong" w:hAnsi="FangSong" w:eastAsia="FangSong" w:cs="FangSong"/>
          <w:sz w:val="31"/>
          <w:szCs w:val="31"/>
          <w:spacing w:val="-39"/>
        </w:rPr>
        <w:t xml:space="preserve"> </w:t>
      </w:r>
      <w:r>
        <w:rPr>
          <w:rFonts w:ascii="FangSong" w:hAnsi="FangSong" w:eastAsia="FangSong" w:cs="FangSong"/>
          <w:sz w:val="31"/>
          <w:szCs w:val="31"/>
          <w:spacing w:val="16"/>
        </w:rPr>
        <w:t>日常工作任</w:t>
      </w:r>
      <w:r>
        <w:rPr>
          <w:rFonts w:ascii="FangSong" w:hAnsi="FangSong" w:eastAsia="FangSong" w:cs="FangSong"/>
          <w:sz w:val="31"/>
          <w:szCs w:val="31"/>
          <w:spacing w:val="7"/>
        </w:rPr>
        <w:t>务而发生的人员支出和公用支出。</w:t>
      </w:r>
    </w:p>
    <w:p>
      <w:pPr>
        <w:ind w:left="1521" w:right="1474" w:firstLine="636"/>
        <w:spacing w:before="1" w:line="279" w:lineRule="auto"/>
        <w:rPr>
          <w:rFonts w:ascii="FangSong" w:hAnsi="FangSong" w:eastAsia="FangSong" w:cs="FangSong"/>
          <w:sz w:val="31"/>
          <w:szCs w:val="31"/>
        </w:rPr>
      </w:pPr>
      <w:r>
        <w:rPr>
          <w:rFonts w:ascii="SimHei" w:hAnsi="SimHei" w:eastAsia="SimHei" w:cs="SimHei"/>
          <w:sz w:val="31"/>
          <w:szCs w:val="31"/>
          <w:spacing w:val="20"/>
        </w:rPr>
        <w:t>二、项目支出：</w:t>
      </w:r>
      <w:r>
        <w:rPr>
          <w:rFonts w:ascii="FangSong" w:hAnsi="FangSong" w:eastAsia="FangSong" w:cs="FangSong"/>
          <w:sz w:val="31"/>
          <w:szCs w:val="31"/>
          <w:spacing w:val="20"/>
        </w:rPr>
        <w:t>指在基本支出之外为完成特定行政任务和</w:t>
      </w:r>
      <w:r>
        <w:rPr>
          <w:rFonts w:ascii="FangSong" w:hAnsi="FangSong" w:eastAsia="FangSong" w:cs="FangSong"/>
          <w:sz w:val="31"/>
          <w:szCs w:val="31"/>
          <w:spacing w:val="7"/>
        </w:rPr>
        <w:t>事业发展目标所发生的支出。</w:t>
      </w:r>
    </w:p>
    <w:p>
      <w:pPr>
        <w:ind w:left="1520" w:right="1474" w:firstLine="638"/>
        <w:spacing w:before="187" w:line="321" w:lineRule="auto"/>
        <w:rPr>
          <w:rFonts w:ascii="FangSong" w:hAnsi="FangSong" w:eastAsia="FangSong" w:cs="FangSong"/>
          <w:sz w:val="31"/>
          <w:szCs w:val="31"/>
        </w:rPr>
      </w:pPr>
      <w:r>
        <w:rPr>
          <w:rFonts w:ascii="SimHei" w:hAnsi="SimHei" w:eastAsia="SimHei" w:cs="SimHei"/>
          <w:sz w:val="31"/>
          <w:szCs w:val="31"/>
          <w:spacing w:val="19"/>
        </w:rPr>
        <w:t>三、</w:t>
      </w:r>
      <w:r>
        <w:rPr>
          <w:rFonts w:ascii="SimHei" w:hAnsi="SimHei" w:eastAsia="SimHei" w:cs="SimHei"/>
          <w:sz w:val="31"/>
          <w:szCs w:val="31"/>
          <w:spacing w:val="-115"/>
        </w:rPr>
        <w:t xml:space="preserve"> </w:t>
      </w:r>
      <w:r>
        <w:rPr>
          <w:rFonts w:ascii="SimHei" w:hAnsi="SimHei" w:eastAsia="SimHei" w:cs="SimHei"/>
          <w:sz w:val="31"/>
          <w:szCs w:val="31"/>
          <w:spacing w:val="19"/>
        </w:rPr>
        <w:t>“三公”经费：</w:t>
      </w:r>
      <w:r>
        <w:rPr>
          <w:rFonts w:ascii="FangSong" w:hAnsi="FangSong" w:eastAsia="FangSong" w:cs="FangSong"/>
          <w:sz w:val="31"/>
          <w:szCs w:val="31"/>
          <w:spacing w:val="19"/>
        </w:rPr>
        <w:t>指省直部门用财政拨款安排的因公出</w:t>
      </w:r>
      <w:r>
        <w:rPr>
          <w:rFonts w:ascii="FangSong" w:hAnsi="FangSong" w:eastAsia="FangSong" w:cs="FangSong"/>
          <w:sz w:val="31"/>
          <w:szCs w:val="31"/>
          <w:spacing w:val="16"/>
        </w:rPr>
        <w:t>国（境）</w:t>
      </w:r>
      <w:r>
        <w:rPr>
          <w:rFonts w:ascii="FangSong" w:hAnsi="FangSong" w:eastAsia="FangSong" w:cs="FangSong"/>
          <w:sz w:val="31"/>
          <w:szCs w:val="31"/>
          <w:spacing w:val="-75"/>
        </w:rPr>
        <w:t xml:space="preserve"> </w:t>
      </w:r>
      <w:r>
        <w:rPr>
          <w:rFonts w:ascii="FangSong" w:hAnsi="FangSong" w:eastAsia="FangSong" w:cs="FangSong"/>
          <w:sz w:val="31"/>
          <w:szCs w:val="31"/>
          <w:spacing w:val="16"/>
        </w:rPr>
        <w:t>费用、公务用车购置及运行费和公务接待费。其中：</w:t>
      </w:r>
      <w:r>
        <w:rPr>
          <w:rFonts w:ascii="FangSong" w:hAnsi="FangSong" w:eastAsia="FangSong" w:cs="FangSong"/>
          <w:sz w:val="31"/>
          <w:szCs w:val="31"/>
          <w:spacing w:val="12"/>
        </w:rPr>
        <w:t>因公出国（境）</w:t>
      </w:r>
      <w:r>
        <w:rPr>
          <w:rFonts w:ascii="FangSong" w:hAnsi="FangSong" w:eastAsia="FangSong" w:cs="FangSong"/>
          <w:sz w:val="31"/>
          <w:szCs w:val="31"/>
          <w:spacing w:val="-92"/>
        </w:rPr>
        <w:t xml:space="preserve"> </w:t>
      </w:r>
      <w:r>
        <w:rPr>
          <w:rFonts w:ascii="FangSong" w:hAnsi="FangSong" w:eastAsia="FangSong" w:cs="FangSong"/>
          <w:sz w:val="31"/>
          <w:szCs w:val="31"/>
          <w:spacing w:val="12"/>
        </w:rPr>
        <w:t>费用反映单位公务出国（境）</w:t>
      </w:r>
      <w:r>
        <w:rPr>
          <w:rFonts w:ascii="FangSong" w:hAnsi="FangSong" w:eastAsia="FangSong" w:cs="FangSong"/>
          <w:sz w:val="31"/>
          <w:szCs w:val="31"/>
          <w:spacing w:val="-84"/>
        </w:rPr>
        <w:t xml:space="preserve"> </w:t>
      </w:r>
      <w:r>
        <w:rPr>
          <w:rFonts w:ascii="FangSong" w:hAnsi="FangSong" w:eastAsia="FangSong" w:cs="FangSong"/>
          <w:sz w:val="31"/>
          <w:szCs w:val="31"/>
          <w:spacing w:val="12"/>
        </w:rPr>
        <w:t>的国际旅费、</w:t>
      </w:r>
      <w:r>
        <w:rPr>
          <w:rFonts w:ascii="FangSong" w:hAnsi="FangSong" w:eastAsia="FangSong" w:cs="FangSong"/>
          <w:sz w:val="31"/>
          <w:szCs w:val="31"/>
          <w:spacing w:val="-80"/>
        </w:rPr>
        <w:t xml:space="preserve"> </w:t>
      </w:r>
      <w:r>
        <w:rPr>
          <w:rFonts w:ascii="FangSong" w:hAnsi="FangSong" w:eastAsia="FangSong" w:cs="FangSong"/>
          <w:sz w:val="31"/>
          <w:szCs w:val="31"/>
          <w:spacing w:val="12"/>
        </w:rPr>
        <w:t>国</w:t>
      </w:r>
      <w:r>
        <w:rPr>
          <w:rFonts w:ascii="FangSong" w:hAnsi="FangSong" w:eastAsia="FangSong" w:cs="FangSong"/>
          <w:sz w:val="31"/>
          <w:szCs w:val="31"/>
          <w:spacing w:val="20"/>
        </w:rPr>
        <w:t>外城市间交通费、住宿费、伙食费、培训费、公</w:t>
      </w:r>
      <w:r>
        <w:rPr>
          <w:rFonts w:ascii="FangSong" w:hAnsi="FangSong" w:eastAsia="FangSong" w:cs="FangSong"/>
          <w:sz w:val="31"/>
          <w:szCs w:val="31"/>
          <w:spacing w:val="19"/>
        </w:rPr>
        <w:t>杂费等支出；</w:t>
      </w:r>
      <w:r>
        <w:rPr>
          <w:rFonts w:ascii="FangSong" w:hAnsi="FangSong" w:eastAsia="FangSong" w:cs="FangSong"/>
          <w:sz w:val="31"/>
          <w:szCs w:val="31"/>
          <w:spacing w:val="20"/>
        </w:rPr>
        <w:t>公务用车购置费反映公务用车购置支出（含车</w:t>
      </w:r>
      <w:r>
        <w:rPr>
          <w:rFonts w:ascii="FangSong" w:hAnsi="FangSong" w:eastAsia="FangSong" w:cs="FangSong"/>
          <w:sz w:val="31"/>
          <w:szCs w:val="31"/>
          <w:spacing w:val="19"/>
        </w:rPr>
        <w:t>辆购置税、牌照</w:t>
      </w:r>
      <w:r>
        <w:rPr>
          <w:rFonts w:ascii="FangSong" w:hAnsi="FangSong" w:eastAsia="FangSong" w:cs="FangSong"/>
          <w:sz w:val="31"/>
          <w:szCs w:val="31"/>
          <w:spacing w:val="18"/>
        </w:rPr>
        <w:t>费</w:t>
      </w:r>
      <w:r>
        <w:rPr>
          <w:rFonts w:ascii="FangSong" w:hAnsi="FangSong" w:eastAsia="FangSong" w:cs="FangSong"/>
          <w:sz w:val="31"/>
          <w:szCs w:val="31"/>
          <w:spacing w:val="4"/>
        </w:rPr>
        <w:t>）</w:t>
      </w:r>
      <w:r>
        <w:rPr>
          <w:rFonts w:ascii="FangSong" w:hAnsi="FangSong" w:eastAsia="FangSong" w:cs="FangSong"/>
          <w:sz w:val="31"/>
          <w:szCs w:val="31"/>
          <w:spacing w:val="-80"/>
        </w:rPr>
        <w:t xml:space="preserve"> </w:t>
      </w:r>
      <w:r>
        <w:rPr>
          <w:rFonts w:ascii="FangSong" w:hAnsi="FangSong" w:eastAsia="FangSong" w:cs="FangSong"/>
          <w:sz w:val="31"/>
          <w:szCs w:val="31"/>
          <w:spacing w:val="4"/>
        </w:rPr>
        <w:t>；</w:t>
      </w:r>
      <w:r>
        <w:rPr>
          <w:rFonts w:ascii="FangSong" w:hAnsi="FangSong" w:eastAsia="FangSong" w:cs="FangSong"/>
          <w:sz w:val="31"/>
          <w:szCs w:val="31"/>
          <w:spacing w:val="18"/>
        </w:rPr>
        <w:t>公务用车运行维护费反映单位按规定保留的公务用车燃</w:t>
      </w:r>
      <w:r>
        <w:rPr>
          <w:rFonts w:ascii="FangSong" w:hAnsi="FangSong" w:eastAsia="FangSong" w:cs="FangSong"/>
          <w:sz w:val="31"/>
          <w:szCs w:val="31"/>
          <w:spacing w:val="20"/>
        </w:rPr>
        <w:t>料费、维修费、过路过桥费、保险费、安全奖励</w:t>
      </w:r>
      <w:r>
        <w:rPr>
          <w:rFonts w:ascii="FangSong" w:hAnsi="FangSong" w:eastAsia="FangSong" w:cs="FangSong"/>
          <w:sz w:val="31"/>
          <w:szCs w:val="31"/>
          <w:spacing w:val="19"/>
        </w:rPr>
        <w:t>费用等支出；</w:t>
      </w:r>
      <w:r>
        <w:rPr>
          <w:rFonts w:ascii="FangSong" w:hAnsi="FangSong" w:eastAsia="FangSong" w:cs="FangSong"/>
          <w:sz w:val="31"/>
          <w:szCs w:val="31"/>
          <w:spacing w:val="20"/>
        </w:rPr>
        <w:t>公务接待费反映机关和参公事业单位按规定开</w:t>
      </w:r>
      <w:r>
        <w:rPr>
          <w:rFonts w:ascii="FangSong" w:hAnsi="FangSong" w:eastAsia="FangSong" w:cs="FangSong"/>
          <w:sz w:val="31"/>
          <w:szCs w:val="31"/>
          <w:spacing w:val="19"/>
        </w:rPr>
        <w:t>支的各类公务接</w:t>
      </w:r>
      <w:r>
        <w:rPr>
          <w:rFonts w:ascii="FangSong" w:hAnsi="FangSong" w:eastAsia="FangSong" w:cs="FangSong"/>
          <w:sz w:val="31"/>
          <w:szCs w:val="31"/>
          <w:spacing w:val="7"/>
        </w:rPr>
        <w:t>待（含外宾接待）支出。</w:t>
      </w:r>
    </w:p>
    <w:p>
      <w:pPr>
        <w:ind w:left="1521" w:right="1474" w:firstLine="650"/>
        <w:spacing w:before="187" w:line="279" w:lineRule="auto"/>
        <w:rPr>
          <w:rFonts w:ascii="FangSong" w:hAnsi="FangSong" w:eastAsia="FangSong" w:cs="FangSong"/>
          <w:sz w:val="31"/>
          <w:szCs w:val="31"/>
        </w:rPr>
      </w:pPr>
      <w:r>
        <w:rPr>
          <w:rFonts w:ascii="SimHei" w:hAnsi="SimHei" w:eastAsia="SimHei" w:cs="SimHei"/>
          <w:sz w:val="31"/>
          <w:szCs w:val="31"/>
          <w:spacing w:val="20"/>
        </w:rPr>
        <w:t>四、机关运行经费：</w:t>
      </w:r>
      <w:r>
        <w:rPr>
          <w:rFonts w:ascii="FangSong" w:hAnsi="FangSong" w:eastAsia="FangSong" w:cs="FangSong"/>
          <w:sz w:val="31"/>
          <w:szCs w:val="31"/>
          <w:spacing w:val="20"/>
        </w:rPr>
        <w:t>指行政单位和参照公务员法管理的事</w:t>
      </w:r>
      <w:r>
        <w:rPr>
          <w:rFonts w:ascii="FangSong" w:hAnsi="FangSong" w:eastAsia="FangSong" w:cs="FangSong"/>
          <w:sz w:val="31"/>
          <w:szCs w:val="31"/>
          <w:spacing w:val="8"/>
        </w:rPr>
        <w:t>业单位使用财政拨款安排的基本支出中的公用经费支出。</w:t>
      </w:r>
    </w:p>
    <w:p>
      <w:pPr>
        <w:ind w:left="1521" w:right="1474" w:firstLine="639"/>
        <w:spacing w:before="177" w:line="313" w:lineRule="auto"/>
        <w:rPr>
          <w:rFonts w:ascii="FangSong" w:hAnsi="FangSong" w:eastAsia="FangSong" w:cs="FangSong"/>
          <w:sz w:val="31"/>
          <w:szCs w:val="31"/>
        </w:rPr>
      </w:pPr>
      <w:r>
        <w:rPr>
          <w:rFonts w:ascii="SimHei" w:hAnsi="SimHei" w:eastAsia="SimHei" w:cs="SimHei"/>
          <w:sz w:val="31"/>
          <w:szCs w:val="31"/>
          <w:spacing w:val="20"/>
        </w:rPr>
        <w:t>五、政府购买服务：</w:t>
      </w:r>
      <w:r>
        <w:rPr>
          <w:rFonts w:ascii="FangSong" w:hAnsi="FangSong" w:eastAsia="FangSong" w:cs="FangSong"/>
          <w:sz w:val="31"/>
          <w:szCs w:val="31"/>
          <w:spacing w:val="20"/>
        </w:rPr>
        <w:t>根据我国现行政策规定，政府购买服</w:t>
      </w:r>
      <w:r>
        <w:rPr>
          <w:rFonts w:ascii="FangSong" w:hAnsi="FangSong" w:eastAsia="FangSong" w:cs="FangSong"/>
          <w:sz w:val="31"/>
          <w:szCs w:val="31"/>
          <w:spacing w:val="20"/>
        </w:rPr>
        <w:t>务，是指充分发挥市场机制作用，将国家机</w:t>
      </w:r>
      <w:r>
        <w:rPr>
          <w:rFonts w:ascii="FangSong" w:hAnsi="FangSong" w:eastAsia="FangSong" w:cs="FangSong"/>
          <w:sz w:val="31"/>
          <w:szCs w:val="31"/>
          <w:spacing w:val="19"/>
        </w:rPr>
        <w:t>关属于自身职责范</w:t>
      </w:r>
      <w:r>
        <w:rPr>
          <w:rFonts w:ascii="FangSong" w:hAnsi="FangSong" w:eastAsia="FangSong" w:cs="FangSong"/>
          <w:sz w:val="31"/>
          <w:szCs w:val="31"/>
          <w:spacing w:val="20"/>
        </w:rPr>
        <w:t>围且适合通过市场化方式提供的服务事项，</w:t>
      </w:r>
      <w:r>
        <w:rPr>
          <w:rFonts w:ascii="FangSong" w:hAnsi="FangSong" w:eastAsia="FangSong" w:cs="FangSong"/>
          <w:sz w:val="31"/>
          <w:szCs w:val="31"/>
          <w:spacing w:val="19"/>
        </w:rPr>
        <w:t>按照政府采购方式</w:t>
      </w:r>
      <w:r>
        <w:rPr>
          <w:rFonts w:ascii="FangSong" w:hAnsi="FangSong" w:eastAsia="FangSong" w:cs="FangSong"/>
          <w:sz w:val="31"/>
          <w:szCs w:val="31"/>
          <w:spacing w:val="20"/>
        </w:rPr>
        <w:t>和程序，交由符合条件的服务供应商承担，</w:t>
      </w:r>
      <w:r>
        <w:rPr>
          <w:rFonts w:ascii="FangSong" w:hAnsi="FangSong" w:eastAsia="FangSong" w:cs="FangSong"/>
          <w:sz w:val="31"/>
          <w:szCs w:val="31"/>
          <w:spacing w:val="19"/>
        </w:rPr>
        <w:t>并根据服务数量和</w:t>
      </w:r>
      <w:r>
        <w:rPr>
          <w:rFonts w:ascii="FangSong" w:hAnsi="FangSong" w:eastAsia="FangSong" w:cs="FangSong"/>
          <w:sz w:val="31"/>
          <w:szCs w:val="31"/>
          <w:spacing w:val="7"/>
        </w:rPr>
        <w:t>质量等情况向其支付费用的行为。</w:t>
      </w:r>
    </w:p>
    <w:p>
      <w:pPr>
        <w:ind w:left="2162"/>
        <w:spacing w:before="173" w:line="228" w:lineRule="auto"/>
        <w:rPr>
          <w:rFonts w:ascii="SimHei" w:hAnsi="SimHei" w:eastAsia="SimHei" w:cs="SimHei"/>
          <w:sz w:val="31"/>
          <w:szCs w:val="31"/>
        </w:rPr>
      </w:pPr>
      <w:r>
        <w:rPr>
          <w:rFonts w:ascii="SimHei" w:hAnsi="SimHei" w:eastAsia="SimHei" w:cs="SimHei"/>
          <w:sz w:val="31"/>
          <w:szCs w:val="31"/>
          <w:spacing w:val="6"/>
        </w:rPr>
        <w:t>六、财政专户管理资金：</w:t>
      </w:r>
    </w:p>
    <w:p>
      <w:pPr>
        <w:ind w:left="1531" w:right="1474" w:firstLine="633"/>
        <w:spacing w:before="219" w:line="335" w:lineRule="auto"/>
        <w:jc w:val="both"/>
        <w:rPr>
          <w:rFonts w:ascii="FangSong" w:hAnsi="FangSong" w:eastAsia="FangSong" w:cs="FangSong"/>
          <w:sz w:val="31"/>
          <w:szCs w:val="31"/>
        </w:rPr>
      </w:pPr>
      <w:r>
        <w:rPr>
          <w:rFonts w:ascii="FangSong" w:hAnsi="FangSong" w:eastAsia="FangSong" w:cs="FangSong"/>
          <w:sz w:val="31"/>
          <w:szCs w:val="31"/>
          <w:spacing w:val="24"/>
        </w:rPr>
        <w:t>专指教育收费</w:t>
      </w:r>
      <w:r>
        <w:rPr>
          <w:rFonts w:ascii="FangSong" w:hAnsi="FangSong" w:eastAsia="FangSong" w:cs="FangSong"/>
          <w:sz w:val="31"/>
          <w:szCs w:val="31"/>
          <w:spacing w:val="-83"/>
        </w:rPr>
        <w:t xml:space="preserve"> </w:t>
      </w:r>
      <w:r>
        <w:rPr>
          <w:rFonts w:ascii="FangSong" w:hAnsi="FangSong" w:eastAsia="FangSong" w:cs="FangSong"/>
          <w:sz w:val="31"/>
          <w:szCs w:val="31"/>
          <w:spacing w:val="24"/>
        </w:rPr>
        <w:t>，</w:t>
      </w:r>
      <w:r>
        <w:rPr>
          <w:rFonts w:ascii="FangSong" w:hAnsi="FangSong" w:eastAsia="FangSong" w:cs="FangSong"/>
          <w:sz w:val="31"/>
          <w:szCs w:val="31"/>
          <w:spacing w:val="-88"/>
        </w:rPr>
        <w:t xml:space="preserve"> </w:t>
      </w:r>
      <w:r>
        <w:rPr>
          <w:rFonts w:ascii="FangSong" w:hAnsi="FangSong" w:eastAsia="FangSong" w:cs="FangSong"/>
          <w:sz w:val="31"/>
          <w:szCs w:val="31"/>
          <w:spacing w:val="24"/>
        </w:rPr>
        <w:t>包括</w:t>
      </w:r>
      <w:r>
        <w:rPr>
          <w:rFonts w:ascii="FangSong" w:hAnsi="FangSong" w:eastAsia="FangSong" w:cs="FangSong"/>
          <w:sz w:val="31"/>
          <w:szCs w:val="31"/>
          <w:spacing w:val="-51"/>
        </w:rPr>
        <w:t xml:space="preserve"> </w:t>
      </w:r>
      <w:r>
        <w:rPr>
          <w:rFonts w:ascii="FangSong" w:hAnsi="FangSong" w:eastAsia="FangSong" w:cs="FangSong"/>
          <w:sz w:val="31"/>
          <w:szCs w:val="31"/>
          <w:spacing w:val="24"/>
        </w:rPr>
        <w:t>目前在财政专户管理的高中以上学</w:t>
      </w:r>
      <w:r>
        <w:rPr>
          <w:rFonts w:ascii="FangSong" w:hAnsi="FangSong" w:eastAsia="FangSong" w:cs="FangSong"/>
          <w:sz w:val="31"/>
          <w:szCs w:val="31"/>
          <w:spacing w:val="19"/>
        </w:rPr>
        <w:t>费、住宿费，高校委托培养费，党校收费，教育考试考务费，</w:t>
      </w:r>
      <w:r>
        <w:rPr>
          <w:rFonts w:ascii="FangSong" w:hAnsi="FangSong" w:eastAsia="FangSong" w:cs="FangSong"/>
          <w:sz w:val="31"/>
          <w:szCs w:val="31"/>
          <w:spacing w:val="3"/>
        </w:rPr>
        <w:t>函大、</w:t>
      </w:r>
      <w:r>
        <w:rPr>
          <w:rFonts w:ascii="FangSong" w:hAnsi="FangSong" w:eastAsia="FangSong" w:cs="FangSong"/>
          <w:sz w:val="31"/>
          <w:szCs w:val="31"/>
          <w:spacing w:val="-80"/>
        </w:rPr>
        <w:t xml:space="preserve"> </w:t>
      </w:r>
      <w:r>
        <w:rPr>
          <w:rFonts w:ascii="FangSong" w:hAnsi="FangSong" w:eastAsia="FangSong" w:cs="FangSong"/>
          <w:sz w:val="31"/>
          <w:szCs w:val="31"/>
          <w:spacing w:val="3"/>
        </w:rPr>
        <w:t>电大、夜大及短训班培训费等。</w:t>
      </w:r>
    </w:p>
    <w:p>
      <w:pPr>
        <w:spacing w:line="335" w:lineRule="auto"/>
        <w:sectPr>
          <w:headerReference w:type="default" r:id="rId138"/>
          <w:footerReference w:type="default" r:id="rId139"/>
          <w:pgSz w:w="11900" w:h="16840"/>
          <w:pgMar w:top="642" w:right="0" w:bottom="340" w:left="0" w:header="326" w:footer="93" w:gutter="0"/>
        </w:sectPr>
        <w:rPr>
          <w:rFonts w:ascii="FangSong" w:hAnsi="FangSong" w:eastAsia="FangSong" w:cs="FangSong"/>
          <w:sz w:val="31"/>
          <w:szCs w:val="31"/>
        </w:rPr>
      </w:pPr>
    </w:p>
    <w:p>
      <w:pPr>
        <w:pStyle w:val="BodyText"/>
        <w:spacing w:line="285" w:lineRule="auto"/>
        <w:rPr/>
      </w:pPr>
      <w:r/>
    </w:p>
    <w:p>
      <w:pPr>
        <w:pStyle w:val="BodyText"/>
        <w:spacing w:line="285" w:lineRule="auto"/>
        <w:rPr/>
      </w:pPr>
      <w:r/>
    </w:p>
    <w:p>
      <w:pPr>
        <w:ind w:left="1521" w:right="1474" w:firstLine="629"/>
        <w:spacing w:before="100" w:line="299" w:lineRule="auto"/>
        <w:rPr>
          <w:rFonts w:ascii="FangSong" w:hAnsi="FangSong" w:eastAsia="FangSong" w:cs="FangSong"/>
          <w:sz w:val="31"/>
          <w:szCs w:val="31"/>
        </w:rPr>
      </w:pPr>
      <w:r>
        <w:rPr>
          <w:rFonts w:ascii="SimHei" w:hAnsi="SimHei" w:eastAsia="SimHei" w:cs="SimHei"/>
          <w:sz w:val="31"/>
          <w:szCs w:val="31"/>
          <w:spacing w:val="21"/>
        </w:rPr>
        <w:t>七、单位资金：</w:t>
      </w:r>
      <w:r>
        <w:rPr>
          <w:rFonts w:ascii="FangSong" w:hAnsi="FangSong" w:eastAsia="FangSong" w:cs="FangSong"/>
          <w:sz w:val="31"/>
          <w:szCs w:val="31"/>
          <w:spacing w:val="21"/>
        </w:rPr>
        <w:t>是指除政府预算资金和财政专户管理</w:t>
      </w:r>
      <w:r>
        <w:rPr>
          <w:rFonts w:ascii="FangSong" w:hAnsi="FangSong" w:eastAsia="FangSong" w:cs="FangSong"/>
          <w:sz w:val="31"/>
          <w:szCs w:val="31"/>
          <w:spacing w:val="20"/>
        </w:rPr>
        <w:t>资金</w:t>
      </w:r>
      <w:r>
        <w:rPr>
          <w:rFonts w:ascii="FangSong" w:hAnsi="FangSong" w:eastAsia="FangSong" w:cs="FangSong"/>
          <w:sz w:val="31"/>
          <w:szCs w:val="31"/>
          <w:spacing w:val="20"/>
        </w:rPr>
        <w:t>以外的资金，包括事业收入、事业单位经营</w:t>
      </w:r>
      <w:r>
        <w:rPr>
          <w:rFonts w:ascii="FangSong" w:hAnsi="FangSong" w:eastAsia="FangSong" w:cs="FangSong"/>
          <w:sz w:val="31"/>
          <w:szCs w:val="31"/>
          <w:spacing w:val="19"/>
        </w:rPr>
        <w:t>收入、上级补助收</w:t>
      </w:r>
      <w:r>
        <w:rPr>
          <w:rFonts w:ascii="FangSong" w:hAnsi="FangSong" w:eastAsia="FangSong" w:cs="FangSong"/>
          <w:sz w:val="31"/>
          <w:szCs w:val="31"/>
          <w:spacing w:val="7"/>
        </w:rPr>
        <w:t>入、附属单位上缴收入、其他收入。</w:t>
      </w:r>
    </w:p>
    <w:p>
      <w:pPr>
        <w:ind w:left="1520" w:right="1474" w:firstLine="632"/>
        <w:spacing w:before="175" w:line="279" w:lineRule="auto"/>
        <w:rPr>
          <w:rFonts w:ascii="FangSong" w:hAnsi="FangSong" w:eastAsia="FangSong" w:cs="FangSong"/>
          <w:sz w:val="31"/>
          <w:szCs w:val="31"/>
        </w:rPr>
      </w:pPr>
      <w:r>
        <w:rPr>
          <w:rFonts w:ascii="SimHei" w:hAnsi="SimHei" w:eastAsia="SimHei" w:cs="SimHei"/>
          <w:sz w:val="31"/>
          <w:szCs w:val="31"/>
          <w:spacing w:val="21"/>
        </w:rPr>
        <w:t>八、上年结转：</w:t>
      </w:r>
      <w:r>
        <w:rPr>
          <w:rFonts w:ascii="FangSong" w:hAnsi="FangSong" w:eastAsia="FangSong" w:cs="FangSong"/>
          <w:sz w:val="31"/>
          <w:szCs w:val="31"/>
          <w:spacing w:val="21"/>
        </w:rPr>
        <w:t>指以前年度预算安排、结转到本</w:t>
      </w:r>
      <w:r>
        <w:rPr>
          <w:rFonts w:ascii="FangSong" w:hAnsi="FangSong" w:eastAsia="FangSong" w:cs="FangSong"/>
          <w:sz w:val="31"/>
          <w:szCs w:val="31"/>
          <w:spacing w:val="20"/>
        </w:rPr>
        <w:t>年仍按原</w:t>
      </w:r>
      <w:r>
        <w:rPr>
          <w:rFonts w:ascii="FangSong" w:hAnsi="FangSong" w:eastAsia="FangSong" w:cs="FangSong"/>
          <w:sz w:val="31"/>
          <w:szCs w:val="31"/>
          <w:spacing w:val="7"/>
        </w:rPr>
        <w:t>规定用途继续使用的资金。</w:t>
      </w:r>
    </w:p>
    <w:p>
      <w:pPr>
        <w:ind w:left="1521" w:right="1474" w:firstLine="638"/>
        <w:spacing w:before="187" w:line="295" w:lineRule="auto"/>
        <w:rPr>
          <w:rFonts w:ascii="FangSong" w:hAnsi="FangSong" w:eastAsia="FangSong" w:cs="FangSong"/>
          <w:sz w:val="31"/>
          <w:szCs w:val="31"/>
        </w:rPr>
      </w:pPr>
      <w:r>
        <w:rPr>
          <w:rFonts w:ascii="SimHei" w:hAnsi="SimHei" w:eastAsia="SimHei" w:cs="SimHei"/>
          <w:sz w:val="31"/>
          <w:szCs w:val="31"/>
          <w:spacing w:val="20"/>
        </w:rPr>
        <w:t>九、一般公共预算：</w:t>
      </w:r>
      <w:r>
        <w:rPr>
          <w:rFonts w:ascii="FangSong" w:hAnsi="FangSong" w:eastAsia="FangSong" w:cs="FangSong"/>
          <w:sz w:val="31"/>
          <w:szCs w:val="31"/>
          <w:spacing w:val="20"/>
        </w:rPr>
        <w:t>是指以税收为主体的财政收入，安排</w:t>
      </w:r>
      <w:r>
        <w:rPr>
          <w:rFonts w:ascii="FangSong" w:hAnsi="FangSong" w:eastAsia="FangSong" w:cs="FangSong"/>
          <w:sz w:val="31"/>
          <w:szCs w:val="31"/>
          <w:spacing w:val="20"/>
        </w:rPr>
        <w:t>用于保障和改善民生、推动经济社会发展、</w:t>
      </w:r>
      <w:r>
        <w:rPr>
          <w:rFonts w:ascii="FangSong" w:hAnsi="FangSong" w:eastAsia="FangSong" w:cs="FangSong"/>
          <w:sz w:val="31"/>
          <w:szCs w:val="31"/>
          <w:spacing w:val="19"/>
        </w:rPr>
        <w:t>维护国家安全、维</w:t>
      </w:r>
      <w:r>
        <w:rPr>
          <w:rFonts w:ascii="FangSong" w:hAnsi="FangSong" w:eastAsia="FangSong" w:cs="FangSong"/>
          <w:sz w:val="31"/>
          <w:szCs w:val="31"/>
          <w:spacing w:val="8"/>
        </w:rPr>
        <w:t>持国家机构正常运转等方面的收支预算。</w:t>
      </w:r>
    </w:p>
    <w:p>
      <w:pPr>
        <w:ind w:left="1521" w:right="1474" w:firstLine="635"/>
        <w:spacing w:before="193" w:line="296" w:lineRule="auto"/>
        <w:rPr>
          <w:rFonts w:ascii="FangSong" w:hAnsi="FangSong" w:eastAsia="FangSong" w:cs="FangSong"/>
          <w:sz w:val="31"/>
          <w:szCs w:val="31"/>
        </w:rPr>
      </w:pPr>
      <w:r>
        <w:rPr>
          <w:rFonts w:ascii="SimHei" w:hAnsi="SimHei" w:eastAsia="SimHei" w:cs="SimHei"/>
          <w:sz w:val="31"/>
          <w:szCs w:val="31"/>
          <w:spacing w:val="20"/>
        </w:rPr>
        <w:t>十、政府性基金预算：</w:t>
      </w:r>
      <w:r>
        <w:rPr>
          <w:rFonts w:ascii="FangSong" w:hAnsi="FangSong" w:eastAsia="FangSong" w:cs="FangSong"/>
          <w:sz w:val="31"/>
          <w:szCs w:val="31"/>
          <w:spacing w:val="20"/>
        </w:rPr>
        <w:t>是对依照法律、行政法规的规定在</w:t>
      </w:r>
      <w:r>
        <w:rPr>
          <w:rFonts w:ascii="FangSong" w:hAnsi="FangSong" w:eastAsia="FangSong" w:cs="FangSong"/>
          <w:sz w:val="31"/>
          <w:szCs w:val="31"/>
          <w:spacing w:val="27"/>
        </w:rPr>
        <w:t>一定期限内向特定对象征收</w:t>
      </w:r>
      <w:r>
        <w:rPr>
          <w:rFonts w:ascii="FangSong" w:hAnsi="FangSong" w:eastAsia="FangSong" w:cs="FangSong"/>
          <w:sz w:val="31"/>
          <w:szCs w:val="31"/>
          <w:spacing w:val="-84"/>
        </w:rPr>
        <w:t xml:space="preserve"> </w:t>
      </w:r>
      <w:r>
        <w:rPr>
          <w:rFonts w:ascii="FangSong" w:hAnsi="FangSong" w:eastAsia="FangSong" w:cs="FangSong"/>
          <w:sz w:val="31"/>
          <w:szCs w:val="31"/>
          <w:spacing w:val="27"/>
        </w:rPr>
        <w:t>、</w:t>
      </w:r>
      <w:r>
        <w:rPr>
          <w:rFonts w:ascii="FangSong" w:hAnsi="FangSong" w:eastAsia="FangSong" w:cs="FangSong"/>
          <w:sz w:val="31"/>
          <w:szCs w:val="31"/>
          <w:spacing w:val="-86"/>
        </w:rPr>
        <w:t xml:space="preserve"> </w:t>
      </w:r>
      <w:r>
        <w:rPr>
          <w:rFonts w:ascii="FangSong" w:hAnsi="FangSong" w:eastAsia="FangSong" w:cs="FangSong"/>
          <w:sz w:val="31"/>
          <w:szCs w:val="31"/>
          <w:spacing w:val="27"/>
        </w:rPr>
        <w:t>收取或者以其他方式筹集的资</w:t>
      </w:r>
      <w:r>
        <w:rPr>
          <w:rFonts w:ascii="FangSong" w:hAnsi="FangSong" w:eastAsia="FangSong" w:cs="FangSong"/>
          <w:sz w:val="31"/>
          <w:szCs w:val="31"/>
          <w:spacing w:val="8"/>
        </w:rPr>
        <w:t>金，专项用于特定公共事业发展的收支预算。</w:t>
      </w:r>
    </w:p>
    <w:p>
      <w:pPr>
        <w:ind w:left="1517" w:right="1474" w:firstLine="638"/>
        <w:spacing w:before="188" w:line="279" w:lineRule="auto"/>
        <w:rPr>
          <w:rFonts w:ascii="FangSong" w:hAnsi="FangSong" w:eastAsia="FangSong" w:cs="FangSong"/>
          <w:sz w:val="31"/>
          <w:szCs w:val="31"/>
        </w:rPr>
      </w:pPr>
      <w:r>
        <w:rPr>
          <w:rFonts w:ascii="SimHei" w:hAnsi="SimHei" w:eastAsia="SimHei" w:cs="SimHei"/>
          <w:sz w:val="31"/>
          <w:szCs w:val="31"/>
          <w:spacing w:val="20"/>
        </w:rPr>
        <w:t>十一、国有资本经营预算：</w:t>
      </w:r>
      <w:r>
        <w:rPr>
          <w:rFonts w:ascii="FangSong" w:hAnsi="FangSong" w:eastAsia="FangSong" w:cs="FangSong"/>
          <w:sz w:val="31"/>
          <w:szCs w:val="31"/>
          <w:spacing w:val="20"/>
        </w:rPr>
        <w:t>是对国有资本收益作出支出安</w:t>
      </w:r>
      <w:r>
        <w:rPr>
          <w:rFonts w:ascii="FangSong" w:hAnsi="FangSong" w:eastAsia="FangSong" w:cs="FangSong"/>
          <w:sz w:val="31"/>
          <w:szCs w:val="31"/>
          <w:spacing w:val="5"/>
        </w:rPr>
        <w:t>排的收支预算。</w:t>
      </w:r>
    </w:p>
    <w:p>
      <w:pPr>
        <w:ind w:left="1557" w:right="1530" w:firstLine="598"/>
        <w:spacing w:before="172" w:line="284" w:lineRule="auto"/>
        <w:rPr>
          <w:rFonts w:ascii="FangSong" w:hAnsi="FangSong" w:eastAsia="FangSong" w:cs="FangSong"/>
          <w:sz w:val="31"/>
          <w:szCs w:val="31"/>
        </w:rPr>
      </w:pPr>
      <w:r>
        <w:rPr>
          <w:rFonts w:ascii="SimHei" w:hAnsi="SimHei" w:eastAsia="SimHei" w:cs="SimHei"/>
          <w:sz w:val="31"/>
          <w:szCs w:val="31"/>
          <w:spacing w:val="16"/>
        </w:rPr>
        <w:t>十二、财政拨款：</w:t>
      </w:r>
      <w:r>
        <w:rPr>
          <w:rFonts w:ascii="SimHei" w:hAnsi="SimHei" w:eastAsia="SimHei" w:cs="SimHei"/>
          <w:sz w:val="31"/>
          <w:szCs w:val="31"/>
          <w:spacing w:val="-88"/>
        </w:rPr>
        <w:t xml:space="preserve"> </w:t>
      </w:r>
      <w:r>
        <w:rPr>
          <w:rFonts w:ascii="FangSong" w:hAnsi="FangSong" w:eastAsia="FangSong" w:cs="FangSong"/>
          <w:sz w:val="31"/>
          <w:szCs w:val="31"/>
          <w:spacing w:val="16"/>
        </w:rPr>
        <w:t>包含一般公共预算、政府</w:t>
      </w:r>
      <w:r>
        <w:rPr>
          <w:rFonts w:ascii="FangSong" w:hAnsi="FangSong" w:eastAsia="FangSong" w:cs="FangSong"/>
          <w:sz w:val="31"/>
          <w:szCs w:val="31"/>
          <w:spacing w:val="15"/>
        </w:rPr>
        <w:t>性基金预算、</w:t>
      </w:r>
      <w:r>
        <w:rPr>
          <w:rFonts w:ascii="FangSong" w:hAnsi="FangSong" w:eastAsia="FangSong" w:cs="FangSong"/>
          <w:sz w:val="31"/>
          <w:szCs w:val="31"/>
          <w:spacing w:val="2"/>
        </w:rPr>
        <w:t>国有资本经营预算。</w:t>
      </w:r>
    </w:p>
    <w:sectPr>
      <w:headerReference w:type="default" r:id="rId5"/>
      <w:footerReference w:type="default" r:id="rId140"/>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9" w:id="43"/>
    <w:bookmarkEnd w:id="43"/>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50" w:id="48"/>
    <w:bookmarkEnd w:id="48"/>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491.92pt;margin-top:44.105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391.92pt;margin-top:288.10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60" style="position:absolute;margin-left:30pt;margin-top:29.5pt;mso-position-vertical-relative:page;mso-position-horizontal-relative:page;width:535pt;height:1pt;z-index:-251565056;" o:allowincell="f" filled="false" strokecolor="#646464" strokeweight="1.00pt" coordsize="10700,20" coordorigin="0,0" path="m0,10l10700,10e">
          <v:stroke joinstyle="miter" miterlimit="10"/>
        </v:shape>
      </w:pict>
    </w:r>
    <w:r>
      <w:pict>
        <v:shape id="PowerPlusWaterMarkObject162" style="position:absolute;margin-left:391.92pt;margin-top:288.105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434.167pt;margin-top:312.78pt;mso-position-vertical-relative:page;mso-position-horizontal-relative:page;width:7.55pt;height:7.9pt;z-index:-251576320;" o:allowincell="f" fillcolor="#212529" filled="true" stroked="false" type="#_x0000_t136">
          <v:textpath style="font-family:&quot;SimSun&quot;;font-size:7.5;v-text-kern:t;mso-text-shadow:auto" string="39"/>
        </v:shape>
      </w:pict>
    </w:r>
    <w:r>
      <w:pict>
        <v:shape id="PowerPlusWaterMarkObject166" style="position:absolute;margin-left:501.849pt;margin-top:267.372pt;mso-position-vertical-relative:page;mso-position-horizontal-relative:page;width:7.55pt;height:7.9pt;z-index:-251575296;" o:allowincell="f" fillcolor="#212529" filled="true" stroked="false" type="#_x0000_t136">
          <v:textpath style="font-family:&quot;SimSun&quot;;font-size:7.5;v-text-kern:t;mso-text-shadow:auto" string="36"/>
        </v:shape>
      </w:pict>
    </w:r>
    <w:r>
      <w:pict>
        <v:shape id="PowerPlusWaterMarkObject168" style="position:absolute;margin-left:446.362pt;margin-top:282.508pt;mso-position-vertical-relative:page;mso-position-horizontal-relative:page;width:7.55pt;height:7.9pt;z-index:-251574272;" o:allowincell="f" fillcolor="#212529" filled="true" stroked="false" type="#_x0000_t136">
          <v:textpath style="font-family:&quot;SimSun&quot;;font-size:7.5;v-text-kern:t;mso-text-shadow:auto" string="71"/>
        </v:shape>
      </w:pict>
    </w:r>
    <w:r>
      <w:pict>
        <v:shape id="PowerPlusWaterMarkObject170" style="position:absolute;margin-left:434.199pt;margin-top:297.644pt;mso-position-vertical-relative:page;mso-position-horizontal-relative:page;width:19.7pt;height:7.9pt;z-index:-251573248;" o:allowincell="f" fillcolor="#212529" filled="true" stroked="false" type="#_x0000_t136">
          <v:textpath style="font-family:&quot;SimSun&quot;;font-size:7.5;v-text-kern:t;mso-text-shadow:auto" string="76 71"/>
        </v:shape>
      </w:pict>
    </w:r>
    <w:r>
      <w:pict>
        <v:shape id="PowerPlusWaterMarkObject172" style="position:absolute;margin-left:-13.08pt;margin-top:288.10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74" style="position:absolute;margin-left:73.8887pt;margin-top:267.372pt;mso-position-vertical-relative:page;mso-position-horizontal-relative:page;width:23.9pt;height:7.9pt;z-index:-251571200;" o:allowincell="f" fillcolor="#212529" filled="true" stroked="false" type="#_x0000_t136">
          <v:textpath style="font-family:&quot;SimSun&quot;;font-size:7.5;v-text-kern:t;mso-text-shadow:auto" string="010199"/>
        </v:shape>
      </w:pict>
    </w:r>
    <w:r>
      <w:pict>
        <v:shape id="PowerPlusWaterMarkObject176" style="position:absolute;margin-left:69.8661pt;margin-top:282.508pt;mso-position-vertical-relative:page;mso-position-horizontal-relative:page;width:11.7pt;height:7.9pt;z-index:-251570176;" o:allowincell="f" fillcolor="#212529" filled="true" stroked="false" type="#_x0000_t136">
          <v:textpath style="font-family:&quot;SimSun&quot;;font-size:7.5;v-text-kern:t;mso-text-shadow:auto" string="208"/>
        </v:shape>
      </w:pict>
    </w:r>
    <w:r>
      <w:pict>
        <v:shape id="PowerPlusWaterMarkObject178" style="position:absolute;margin-left:-13.08pt;margin-top:776.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391.92pt;margin-top:776.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86.92pt;margin-top:532.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491.92pt;margin-top:532.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491.92pt;margin-top:44.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490.282pt;margin-top:71.2915pt;mso-position-vertical-relative:page;mso-position-horizontal-relative:page;width:35.45pt;height:6.5pt;z-index:-251563008;" o:allowincell="f" fillcolor="#212529" filled="true" stroked="false" type="#_x0000_t136">
          <v:textpath style="font-family:&quot;SimSun&quot;;font-size:6;v-text-kern:t;mso-text-shadow:auto" string="预算公开表5"/>
        </v:shape>
      </w:pict>
    </w:r>
    <w:r>
      <w:pict>
        <v:shape id="PowerPlusWaterMarkObject190" style="position:absolute;margin-left:86.92pt;margin-top:27.7862pt;mso-position-vertical-relative:text;mso-position-horizontal-relative:text;width:119.4pt;height:18.85pt;z-index:-2515619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92" style="position:absolute;margin-left:30pt;margin-top:29.5pt;mso-position-vertical-relative:page;mso-position-horizontal-relative:page;width:535pt;height:1pt;z-index:-251549696;" o:allowincell="f" filled="false" strokecolor="#646464" strokeweight="1.00pt" coordsize="10700,20" coordorigin="0,0" path="m0,10l10700,10e">
          <v:stroke joinstyle="miter" miterlimit="10"/>
        </v:shape>
      </w:pict>
    </w:r>
    <w:r>
      <w:pict>
        <v:shape id="PowerPlusWaterMarkObject194" style="position:absolute;margin-left:-13.08pt;margin-top:288.10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85.9249pt;margin-top:267.372pt;mso-position-vertical-relative:page;mso-position-horizontal-relative:page;width:15.8pt;height:7.9pt;z-index:-251559936;" o:allowincell="f" fillcolor="#212529" filled="true" stroked="false" type="#_x0000_t136">
          <v:textpath style="font-family:&quot;SimSun&quot;;font-size:7.5;v-text-kern:t;mso-text-shadow:auto" string="职工"/>
        </v:shape>
      </w:pict>
    </w:r>
    <w:r>
      <w:pict>
        <v:shape id="PowerPlusWaterMarkObject198" style="position:absolute;margin-left:86.92pt;margin-top:532.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391.92pt;margin-top:288.105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451.066pt;margin-top:282.508pt;mso-position-vertical-relative:page;mso-position-horizontal-relative:page;width:15.25pt;height:7.9pt;z-index:-251556864;" o:allowincell="f" fillcolor="#212529" filled="true" stroked="false" type="#_x0000_t136">
          <v:textpath style="font-family:&quot;SimSun&quot;;font-size:7.5;v-text-kern:t;mso-text-shadow:auto" string="1 89"/>
        </v:shape>
      </w:pict>
    </w:r>
    <w:r>
      <w:pict>
        <v:shape id="PowerPlusWaterMarkObject204" style="position:absolute;margin-left:450.543pt;margin-top:297.644pt;mso-position-vertical-relative:page;mso-position-horizontal-relative:page;width:15.8pt;height:7.9pt;z-index:-251555840;" o:allowincell="f" fillcolor="#212529" filled="true" stroked="false" type="#_x0000_t136">
          <v:textpath style="font-family:&quot;SimSun&quot;;font-size:7.5;v-text-kern:t;mso-text-shadow:auto" string="6 04"/>
        </v:shape>
      </w:pict>
    </w:r>
    <w:r>
      <w:pict>
        <v:shape id="PowerPlusWaterMarkObject206" style="position:absolute;margin-left:399.127pt;margin-top:327.916pt;mso-position-vertical-relative:page;mso-position-horizontal-relative:page;width:7.65pt;height:7.9pt;z-index:-251554816;" o:allowincell="f" fillcolor="#212529" filled="true" stroked="false" type="#_x0000_t136">
          <v:textpath style="font-family:&quot;SimSun&quot;;font-size:7.5;v-text-kern:t;mso-text-shadow:auto" string="21"/>
        </v:shape>
      </w:pict>
    </w:r>
    <w:r>
      <w:pict>
        <v:shape id="PowerPlusWaterMarkObject208" style="position:absolute;margin-left:399.127pt;margin-top:312.78pt;mso-position-vertical-relative:page;mso-position-horizontal-relative:page;width:7.65pt;height:7.9pt;z-index:-251553792;" o:allowincell="f" fillcolor="#212529" filled="true" stroked="false" type="#_x0000_t136">
          <v:textpath style="font-family:&quot;SimSun&quot;;font-size:7.5;v-text-kern:t;mso-text-shadow:auto" string="24"/>
        </v:shape>
      </w:pict>
    </w:r>
    <w:r>
      <w:pict>
        <v:shape id="PowerPlusWaterMarkObject210" style="position:absolute;margin-left:491.92pt;margin-top:532.106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2" style="position:absolute;margin-left:-13.08pt;margin-top:776.106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391.92pt;margin-top:776.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491.92pt;margin-top:44.1055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486.557pt;margin-top:71.2915pt;mso-position-vertical-relative:page;mso-position-horizontal-relative:page;width:35.45pt;height:6.5pt;z-index:-251547648;" o:allowincell="f" fillcolor="#212529" filled="true" stroked="false" type="#_x0000_t136">
          <v:textpath style="font-family:&quot;SimSun&quot;;font-size:6;v-text-kern:t;mso-text-shadow:auto" string="预算公开表6"/>
        </v:shape>
      </w:pict>
    </w:r>
    <w:r>
      <w:pict>
        <v:shape id="PowerPlusWaterMarkObject220" style="position:absolute;margin-left:86.92pt;margin-top:27.7862pt;mso-position-vertical-relative:text;mso-position-horizontal-relative:text;width:119.4pt;height:18.85pt;z-index:-25154662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22" style="position:absolute;margin-left:30pt;margin-top:29.5pt;mso-position-vertical-relative:page;mso-position-horizontal-relative:page;width:535pt;height:1pt;z-index:-251539456;" o:allowincell="f" filled="false" strokecolor="#646464" strokeweight="1.00pt" coordsize="10700,20" coordorigin="0,0" path="m0,10l10700,10e">
          <v:stroke joinstyle="miter" miterlimit="10"/>
        </v:shape>
      </w:pict>
    </w:r>
    <w:r>
      <w:pict>
        <v:shape id="PowerPlusWaterMarkObject224" style="position:absolute;margin-left:-13.08pt;margin-top:288.10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26" style="position:absolute;margin-left:391.92pt;margin-top:288.105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28" style="position:absolute;margin-left:-13.08pt;margin-top:776.106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391.92pt;margin-top:776.106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86.92pt;margin-top:532.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491.92pt;margin-top:532.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491.92pt;margin-top:44.1055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490.334pt;margin-top:73.4279pt;mso-position-vertical-relative:page;mso-position-horizontal-relative:page;width:35.4pt;height:6.5pt;z-index:-251537408;" o:allowincell="f" fillcolor="#212529" filled="true" stroked="false" type="#_x0000_t136">
          <v:textpath style="font-family:&quot;SimSun&quot;;font-size:6;v-text-kern:t;mso-text-shadow:auto" string="预算公开表7"/>
        </v:shape>
      </w:pict>
    </w:r>
    <w:r>
      <w:pict>
        <v:shape id="PowerPlusWaterMarkObject240" style="position:absolute;margin-left:86.92pt;margin-top:27.7862pt;mso-position-vertical-relative:text;mso-position-horizontal-relative:text;width:119.4pt;height:18.85pt;z-index:-2515363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42"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pict>
        <v:shape id="PowerPlusWaterMarkObject244" style="position:absolute;margin-left:-13.08pt;margin-top:288.105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46" style="position:absolute;margin-left:391.92pt;margin-top:288.105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13.08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86.92pt;margin-top:532.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491.92pt;margin-top:532.106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490.282pt;margin-top:73.4538pt;mso-position-vertical-relative:page;mso-position-horizontal-relative:page;width:35.45pt;height:6.5pt;z-index:-251527168;" o:allowincell="f" fillcolor="#212529" filled="true" stroked="false" type="#_x0000_t136">
          <v:textpath style="font-family:&quot;SimSun&quot;;font-size:6;v-text-kern:t;mso-text-shadow:auto" string="预算公开表8"/>
        </v:shape>
      </w:pict>
    </w:r>
    <w:r>
      <w:pict>
        <v:shape id="PowerPlusWaterMarkObject260" style="position:absolute;margin-left:86.92pt;margin-top:27.7862pt;mso-position-vertical-relative:text;mso-position-horizontal-relative:text;width:119.4pt;height:18.85pt;z-index:-25152614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62" style="position:absolute;margin-left:30pt;margin-top:29.5pt;mso-position-vertical-relative:page;mso-position-horizontal-relative:page;width:535pt;height:1pt;z-index:-251518976;" o:allowincell="f" filled="false" strokecolor="#646464" strokeweight="1.00pt" coordsize="10700,20" coordorigin="0,0" path="m0,10l10700,10e">
          <v:stroke joinstyle="miter" miterlimit="10"/>
        </v:shape>
      </w:pict>
    </w:r>
    <w:r>
      <w:pict>
        <v:shape id="PowerPlusWaterMarkObject264" style="position:absolute;margin-left:-13.08pt;margin-top:288.105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391.92pt;margin-top:288.105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13.08pt;margin-top:776.106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391.92pt;margin-top:776.106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86.92pt;margin-top:532.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491.92pt;margin-top:532.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491.92pt;margin-top:44.1055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PowerPlusWaterMarkObject278" style="position:absolute;margin-left:490.36pt;margin-top:78.8596pt;mso-position-vertical-relative:page;mso-position-horizontal-relative:page;width:35.35pt;height:6.5pt;z-index:-251516928;" o:allowincell="f" fillcolor="#212529" filled="true" stroked="false" type="#_x0000_t136">
          <v:textpath style="font-family:&quot;SimSun&quot;;font-size:6;v-text-kern:t;mso-text-shadow:auto" string="部门公开表9"/>
        </v:shape>
      </w:pict>
    </w:r>
    <w:r>
      <w:pict>
        <v:shape id="PowerPlusWaterMarkObject280" style="position:absolute;margin-left:86.92pt;margin-top:27.7862pt;mso-position-vertical-relative:text;mso-position-horizontal-relative:text;width:119.4pt;height:18.85pt;z-index:-25151590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82" style="position:absolute;margin-left:30pt;margin-top:29.5pt;mso-position-vertical-relative:page;mso-position-horizontal-relative:page;width:535pt;height:1pt;z-index:-251508736;" o:allowincell="f" filled="false" strokecolor="#646464" strokeweight="1.00pt" coordsize="10700,20" coordorigin="0,0" path="m0,10l10700,10e">
          <v:stroke joinstyle="miter" miterlimit="10"/>
        </v:shape>
      </w:pict>
    </w:r>
    <w:r>
      <w:pict>
        <v:shape id="PowerPlusWaterMarkObject284" style="position:absolute;margin-left:-13.08pt;margin-top:288.105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391.92pt;margin-top:288.105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13.08pt;margin-top:776.106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391.92pt;margin-top:776.106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92" style="position:absolute;margin-left:86.92pt;margin-top:532.106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491.92pt;margin-top:532.106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296" style="position:absolute;margin-left:491.92pt;margin-top:44.1055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298" style="position:absolute;margin-left:487.09pt;margin-top:67.4816pt;mso-position-vertical-relative:page;mso-position-horizontal-relative:page;width:38.65pt;height:6.5pt;z-index:-251506688;" o:allowincell="f" fillcolor="#212529" filled="true" stroked="false" type="#_x0000_t136">
          <v:textpath style="font-family:&quot;SimSun&quot;;font-size:6;v-text-kern:t;mso-text-shadow:auto" string="预算公开表11"/>
        </v:shape>
      </w:pict>
    </w:r>
    <w:r>
      <w:pict>
        <v:shape id="PowerPlusWaterMarkObject300" style="position:absolute;margin-left:86.92pt;margin-top:27.7862pt;mso-position-vertical-relative:text;mso-position-horizontal-relative:text;width:119.4pt;height:18.85pt;z-index:-2515056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02" style="position:absolute;margin-left:30pt;margin-top:29.5pt;mso-position-vertical-relative:page;mso-position-horizontal-relative:page;width:535pt;height:1pt;z-index:-251496448;" o:allowincell="f" filled="false" strokecolor="#646464" strokeweight="1.00pt" coordsize="10700,20" coordorigin="0,0" path="m0,10l10700,10e">
          <v:stroke joinstyle="miter" miterlimit="10"/>
        </v:shape>
      </w:pict>
    </w:r>
    <w:r>
      <w:pict>
        <v:shape id="PowerPlusWaterMarkObject304" style="position:absolute;margin-left:391.92pt;margin-top:288.105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06" style="position:absolute;margin-left:-13.08pt;margin-top:288.105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85.9566pt;margin-top:256.56pt;mso-position-vertical-relative:page;mso-position-horizontal-relative:page;width:7.65pt;height:7.9pt;z-index:-251502592;" o:allowincell="f" fillcolor="#212529" filled="true" stroked="false" type="#_x0000_t136">
          <v:textpath style="font-family:&quot;SimSun&quot;;font-size:7.5;v-text-kern:t;mso-text-shadow:auto" string="其"/>
        </v:shape>
      </w:pict>
    </w:r>
    <w:r>
      <w:pict>
        <v:shape id="PowerPlusWaterMarkObject310" style="position:absolute;margin-left:86.02pt;margin-top:276.021pt;mso-position-vertical-relative:page;mso-position-horizontal-relative:page;width:15.7pt;height:7.9pt;z-index:-251501568;" o:allowincell="f" fillcolor="#212529" filled="true" stroked="false" type="#_x0000_t136">
          <v:textpath style="font-family:&quot;SimSun&quot;;font-size:7.5;v-text-kern:t;mso-text-shadow:auto" string="各工"/>
        </v:shape>
      </w:pict>
    </w:r>
    <w:r>
      <w:pict>
        <v:shape id="PowerPlusWaterMarkObject312" style="position:absolute;margin-left:-13.08pt;margin-top:776.106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391.92pt;margin-top:776.106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316" style="position:absolute;margin-left:86.92pt;margin-top:532.106pt;mso-position-vertical-relative:page;mso-position-horizontal-relative:page;width:119.4pt;height:18.85pt;z-index:-251498496;rotation:330;" o:allowincell="f" fillcolor="#404040" filled="true" stroked="false" type="#_x0000_t136">
          <v:fill opacity="0.400000"/>
          <v:textpath style="font-family:&quot;STSong&quot;;font-size:20;v-text-kern:t;mso-text-shadow:auto" string="仅供内部审核"/>
        </v:shape>
      </w:pict>
    </w:r>
    <w:r>
      <w:pict>
        <v:shape id="PowerPlusWaterMarkObject318" style="position:absolute;margin-left:491.92pt;margin-top:532.106pt;mso-position-vertical-relative:page;mso-position-horizontal-relative:page;width:119.4pt;height:18.85pt;z-index:-251497472;rotation:330;" o:allowincell="f" fillcolor="#404040" filled="true" stroked="false" type="#_x0000_t136">
          <v:fill opacity="0.400000"/>
          <v:textpath style="font-family:&quot;STSong&quot;;font-size:20;v-text-kern:t;mso-text-shadow:auto" string="仅供内部审核"/>
        </v:shape>
      </w:pict>
    </w:r>
    <w:r>
      <w:pict>
        <v:shape id="PowerPlusWaterMarkObject320" style="position:absolute;margin-left:491.92pt;margin-top:44.1055pt;mso-position-vertical-relative:page;mso-position-horizontal-relative:page;width:119.4pt;height:18.85pt;z-index:-251495424;rotation:330;" o:allowincell="f" fillcolor="#404040" filled="true" stroked="false" type="#_x0000_t136">
          <v:fill opacity="0.400000"/>
          <v:textpath style="font-family:&quot;STSong&quot;;font-size:20;v-text-kern:t;mso-text-shadow:auto" string="仅供内部审核"/>
        </v:shape>
      </w:pict>
    </w:r>
    <w:r>
      <w:pict>
        <v:shape id="PowerPlusWaterMarkObject322" style="position:absolute;margin-left:487.09pt;margin-top:73.4279pt;mso-position-vertical-relative:page;mso-position-horizontal-relative:page;width:38.65pt;height:6.5pt;z-index:-251494400;" o:allowincell="f" fillcolor="#212529" filled="true" stroked="false" type="#_x0000_t136">
          <v:textpath style="font-family:&quot;SimSun&quot;;font-size:6;v-text-kern:t;mso-text-shadow:auto" string="预算公开表12"/>
        </v:shape>
      </w:pict>
    </w:r>
    <w:r>
      <w:pict>
        <v:shape id="PowerPlusWaterMarkObject324" style="position:absolute;margin-left:86.92pt;margin-top:27.7862pt;mso-position-vertical-relative:text;mso-position-horizontal-relative:text;width:119.4pt;height:18.85pt;z-index:-25149337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26" style="position:absolute;margin-left:30pt;margin-top:29.5pt;mso-position-vertical-relative:page;mso-position-horizontal-relative:page;width:535pt;height:1pt;z-index:-251486208;" o:allowincell="f" filled="false" strokecolor="#646464" strokeweight="1.00pt" coordsize="10700,20" coordorigin="0,0" path="m0,10l10700,10e">
          <v:stroke joinstyle="miter" miterlimit="10"/>
        </v:shape>
      </w:pict>
    </w:r>
    <w:r>
      <w:pict>
        <v:shape id="PowerPlusWaterMarkObject328" style="position:absolute;margin-left:-13.08pt;margin-top:288.105pt;mso-position-vertical-relative:page;mso-position-horizontal-relative:page;width:119.4pt;height:18.85pt;z-index:-251492352;rotation:330;" o:allowincell="f" fillcolor="#404040" filled="true" stroked="false" type="#_x0000_t136">
          <v:fill opacity="0.400000"/>
          <v:textpath style="font-family:&quot;STSong&quot;;font-size:20;v-text-kern:t;mso-text-shadow:auto" string="仅供内部审核"/>
        </v:shape>
      </w:pict>
    </w:r>
    <w:r>
      <w:pict>
        <v:shape id="PowerPlusWaterMarkObject330" style="position:absolute;margin-left:391.92pt;margin-top:288.105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332" style="position:absolute;margin-left:-13.08pt;margin-top:776.106pt;mso-position-vertical-relative:page;mso-position-horizontal-relative:page;width:119.4pt;height:18.85pt;z-index:-251490304;rotation:330;" o:allowincell="f" fillcolor="#404040" filled="true" stroked="false" type="#_x0000_t136">
          <v:fill opacity="0.400000"/>
          <v:textpath style="font-family:&quot;STSong&quot;;font-size:20;v-text-kern:t;mso-text-shadow:auto" string="仅供内部审核"/>
        </v:shape>
      </w:pict>
    </w:r>
    <w:r>
      <w:pict>
        <v:shape id="PowerPlusWaterMarkObject334" style="position:absolute;margin-left:391.92pt;margin-top:776.106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PowerPlusWaterMarkObject336" style="position:absolute;margin-left:86.92pt;margin-top:532.106pt;mso-position-vertical-relative:page;mso-position-horizontal-relative:page;width:119.4pt;height:18.85pt;z-index:-251488256;rotation:330;" o:allowincell="f" fillcolor="#404040" filled="true" stroked="false" type="#_x0000_t136">
          <v:fill opacity="0.400000"/>
          <v:textpath style="font-family:&quot;STSong&quot;;font-size:20;v-text-kern:t;mso-text-shadow:auto" string="仅供内部审核"/>
        </v:shape>
      </w:pict>
    </w:r>
    <w:r>
      <w:pict>
        <v:shape id="PowerPlusWaterMarkObject338" style="position:absolute;margin-left:491.92pt;margin-top:532.106pt;mso-position-vertical-relative:page;mso-position-horizontal-relative:page;width:119.4pt;height:18.85pt;z-index:-251487232;rotation:330;" o:allowincell="f" fillcolor="#404040" filled="true" stroked="false" type="#_x0000_t136">
          <v:fill opacity="0.400000"/>
          <v:textpath style="font-family:&quot;STSong&quot;;font-size:20;v-text-kern:t;mso-text-shadow:auto" string="仅供内部审核"/>
        </v:shape>
      </w:pict>
    </w:r>
    <w:r>
      <w:pict>
        <v:shape id="PowerPlusWaterMarkObject340" style="position:absolute;margin-left:491.92pt;margin-top:44.1055pt;mso-position-vertical-relative:page;mso-position-horizontal-relative:page;width:119.4pt;height:18.85pt;z-index:-251485184;rotation:330;" o:allowincell="f" fillcolor="#404040" filled="true" stroked="false" type="#_x0000_t136">
          <v:fill opacity="0.400000"/>
          <v:textpath style="font-family:&quot;STSong&quot;;font-size:20;v-text-kern:t;mso-text-shadow:auto" string="仅供内部审核"/>
        </v:shape>
      </w:pict>
    </w:r>
    <w:r>
      <w:pict>
        <v:shape id="PowerPlusWaterMarkObject342" style="position:absolute;margin-left:487.09pt;margin-top:73.4279pt;mso-position-vertical-relative:page;mso-position-horizontal-relative:page;width:38.65pt;height:6.5pt;z-index:-251484160;" o:allowincell="f" fillcolor="#212529" filled="true" stroked="false" type="#_x0000_t136">
          <v:textpath style="font-family:&quot;SimSun&quot;;font-size:6;v-text-kern:t;mso-text-shadow:auto" string="预算公开表13"/>
        </v:shape>
      </w:pict>
    </w:r>
    <w:r>
      <w:pict>
        <v:shape id="PowerPlusWaterMarkObject344" style="position:absolute;margin-left:86.92pt;margin-top:27.7862pt;mso-position-vertical-relative:text;mso-position-horizontal-relative:text;width:119.4pt;height:18.85pt;z-index:-25148313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46" style="position:absolute;margin-left:30pt;margin-top:29.5pt;mso-position-vertical-relative:page;mso-position-horizontal-relative:page;width:535pt;height:1pt;z-index:-251473920;" o:allowincell="f" filled="false" strokecolor="#646464" strokeweight="1.00pt" coordsize="10700,20" coordorigin="0,0" path="m0,10l10700,10e">
          <v:stroke joinstyle="miter" miterlimit="10"/>
        </v:shape>
      </w:pict>
    </w:r>
    <w:r>
      <w:pict>
        <v:shape id="PowerPlusWaterMarkObject348" style="position:absolute;margin-left:-13.08pt;margin-top:288.105pt;mso-position-vertical-relative:page;mso-position-horizontal-relative:page;width:119.4pt;height:18.85pt;z-index:-251482112;rotation:330;" o:allowincell="f" fillcolor="#404040" filled="true" stroked="false" type="#_x0000_t136">
          <v:fill opacity="0.400000"/>
          <v:textpath style="font-family:&quot;STSong&quot;;font-size:20;v-text-kern:t;mso-text-shadow:auto" string="仅供内部审核"/>
        </v:shape>
      </w:pict>
    </w:r>
    <w:r>
      <w:pict>
        <v:shape id="PowerPlusWaterMarkObject350" style="position:absolute;margin-left:74.8172pt;margin-top:258.837pt;mso-position-vertical-relative:page;mso-position-horizontal-relative:page;width:22.25pt;height:11.8pt;z-index:-251481088;" o:allowincell="f" fillcolor="#000000" filled="true" stroked="false" type="#_x0000_t136">
          <v:textpath style="font-family:&quot;FangSong&quot;;font-size:11.5;v-text-kern:t;mso-text-shadow:auto" string="此本"/>
        </v:shape>
      </w:pict>
    </w:r>
    <w:r>
      <w:pict>
        <v:shape id="PowerPlusWaterMarkObject352" style="position:absolute;margin-left:391.92pt;margin-top:288.105pt;mso-position-vertical-relative:page;mso-position-horizontal-relative:page;width:119.4pt;height:18.85pt;z-index:-251480064;rotation:330;" o:allowincell="f" fillcolor="#404040" filled="true" stroked="false" type="#_x0000_t136">
          <v:fill opacity="0.400000"/>
          <v:textpath style="font-family:&quot;STSong&quot;;font-size:20;v-text-kern:t;mso-text-shadow:auto" string="仅供内部审核"/>
        </v:shape>
      </w:pict>
    </w:r>
    <w:r>
      <w:pict>
        <v:shape id="PowerPlusWaterMarkObject354" style="position:absolute;margin-left:400.641pt;margin-top:319.382pt;mso-position-vertical-relative:page;mso-position-horizontal-relative:page;width:28.35pt;height:11.8pt;z-index:-251479040;" o:allowincell="f" fillcolor="#000000" filled="true" stroked="false" type="#_x0000_t136">
          <v:textpath style="font-family:&quot;FangSong&quot;;font-size:11.5;v-text-kern:t;mso-text-shadow:auto" string="入0万"/>
        </v:shape>
      </w:pict>
    </w:r>
    <w:r>
      <w:pict>
        <v:shape id="PowerPlusWaterMarkObject356" style="position:absolute;margin-left:416.592pt;margin-top:299.38pt;mso-position-vertical-relative:page;mso-position-horizontal-relative:page;width:46.2pt;height:11.8pt;z-index:-251478016;" o:allowincell="f" fillcolor="#000000" filled="true" stroked="false" type="#_x0000_t136">
          <v:textpath style="font-family:&quot;FangSong&quot;;font-size:11.5;v-text-kern:t;mso-text-shadow:auto" string="万元  主"/>
        </v:shape>
      </w:pict>
    </w:r>
    <w:r>
      <w:pict>
        <v:shape id="PowerPlusWaterMarkObject358" style="position:absolute;margin-left:-13.08pt;margin-top:776.106pt;mso-position-vertical-relative:page;mso-position-horizontal-relative:page;width:119.4pt;height:18.85pt;z-index:-251476992;rotation:330;" o:allowincell="f" fillcolor="#404040" filled="true" stroked="false" type="#_x0000_t136">
          <v:fill opacity="0.400000"/>
          <v:textpath style="font-family:&quot;STSong&quot;;font-size:20;v-text-kern:t;mso-text-shadow:auto" string="仅供内部审核"/>
        </v:shape>
      </w:pict>
    </w:r>
    <w:r>
      <w:pict>
        <v:shape id="PowerPlusWaterMarkObject360" style="position:absolute;margin-left:391.92pt;margin-top:776.106pt;mso-position-vertical-relative:page;mso-position-horizontal-relative:page;width:119.4pt;height:18.85pt;z-index:-251475968;rotation:330;" o:allowincell="f" fillcolor="#404040" filled="true" stroked="false" type="#_x0000_t136">
          <v:fill opacity="0.400000"/>
          <v:textpath style="font-family:&quot;STSong&quot;;font-size:20;v-text-kern:t;mso-text-shadow:auto" string="仅供内部审核"/>
        </v:shape>
      </w:pict>
    </w:r>
    <w:r>
      <w:pict>
        <v:shape id="PowerPlusWaterMarkObject362" style="position:absolute;margin-left:491.92pt;margin-top:532.106pt;mso-position-vertical-relative:page;mso-position-horizontal-relative:page;width:119.4pt;height:18.85pt;z-index:-251474944;rotation:330;" o:allowincell="f" fillcolor="#404040" filled="true" stroked="false" type="#_x0000_t136">
          <v:fill opacity="0.400000"/>
          <v:textpath style="font-family:&quot;STSong&quot;;font-size:20;v-text-kern:t;mso-text-shadow:auto" string="仅供内部审核"/>
        </v:shape>
      </w:pict>
    </w:r>
    <w:r>
      <w:pict>
        <v:shape id="PowerPlusWaterMarkObject364" style="position:absolute;margin-left:491.92pt;margin-top:44.1055pt;mso-position-vertical-relative:page;mso-position-horizontal-relative:page;width:119.4pt;height:18.85pt;z-index:-251472896;rotation:330;" o:allowincell="f" fillcolor="#404040" filled="true" stroked="false" type="#_x0000_t136">
          <v:fill opacity="0.400000"/>
          <v:textpath style="font-family:&quot;STSong&quot;;font-size:20;v-text-kern:t;mso-text-shadow:auto" string="仅供内部审核"/>
        </v:shape>
      </w:pict>
    </w:r>
    <w:r>
      <w:pict>
        <v:shape id="PowerPlusWaterMarkObject366" style="position:absolute;margin-left:86.92pt;margin-top:27.7862pt;mso-position-vertical-relative:text;mso-position-horizontal-relative:text;width:119.4pt;height:18.85pt;z-index:-2514718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370" style="position:absolute;margin-left:30pt;margin-top:29.5pt;mso-position-vertical-relative:page;mso-position-horizontal-relative:page;width:535pt;height:1pt;z-index:-251458560;" o:allowincell="f" filled="false" strokecolor="#646464" strokeweight="1.00pt" coordsize="10700,20" coordorigin="0,0" path="m0,10l10700,10e">
          <v:stroke joinstyle="miter" miterlimit="10"/>
        </v:shape>
      </w:pict>
    </w:r>
    <w:r>
      <w:pict>
        <v:shape id="PowerPlusWaterMarkObject372" style="position:absolute;margin-left:86.92pt;margin-top:532.106pt;mso-position-vertical-relative:page;mso-position-horizontal-relative:page;width:119.4pt;height:18.85pt;z-index:-251470848;rotation:330;" o:allowincell="f" fillcolor="#404040" filled="true" stroked="false" type="#_x0000_t136">
          <v:fill opacity="0.400000"/>
          <v:textpath style="font-family:&quot;STSong&quot;;font-size:20;v-text-kern:t;mso-text-shadow:auto" string="仅供内部审核"/>
        </v:shape>
      </w:pict>
    </w:r>
    <w:r>
      <w:pict>
        <v:shape id="PowerPlusWaterMarkObject374" style="position:absolute;margin-left:145.252pt;margin-top:529.125pt;mso-position-vertical-relative:page;mso-position-horizontal-relative:page;width:34.25pt;height:11.8pt;z-index:-251469824;" o:allowincell="f" fillcolor="#000000" filled="true" stroked="false" type="#_x0000_t136">
          <v:textpath style="font-family:&quot;FangSong&quot;;font-size:11.5;v-text-kern:t;mso-text-shadow:auto" string="人民代"/>
        </v:shape>
      </w:pict>
    </w:r>
    <w:r>
      <w:pict>
        <v:shape id="PowerPlusWaterMarkObject376" style="position:absolute;margin-left:98.5372pt;margin-top:549.126pt;mso-position-vertical-relative:page;mso-position-horizontal-relative:page;width:45.95pt;height:11.8pt;z-index:-251468800;" o:allowincell="f" fillcolor="#000000" filled="true" stroked="false" type="#_x0000_t136">
          <v:textpath style="font-family:&quot;FangSong&quot;;font-size:11.5;v-text-kern:t;mso-text-shadow:auto" string="年预算数"/>
        </v:shape>
      </w:pict>
    </w:r>
    <w:r>
      <w:pict>
        <v:shape id="PowerPlusWaterMarkObject378" style="position:absolute;margin-left:98.6851pt;margin-top:569.668pt;mso-position-vertical-relative:page;mso-position-horizontal-relative:page;width:90.75pt;height:11.8pt;z-index:-251467776;" o:allowincell="f" fillcolor="#000000" filled="true" stroked="false" type="#_x0000_t136">
          <v:textpath style="font-family:&quot;FangSong&quot;;font-size:11.5;v-text-kern:t;mso-text-shadow:auto" string="上            ；"/>
        </v:shape>
      </w:pict>
    </w:r>
    <w:r>
      <w:pict>
        <v:shape id="PowerPlusWaterMarkObject380" style="position:absolute;margin-left:491.92pt;margin-top:532.106pt;mso-position-vertical-relative:page;mso-position-horizontal-relative:page;width:119.4pt;height:18.85pt;z-index:-251466752;rotation:330;" o:allowincell="f" fillcolor="#404040" filled="true" stroked="false" type="#_x0000_t136">
          <v:fill opacity="0.400000"/>
          <v:textpath style="font-family:&quot;STSong&quot;;font-size:20;v-text-kern:t;mso-text-shadow:auto" string="仅供内部审核"/>
        </v:shape>
      </w:pict>
    </w:r>
    <w:r>
      <w:pict>
        <v:shape id="PowerPlusWaterMarkObject382" style="position:absolute;margin-left:505.6pt;margin-top:549.126pt;mso-position-vertical-relative:page;mso-position-horizontal-relative:page;width:28.25pt;height:11.8pt;z-index:-251465728;" o:allowincell="f" fillcolor="#000000" filled="true" stroked="false" type="#_x0000_t136">
          <v:textpath style="font-family:&quot;FangSong&quot;;font-size:11.5;v-text-kern:t;mso-text-shadow:auto" string="费0万"/>
        </v:shape>
      </w:pict>
    </w:r>
    <w:r>
      <w:pict>
        <v:shape id="PowerPlusWaterMarkObject384" style="position:absolute;margin-left:-13.08pt;margin-top:288.105pt;mso-position-vertical-relative:page;mso-position-horizontal-relative:page;width:119.4pt;height:18.85pt;z-index:-251464704;rotation:330;" o:allowincell="f" fillcolor="#404040" filled="true" stroked="false" type="#_x0000_t136">
          <v:fill opacity="0.400000"/>
          <v:textpath style="font-family:&quot;STSong&quot;;font-size:20;v-text-kern:t;mso-text-shadow:auto" string="仅供内部审核"/>
        </v:shape>
      </w:pict>
    </w:r>
    <w:r>
      <w:pict>
        <v:shape id="PowerPlusWaterMarkObject386" style="position:absolute;margin-left:391.92pt;margin-top:288.105pt;mso-position-vertical-relative:page;mso-position-horizontal-relative:page;width:119.4pt;height:18.85pt;z-index:-251463680;rotation:330;" o:allowincell="f" fillcolor="#404040" filled="true" stroked="false" type="#_x0000_t136">
          <v:fill opacity="0.400000"/>
          <v:textpath style="font-family:&quot;STSong&quot;;font-size:20;v-text-kern:t;mso-text-shadow:auto" string="仅供内部审核"/>
        </v:shape>
      </w:pict>
    </w:r>
    <w:r>
      <w:pict>
        <v:shape id="PowerPlusWaterMarkObject388" style="position:absolute;margin-left:391.92pt;margin-top:776.106pt;mso-position-vertical-relative:page;mso-position-horizontal-relative:page;width:119.4pt;height:18.85pt;z-index:-251462656;rotation:330;" o:allowincell="f" fillcolor="#404040" filled="true" stroked="false" type="#_x0000_t136">
          <v:fill opacity="0.400000"/>
          <v:textpath style="font-family:&quot;STSong&quot;;font-size:20;v-text-kern:t;mso-text-shadow:auto" string="仅供内部审核"/>
        </v:shape>
      </w:pict>
    </w:r>
    <w:r>
      <w:pict>
        <v:shape id="PowerPlusWaterMarkObject390" style="position:absolute;margin-left:-13.08pt;margin-top:776.106pt;mso-position-vertical-relative:page;mso-position-horizontal-relative:page;width:119.4pt;height:18.85pt;z-index:-251461632;rotation:330;" o:allowincell="f" fillcolor="#404040" filled="true" stroked="false" type="#_x0000_t136">
          <v:fill opacity="0.400000"/>
          <v:textpath style="font-family:&quot;STSong&quot;;font-size:20;v-text-kern:t;mso-text-shadow:auto" string="仅供内部审核"/>
        </v:shape>
      </w:pict>
    </w:r>
    <w:r>
      <w:pict>
        <v:shape id="PowerPlusWaterMarkObject392" style="position:absolute;margin-left:91.7539pt;margin-top:64.2303pt;mso-position-vertical-relative:page;mso-position-horizontal-relative:page;width:40.15pt;height:11.8pt;z-index:-251460608;" o:allowincell="f" fillcolor="#000000" filled="true" stroked="false" type="#_x0000_t136">
          <v:textpath style="font-family:&quot;FangSong&quot;;font-size:11.5;v-text-kern:t;mso-text-shadow:auto" string="025年度"/>
        </v:shape>
      </w:pict>
    </w:r>
    <w:r>
      <w:pict>
        <v:shape id="PowerPlusWaterMarkObject394" style="position:absolute;margin-left:97.5647pt;margin-top:84.2316pt;mso-position-vertical-relative:page;mso-position-horizontal-relative:page;width:11pt;height:11.8pt;z-index:-251459584;" o:allowincell="f" fillcolor="#000000" filled="true" stroked="false" type="#_x0000_t136">
          <v:textpath style="font-family:&quot;FangSong&quot;;font-size:11.5;v-text-kern:t;mso-text-shadow:auto" string="23"/>
        </v:shape>
      </w:pict>
    </w:r>
    <w:r>
      <w:pict>
        <v:shape id="PowerPlusWaterMarkObject396" style="position:absolute;margin-left:491.92pt;margin-top:44.1055pt;mso-position-vertical-relative:page;mso-position-horizontal-relative:page;width:119.4pt;height:18.85pt;z-index:-251457536;rotation:330;" o:allowincell="f" fillcolor="#404040" filled="true" stroked="false" type="#_x0000_t136">
          <v:fill opacity="0.400000"/>
          <v:textpath style="font-family:&quot;STSong&quot;;font-size:20;v-text-kern:t;mso-text-shadow:auto" string="仅供内部审核"/>
        </v:shape>
      </w:pict>
    </w:r>
    <w:r>
      <w:pict>
        <v:shape id="PowerPlusWaterMarkObject398" style="position:absolute;margin-left:482.26pt;margin-top:64.2303pt;mso-position-vertical-relative:page;mso-position-horizontal-relative:page;width:51.6pt;height:11.8pt;z-index:-251456512;" o:allowincell="f" fillcolor="#000000" filled="true" stroked="false" type="#_x0000_t136">
          <v:textpath style="font-family:&quot;FangSong&quot;;font-size:11.5;v-text-kern:t;mso-text-shadow:auto" string="万元 比上"/>
        </v:shape>
      </w:pict>
    </w:r>
    <w:r>
      <w:pict>
        <v:shape id="PowerPlusWaterMarkObject400" style="position:absolute;margin-left:86.92pt;margin-top:27.7862pt;mso-position-vertical-relative:text;mso-position-horizontal-relative:text;width:119.4pt;height:18.85pt;z-index:-25145548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402" style="position:absolute;margin-left:30pt;margin-top:29.5pt;mso-position-vertical-relative:page;mso-position-horizontal-relative:page;width:535pt;height:1pt;z-index:-251444224;" o:allowincell="f" filled="false" strokecolor="#646464" strokeweight="1.00pt" coordsize="10700,20" coordorigin="0,0" path="m0,10l10700,10e">
          <v:stroke joinstyle="miter" miterlimit="10"/>
        </v:shape>
      </w:pict>
    </w:r>
    <w:r>
      <w:pict>
        <v:shape id="PowerPlusWaterMarkObject404" style="position:absolute;margin-left:-13.08pt;margin-top:288.105pt;mso-position-vertical-relative:page;mso-position-horizontal-relative:page;width:119.4pt;height:18.85pt;z-index:-251454464;rotation:330;" o:allowincell="f" fillcolor="#404040" filled="true" stroked="false" type="#_x0000_t136">
          <v:fill opacity="0.400000"/>
          <v:textpath style="font-family:&quot;STSong&quot;;font-size:20;v-text-kern:t;mso-text-shadow:auto" string="仅供内部审核"/>
        </v:shape>
      </w:pict>
    </w:r>
    <w:r>
      <w:pict>
        <v:shape id="PowerPlusWaterMarkObject406" style="position:absolute;margin-left:64.8213pt;margin-top:265.865pt;mso-position-vertical-relative:page;mso-position-horizontal-relative:page;width:20.7pt;height:11.8pt;z-index:-251453440;" o:allowincell="f" fillcolor="#000000" filled="true" stroked="false" type="#_x0000_t136">
          <v:textpath style="font-family:&quot;FangSong&quot;;font-size:11.5;v-text-kern:t;mso-text-shadow:auto" string="申报"/>
        </v:shape>
      </w:pict>
    </w:r>
    <w:r>
      <w:pict>
        <v:shape id="PowerPlusWaterMarkObject408" style="position:absolute;margin-left:391.92pt;margin-top:288.105pt;mso-position-vertical-relative:page;mso-position-horizontal-relative:page;width:119.4pt;height:18.85pt;z-index:-251452416;rotation:330;" o:allowincell="f" fillcolor="#404040" filled="true" stroked="false" type="#_x0000_t136">
          <v:fill opacity="0.400000"/>
          <v:textpath style="font-family:&quot;STSong&quot;;font-size:20;v-text-kern:t;mso-text-shadow:auto" string="仅供内部审核"/>
        </v:shape>
      </w:pict>
    </w:r>
    <w:r>
      <w:pict>
        <v:shape id="PowerPlusWaterMarkObject410" style="position:absolute;margin-left:405.599pt;margin-top:306.408pt;mso-position-vertical-relative:page;mso-position-horizontal-relative:page;width:45.55pt;height:11.8pt;z-index:-251451392;" o:allowincell="f" fillcolor="#000000" filled="true" stroked="false" type="#_x0000_t136">
          <v:textpath style="font-family:&quot;FangSong&quot;;font-size:11.5;v-text-kern:t;mso-text-shadow:auto" string="的二级项"/>
        </v:shape>
      </w:pict>
    </w:r>
    <w:r>
      <w:pict>
        <v:shape id="PowerPlusWaterMarkObject412" style="position:absolute;margin-left:-13.08pt;margin-top:776.106pt;mso-position-vertical-relative:page;mso-position-horizontal-relative:page;width:119.4pt;height:18.85pt;z-index:-251450368;rotation:330;" o:allowincell="f" fillcolor="#404040" filled="true" stroked="false" type="#_x0000_t136">
          <v:fill opacity="0.400000"/>
          <v:textpath style="font-family:&quot;STSong&quot;;font-size:20;v-text-kern:t;mso-text-shadow:auto" string="仅供内部审核"/>
        </v:shape>
      </w:pict>
    </w:r>
    <w:r>
      <w:pict>
        <v:shape id="PowerPlusWaterMarkObject414" style="position:absolute;margin-left:391.92pt;margin-top:776.106pt;mso-position-vertical-relative:page;mso-position-horizontal-relative:page;width:119.4pt;height:18.85pt;z-index:-251449344;rotation:330;" o:allowincell="f" fillcolor="#404040" filled="true" stroked="false" type="#_x0000_t136">
          <v:fill opacity="0.400000"/>
          <v:textpath style="font-family:&quot;STSong&quot;;font-size:20;v-text-kern:t;mso-text-shadow:auto" string="仅供内部审核"/>
        </v:shape>
      </w:pict>
    </w:r>
    <w:r>
      <w:pict>
        <v:shape id="PowerPlusWaterMarkObject416" style="position:absolute;margin-left:86.92pt;margin-top:532.106pt;mso-position-vertical-relative:page;mso-position-horizontal-relative:page;width:119.4pt;height:18.85pt;z-index:-251448320;rotation:330;" o:allowincell="f" fillcolor="#404040" filled="true" stroked="false" type="#_x0000_t136">
          <v:fill opacity="0.400000"/>
          <v:textpath style="font-family:&quot;STSong&quot;;font-size:20;v-text-kern:t;mso-text-shadow:auto" string="仅供内部审核"/>
        </v:shape>
      </w:pict>
    </w:r>
    <w:r>
      <w:pict>
        <v:shape id="PowerPlusWaterMarkObject418" style="position:absolute;margin-left:491.92pt;margin-top:532.106pt;mso-position-vertical-relative:page;mso-position-horizontal-relative:page;width:119.4pt;height:18.85pt;z-index:-251447296;rotation:330;" o:allowincell="f" fillcolor="#404040" filled="true" stroked="false" type="#_x0000_t136">
          <v:fill opacity="0.400000"/>
          <v:textpath style="font-family:&quot;STSong&quot;;font-size:20;v-text-kern:t;mso-text-shadow:auto" string="仅供内部审核"/>
        </v:shape>
      </w:pict>
    </w:r>
    <w:r>
      <w:pict>
        <v:shape id="PowerPlusWaterMarkObject420" style="position:absolute;margin-left:99.2732pt;margin-top:64.2303pt;mso-position-vertical-relative:page;mso-position-horizontal-relative:page;width:36.15pt;height:11.8pt;z-index:-251446272;" o:allowincell="f" fillcolor="#000000" filled="true" stroked="false" type="#_x0000_t136">
          <v:textpath style="font-family:&quot;FangSong&quot;;font-size:11.5;v-text-kern:t;mso-text-shadow:auto" string="单位机"/>
        </v:shape>
      </w:pict>
    </w:r>
    <w:r>
      <w:pict>
        <v:shape id="PowerPlusWaterMarkObject422" style="position:absolute;margin-left:104.013pt;margin-top:84.2316pt;mso-position-vertical-relative:page;mso-position-horizontal-relative:page;width:10.55pt;height:11.8pt;z-index:-251445248;" o:allowincell="f" fillcolor="#000000" filled="true" stroked="false" type="#_x0000_t136">
          <v:textpath style="font-family:&quot;FangSong&quot;;font-size:11.5;v-text-kern:t;mso-text-shadow:auto" string="原"/>
        </v:shape>
      </w:pict>
    </w:r>
    <w:r>
      <w:pict>
        <v:shape id="PowerPlusWaterMarkObject424" style="position:absolute;margin-left:491.92pt;margin-top:44.1055pt;mso-position-vertical-relative:page;mso-position-horizontal-relative:page;width:119.4pt;height:18.85pt;z-index:-251443200;rotation:330;" o:allowincell="f" fillcolor="#404040" filled="true" stroked="false" type="#_x0000_t136">
          <v:fill opacity="0.400000"/>
          <v:textpath style="font-family:&quot;STSong&quot;;font-size:20;v-text-kern:t;mso-text-shadow:auto" string="仅供内部审核"/>
        </v:shape>
      </w:pict>
    </w:r>
    <w:r>
      <w:pict>
        <v:shape id="PowerPlusWaterMarkObject426" style="position:absolute;margin-left:484.863pt;margin-top:64.2303pt;mso-position-vertical-relative:page;mso-position-horizontal-relative:page;width:48.95pt;height:11.8pt;z-index:-251442176;" o:allowincell="f" fillcolor="#000000" filled="true" stroked="false" type="#_x0000_t136">
          <v:textpath style="font-family:&quot;FangSong&quot;;font-size:11.5;v-text-kern:t;mso-text-shadow:auto" string="元  下降"/>
        </v:shape>
      </w:pict>
    </w:r>
    <w:r>
      <w:pict>
        <v:shape id="PowerPlusWaterMarkObject428" style="position:absolute;margin-left:86.92pt;margin-top:27.7862pt;mso-position-vertical-relative:text;mso-position-horizontal-relative:text;width:119.4pt;height:18.85pt;z-index:-25144115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430" style="position:absolute;margin-left:30pt;margin-top:29.5pt;mso-position-vertical-relative:page;mso-position-horizontal-relative:page;width:535pt;height:1pt;z-index:-251438080;" o:allowincell="f" filled="false" strokecolor="#646464" strokeweight="1.00pt" coordsize="10700,20" coordorigin="0,0" path="m0,10l10700,10e">
          <v:stroke joinstyle="miter" miterlimit="10"/>
        </v:shape>
      </w:pict>
    </w:r>
    <w:r>
      <w:pict>
        <v:shape id="PowerPlusWaterMarkObject432" style="position:absolute;margin-left:-13.08pt;margin-top:776.106pt;mso-position-vertical-relative:page;mso-position-horizontal-relative:page;width:119.4pt;height:18.85pt;z-index:-251440128;rotation:330;" o:allowincell="f" fillcolor="#404040" filled="true" stroked="false" type="#_x0000_t136">
          <v:fill opacity="0.400000"/>
          <v:textpath style="font-family:&quot;STSong&quot;;font-size:20;v-text-kern:t;mso-text-shadow:auto" string="仅供内部审核"/>
        </v:shape>
      </w:pict>
    </w:r>
    <w:r>
      <w:pict>
        <v:shape id="PowerPlusWaterMarkObject434" style="position:absolute;margin-left:391.92pt;margin-top:776.106pt;mso-position-vertical-relative:page;mso-position-horizontal-relative:page;width:119.4pt;height:18.85pt;z-index:-251439104;rotation:330;" o:allowincell="f" fillcolor="#404040" filled="true" stroked="false" type="#_x0000_t136">
          <v:fill opacity="0.400000"/>
          <v:textpath style="font-family:&quot;STSong&quot;;font-size:20;v-text-kern:t;mso-text-shadow:auto" string="仅供内部审核"/>
        </v:shape>
      </w:pict>
    </w:r>
    <w:r>
      <w:pict>
        <v:shape id="PowerPlusWaterMarkObject436" style="position:absolute;margin-left:86.92pt;margin-top:27.7862pt;mso-position-vertical-relative:text;mso-position-horizontal-relative:text;width:119.4pt;height:18.85pt;z-index:-25143705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468" style="position:absolute;margin-left:30pt;margin-top:29.5pt;mso-position-vertical-relative:page;mso-position-horizontal-relative:page;width:535pt;height:1pt;z-index:-251431936;" o:allowincell="f" filled="false" strokecolor="#646464" strokeweight="1.00pt" coordsize="10700,20" coordorigin="0,0" path="m0,10l10700,10e">
          <v:stroke joinstyle="miter" miterlimit="10"/>
        </v:shape>
      </w:pict>
    </w:r>
    <w:r>
      <w:pict>
        <v:shape id="PowerPlusWaterMarkObject470" style="position:absolute;margin-left:-13.08pt;margin-top:288.105pt;mso-position-vertical-relative:page;mso-position-horizontal-relative:page;width:119.4pt;height:18.85pt;z-index:-251436032;rotation:330;" o:allowincell="f" fillcolor="#404040" filled="true" stroked="false" type="#_x0000_t136">
          <v:fill opacity="0.400000"/>
          <v:textpath style="font-family:&quot;STSong&quot;;font-size:20;v-text-kern:t;mso-text-shadow:auto" string="仅供内部审核"/>
        </v:shape>
      </w:pict>
    </w:r>
    <w:r>
      <w:pict>
        <v:shape id="PowerPlusWaterMarkObject472" style="position:absolute;margin-left:-13.08pt;margin-top:776.106pt;mso-position-vertical-relative:page;mso-position-horizontal-relative:page;width:119.4pt;height:18.85pt;z-index:-251435008;rotation:330;" o:allowincell="f" fillcolor="#404040" filled="true" stroked="false" type="#_x0000_t136">
          <v:fill opacity="0.400000"/>
          <v:textpath style="font-family:&quot;STSong&quot;;font-size:20;v-text-kern:t;mso-text-shadow:auto" string="仅供内部审核"/>
        </v:shape>
      </w:pict>
    </w:r>
    <w:r>
      <w:pict>
        <v:shape id="PowerPlusWaterMarkObject474" style="position:absolute;margin-left:391.92pt;margin-top:776.106pt;mso-position-vertical-relative:page;mso-position-horizontal-relative:page;width:119.4pt;height:18.85pt;z-index:-251433984;rotation:330;" o:allowincell="f" fillcolor="#404040" filled="true" stroked="false" type="#_x0000_t136">
          <v:fill opacity="0.400000"/>
          <v:textpath style="font-family:&quot;STSong&quot;;font-size:20;v-text-kern:t;mso-text-shadow:auto" string="仅供内部审核"/>
        </v:shape>
      </w:pict>
    </w:r>
    <w:r>
      <w:pict>
        <v:shape id="PowerPlusWaterMarkObject476" style="position:absolute;margin-left:491.92pt;margin-top:532.106pt;mso-position-vertical-relative:page;mso-position-horizontal-relative:page;width:119.4pt;height:18.85pt;z-index:-251432960;rotation:330;" o:allowincell="f" fillcolor="#404040" filled="true" stroked="false" type="#_x0000_t136">
          <v:fill opacity="0.400000"/>
          <v:textpath style="font-family:&quot;STSong&quot;;font-size:20;v-text-kern:t;mso-text-shadow:auto" string="仅供内部审核"/>
        </v:shape>
      </w:pict>
    </w:r>
    <w:r>
      <w:pict>
        <v:shape id="PowerPlusWaterMarkObject478" style="position:absolute;margin-left:491.92pt;margin-top:44.1055pt;mso-position-vertical-relative:page;mso-position-horizontal-relative:page;width:119.4pt;height:18.85pt;z-index:-251430912;rotation:330;" o:allowincell="f" fillcolor="#404040" filled="true" stroked="false" type="#_x0000_t136">
          <v:fill opacity="0.400000"/>
          <v:textpath style="font-family:&quot;STSong&quot;;font-size:20;v-text-kern:t;mso-text-shadow:auto" string="仅供内部审核"/>
        </v:shape>
      </w:pict>
    </w:r>
    <w:r>
      <w:pict>
        <v:shape id="PowerPlusWaterMarkObject480" style="position:absolute;margin-left:86.92pt;margin-top:27.7862pt;mso-position-vertical-relative:text;mso-position-horizontal-relative:text;width:119.4pt;height:18.85pt;z-index:-25142988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84" style="position:absolute;margin-left:30pt;margin-top:29.5pt;mso-position-vertical-relative:page;mso-position-horizontal-relative:page;width:782pt;height:1pt;z-index:-251428864;" o:allowincell="f" filled="false" strokecolor="#646464" strokeweight="1.00pt" coordsize="15640,20" coordorigin="0,0" path="m0,10l15640,10e">
          <v:stroke joinstyle="miter" miterlimit="10"/>
        </v:shape>
      </w:pict>
    </w:r>
    <w:r>
      <w:pict>
        <v:shape id="PowerPlusWaterMarkObject586" style="position:absolute;margin-left:-13.08pt;margin-top:28.7862pt;mso-position-vertical-relative:text;mso-position-horizontal-relative:text;width:119.4pt;height:18.85pt;z-index:-25142784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600" style="position:absolute;margin-left:30pt;margin-top:29.5pt;mso-position-vertical-relative:page;mso-position-horizontal-relative:page;width:535pt;height:1pt;z-index:-251426816;" o:allowincell="f" filled="false" strokecolor="#646464" strokeweight="1.00pt" coordsize="10700,20" coordorigin="0,0" path="m0,10l10700,10e">
          <v:stroke joinstyle="miter" miterlimit="10"/>
        </v:shape>
      </w:pict>
    </w:r>
    <w:r>
      <w:pict>
        <v:shape id="PowerPlusWaterMarkObject602" style="position:absolute;margin-left:86.92pt;margin-top:27.7862pt;mso-position-vertical-relative:text;mso-position-horizontal-relative:text;width:119.4pt;height:18.85pt;z-index:-2514257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618" style="position:absolute;margin-left:30pt;margin-top:29.5pt;mso-position-vertical-relative:page;mso-position-horizontal-relative:page;width:535pt;height:1pt;z-index:-251418624;" o:allowincell="f" filled="false" strokecolor="#646464" strokeweight="1.00pt" coordsize="10700,20" coordorigin="0,0" path="m0,10l10700,10e">
          <v:stroke joinstyle="miter" miterlimit="10"/>
        </v:shape>
      </w:pict>
    </w:r>
    <w:r>
      <w:pict>
        <v:shape id="PowerPlusWaterMarkObject620" style="position:absolute;margin-left:-13.08pt;margin-top:288.105pt;mso-position-vertical-relative:page;mso-position-horizontal-relative:page;width:119.4pt;height:18.85pt;z-index:-251424768;rotation:330;" o:allowincell="f" fillcolor="#404040" filled="true" stroked="false" type="#_x0000_t136">
          <v:fill opacity="0.400000"/>
          <v:textpath style="font-family:&quot;STSong&quot;;font-size:20;v-text-kern:t;mso-text-shadow:auto" string="仅供内部审核"/>
        </v:shape>
      </w:pict>
    </w:r>
    <w:r>
      <w:pict>
        <v:shape id="PowerPlusWaterMarkObject622" style="position:absolute;margin-left:391.92pt;margin-top:288.105pt;mso-position-vertical-relative:page;mso-position-horizontal-relative:page;width:119.4pt;height:18.85pt;z-index:-251423744;rotation:330;" o:allowincell="f" fillcolor="#404040" filled="true" stroked="false" type="#_x0000_t136">
          <v:fill opacity="0.400000"/>
          <v:textpath style="font-family:&quot;STSong&quot;;font-size:20;v-text-kern:t;mso-text-shadow:auto" string="仅供内部审核"/>
        </v:shape>
      </w:pict>
    </w:r>
    <w:r>
      <w:pict>
        <v:shape id="PowerPlusWaterMarkObject624" style="position:absolute;margin-left:-13.08pt;margin-top:776.106pt;mso-position-vertical-relative:page;mso-position-horizontal-relative:page;width:119.4pt;height:18.85pt;z-index:-251422720;rotation:330;" o:allowincell="f" fillcolor="#404040" filled="true" stroked="false" type="#_x0000_t136">
          <v:fill opacity="0.400000"/>
          <v:textpath style="font-family:&quot;STSong&quot;;font-size:20;v-text-kern:t;mso-text-shadow:auto" string="仅供内部审核"/>
        </v:shape>
      </w:pict>
    </w:r>
    <w:r>
      <w:pict>
        <v:shape id="PowerPlusWaterMarkObject626" style="position:absolute;margin-left:391.92pt;margin-top:776.106pt;mso-position-vertical-relative:page;mso-position-horizontal-relative:page;width:119.4pt;height:18.85pt;z-index:-251421696;rotation:330;" o:allowincell="f" fillcolor="#404040" filled="true" stroked="false" type="#_x0000_t136">
          <v:fill opacity="0.400000"/>
          <v:textpath style="font-family:&quot;STSong&quot;;font-size:20;v-text-kern:t;mso-text-shadow:auto" string="仅供内部审核"/>
        </v:shape>
      </w:pict>
    </w:r>
    <w:r>
      <w:pict>
        <v:shape id="PowerPlusWaterMarkObject628" style="position:absolute;margin-left:86.92pt;margin-top:532.106pt;mso-position-vertical-relative:page;mso-position-horizontal-relative:page;width:119.4pt;height:18.85pt;z-index:-251420672;rotation:330;" o:allowincell="f" fillcolor="#404040" filled="true" stroked="false" type="#_x0000_t136">
          <v:fill opacity="0.400000"/>
          <v:textpath style="font-family:&quot;STSong&quot;;font-size:20;v-text-kern:t;mso-text-shadow:auto" string="仅供内部审核"/>
        </v:shape>
      </w:pict>
    </w:r>
    <w:r>
      <w:pict>
        <v:shape id="PowerPlusWaterMarkObject630" style="position:absolute;margin-left:491.92pt;margin-top:532.106pt;mso-position-vertical-relative:page;mso-position-horizontal-relative:page;width:119.4pt;height:18.85pt;z-index:-251419648;rotation:330;" o:allowincell="f" fillcolor="#404040" filled="true" stroked="false" type="#_x0000_t136">
          <v:fill opacity="0.400000"/>
          <v:textpath style="font-family:&quot;STSong&quot;;font-size:20;v-text-kern:t;mso-text-shadow:auto" string="仅供内部审核"/>
        </v:shape>
      </w:pict>
    </w:r>
    <w:r>
      <w:pict>
        <v:shape id="PowerPlusWaterMarkObject632" style="position:absolute;margin-left:86.92pt;margin-top:27.7862pt;mso-position-vertical-relative:text;mso-position-horizontal-relative:text;width:119.4pt;height:18.85pt;z-index:-25141760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850" style="position:absolute;margin-left:-13.08pt;margin-top:288.105pt;mso-position-vertical-relative:page;mso-position-horizontal-relative:page;width:119.4pt;height:18.85pt;z-index:-251416576;rotation:330;" o:allowincell="f" fillcolor="#404040" filled="true" stroked="false" type="#_x0000_t136">
          <v:fill opacity="0.400000"/>
          <v:textpath style="font-family:&quot;STSong&quot;;font-size:20;v-text-kern:t;mso-text-shadow:auto" string="仅供内部审核"/>
        </v:shape>
      </w:pict>
    </w:r>
    <w:r>
      <w:pict>
        <v:shape id="PowerPlusWaterMarkObject852" style="position:absolute;margin-left:391.92pt;margin-top:288.105pt;mso-position-vertical-relative:page;mso-position-horizontal-relative:page;width:119.4pt;height:18.85pt;z-index:-251415552;rotation:330;" o:allowincell="f" fillcolor="#404040" filled="true" stroked="false" type="#_x0000_t136">
          <v:fill opacity="0.400000"/>
          <v:textpath style="font-family:&quot;STSong&quot;;font-size:20;v-text-kern:t;mso-text-shadow:auto" string="仅供内部审核"/>
        </v:shape>
      </w:pict>
    </w:r>
    <w:r>
      <w:pict>
        <v:shape id="PowerPlusWaterMarkObject854" style="position:absolute;margin-left:-13.08pt;margin-top:776.106pt;mso-position-vertical-relative:page;mso-position-horizontal-relative:page;width:119.4pt;height:18.85pt;z-index:-251414528;rotation:330;" o:allowincell="f" fillcolor="#404040" filled="true" stroked="false" type="#_x0000_t136">
          <v:fill opacity="0.400000"/>
          <v:textpath style="font-family:&quot;STSong&quot;;font-size:20;v-text-kern:t;mso-text-shadow:auto" string="仅供内部审核"/>
        </v:shape>
      </w:pict>
    </w:r>
    <w:r>
      <w:pict>
        <v:shape id="PowerPlusWaterMarkObject856" style="position:absolute;margin-left:391.92pt;margin-top:776.106pt;mso-position-vertical-relative:page;mso-position-horizontal-relative:page;width:119.4pt;height:18.85pt;z-index:-251413504;rotation:330;" o:allowincell="f" fillcolor="#404040" filled="true" stroked="false" type="#_x0000_t136">
          <v:fill opacity="0.400000"/>
          <v:textpath style="font-family:&quot;STSong&quot;;font-size:20;v-text-kern:t;mso-text-shadow:auto" string="仅供内部审核"/>
        </v:shape>
      </w:pict>
    </w:r>
    <w:r>
      <w:pict>
        <v:shape id="PowerPlusWaterMarkObject858" style="position:absolute;margin-left:86.92pt;margin-top:532.106pt;mso-position-vertical-relative:page;mso-position-horizontal-relative:page;width:119.4pt;height:18.85pt;z-index:-251412480;rotation:330;" o:allowincell="f" fillcolor="#404040" filled="true" stroked="false" type="#_x0000_t136">
          <v:fill opacity="0.400000"/>
          <v:textpath style="font-family:&quot;STSong&quot;;font-size:20;v-text-kern:t;mso-text-shadow:auto" string="仅供内部审核"/>
        </v:shape>
      </w:pict>
    </w:r>
    <w:r>
      <w:pict>
        <v:shape id="PowerPlusWaterMarkObject860" style="position:absolute;margin-left:491.92pt;margin-top:532.106pt;mso-position-vertical-relative:page;mso-position-horizontal-relative:page;width:119.4pt;height:18.85pt;z-index:-251411456;rotation:330;" o:allowincell="f" fillcolor="#404040" filled="true" stroked="false" type="#_x0000_t136">
          <v:fill opacity="0.400000"/>
          <v:textpath style="font-family:&quot;STSong&quot;;font-size:20;v-text-kern:t;mso-text-shadow:auto" string="仅供内部审核"/>
        </v:shape>
      </w:pict>
    </w:r>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868" style="position:absolute;margin-left:30pt;margin-top:29.5pt;mso-position-vertical-relative:page;mso-position-horizontal-relative:page;width:535pt;height:1pt;z-index:-251404288;" o:allowincell="f" filled="false" strokecolor="#646464" strokeweight="1.00pt" coordsize="10700,20" coordorigin="0,0" path="m0,10l10700,10e">
          <v:stroke joinstyle="miter" miterlimit="10"/>
        </v:shape>
      </w:pict>
    </w:r>
    <w:r>
      <w:pict>
        <v:shape id="PowerPlusWaterMarkObject870" style="position:absolute;margin-left:-13.08pt;margin-top:288.105pt;mso-position-vertical-relative:page;mso-position-horizontal-relative:page;width:119.4pt;height:18.85pt;z-index:-251410432;rotation:330;" o:allowincell="f" fillcolor="#404040" filled="true" stroked="false" type="#_x0000_t136">
          <v:fill opacity="0.400000"/>
          <v:textpath style="font-family:&quot;STSong&quot;;font-size:20;v-text-kern:t;mso-text-shadow:auto" string="仅供内部审核"/>
        </v:shape>
      </w:pict>
    </w:r>
    <w:r>
      <w:pict>
        <v:shape id="PowerPlusWaterMarkObject872" style="position:absolute;margin-left:391.92pt;margin-top:288.105pt;mso-position-vertical-relative:page;mso-position-horizontal-relative:page;width:119.4pt;height:18.85pt;z-index:-251409408;rotation:330;" o:allowincell="f" fillcolor="#404040" filled="true" stroked="false" type="#_x0000_t136">
          <v:fill opacity="0.400000"/>
          <v:textpath style="font-family:&quot;STSong&quot;;font-size:20;v-text-kern:t;mso-text-shadow:auto" string="仅供内部审核"/>
        </v:shape>
      </w:pict>
    </w:r>
    <w:r>
      <w:pict>
        <v:shape id="PowerPlusWaterMarkObject874" style="position:absolute;margin-left:491.92pt;margin-top:532.106pt;mso-position-vertical-relative:page;mso-position-horizontal-relative:page;width:119.4pt;height:18.85pt;z-index:-251408384;rotation:330;" o:allowincell="f" fillcolor="#404040" filled="true" stroked="false" type="#_x0000_t136">
          <v:fill opacity="0.400000"/>
          <v:textpath style="font-family:&quot;STSong&quot;;font-size:20;v-text-kern:t;mso-text-shadow:auto" string="仅供内部审核"/>
        </v:shape>
      </w:pict>
    </w:r>
    <w:r>
      <w:pict>
        <v:shape id="PowerPlusWaterMarkObject876" style="position:absolute;margin-left:86.92pt;margin-top:532.106pt;mso-position-vertical-relative:page;mso-position-horizontal-relative:page;width:119.4pt;height:18.85pt;z-index:-251407360;rotation:330;" o:allowincell="f" fillcolor="#404040" filled="true" stroked="false" type="#_x0000_t136">
          <v:fill opacity="0.400000"/>
          <v:textpath style="font-family:&quot;STSong&quot;;font-size:20;v-text-kern:t;mso-text-shadow:auto" string="仅供内部审核"/>
        </v:shape>
      </w:pict>
    </w:r>
    <w:r>
      <w:pict>
        <v:shape id="PowerPlusWaterMarkObject878" style="position:absolute;margin-left:-13.08pt;margin-top:776.106pt;mso-position-vertical-relative:page;mso-position-horizontal-relative:page;width:119.4pt;height:18.85pt;z-index:-251406336;rotation:330;" o:allowincell="f" fillcolor="#404040" filled="true" stroked="false" type="#_x0000_t136">
          <v:fill opacity="0.400000"/>
          <v:textpath style="font-family:&quot;STSong&quot;;font-size:20;v-text-kern:t;mso-text-shadow:auto" string="仅供内部审核"/>
        </v:shape>
      </w:pict>
    </w:r>
    <w:r>
      <w:pict>
        <v:shape id="PowerPlusWaterMarkObject880" style="position:absolute;margin-left:391.92pt;margin-top:776.106pt;mso-position-vertical-relative:page;mso-position-horizontal-relative:page;width:119.4pt;height:18.85pt;z-index:-251405312;rotation:330;" o:allowincell="f" fillcolor="#404040" filled="true" stroked="false" type="#_x0000_t136">
          <v:fill opacity="0.400000"/>
          <v:textpath style="font-family:&quot;STSong&quot;;font-size:20;v-text-kern:t;mso-text-shadow:auto" string="仅供内部审核"/>
        </v:shape>
      </w:pict>
    </w:r>
    <w:r>
      <w:pict>
        <v:shape id="PowerPlusWaterMarkObject882" style="position:absolute;margin-left:491.92pt;margin-top:44.1055pt;mso-position-vertical-relative:page;mso-position-horizontal-relative:page;width:119.4pt;height:18.85pt;z-index:-251403264;rotation:330;" o:allowincell="f" fillcolor="#404040" filled="true" stroked="false" type="#_x0000_t136">
          <v:fill opacity="0.400000"/>
          <v:textpath style="font-family:&quot;STSong&quot;;font-size:20;v-text-kern:t;mso-text-shadow:auto" string="仅供内部审核"/>
        </v:shape>
      </w:pict>
    </w:r>
    <w:r>
      <w:pict>
        <v:shape id="PowerPlusWaterMarkObject884" style="position:absolute;margin-left:86.92pt;margin-top:27.7862pt;mso-position-vertical-relative:text;mso-position-horizontal-relative:text;width:119.4pt;height:18.85pt;z-index:-25140224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86.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491.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13.08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776.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68" style="position:absolute;margin-left:30pt;margin-top:29.5pt;mso-position-vertical-relative:page;mso-position-horizontal-relative:page;width:782pt;height:1pt;z-index:-251620352;" o:allowincell="f" filled="false" strokecolor="#646464" strokeweight="1.00pt" coordsize="15640,20" coordorigin="0,0" path="m0,10l15640,10e">
          <v:stroke joinstyle="miter" miterlimit="10"/>
        </v:shape>
      </w:pict>
    </w:r>
    <w:r>
      <w:pict>
        <v:shape id="PowerPlusWaterMarkObject70" style="position:absolute;margin-left:86.92pt;margin-top:287.106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45.0434pt;margin-top:406.395pt;mso-position-vertical-relative:page;mso-position-horizontal-relative:page;width:609.35pt;height:22.25pt;z-index:-25162342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74" style="position:absolute;margin-left:280.957pt;margin-top:406.395pt;mso-position-vertical-relative:page;mso-position-horizontal-relative:page;width:609.35pt;height:22.25pt;z-index:-25162240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76" style="position:absolute;margin-left:638.92pt;margin-top:529.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312.92pt;margin-top:45.1055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638.92pt;margin-top:45.1055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13.08pt;margin-top:28.7862pt;mso-position-vertical-relative:text;mso-position-horizontal-relative:text;width:119.4pt;height:18.85pt;z-index:-25161728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84" style="position:absolute;margin-left:30pt;margin-top:29.5pt;mso-position-vertical-relative:page;mso-position-horizontal-relative:page;width:782pt;height:1pt;z-index:-251612160;" o:allowincell="f" filled="false" strokecolor="#646464" strokeweight="1.00pt" coordsize="15640,20" coordorigin="0,0" path="m0,10l15640,10e">
          <v:stroke joinstyle="miter" miterlimit="10"/>
        </v:shape>
      </w:pict>
    </w:r>
    <w:r>
      <w:pict>
        <v:shape id="PowerPlusWaterMarkObject86" style="position:absolute;margin-left:-45.0434pt;margin-top:406.395pt;mso-position-vertical-relative:page;mso-position-horizontal-relative:page;width:609.35pt;height:22.25pt;z-index:-25161625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88" style="position:absolute;margin-left:280.957pt;margin-top:406.395pt;mso-position-vertical-relative:page;mso-position-horizontal-relative:page;width:609.35pt;height:22.25pt;z-index:-25161523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90" style="position:absolute;margin-left:638.92pt;margin-top:529.106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86.92pt;margin-top:287.106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638.92pt;margin-top:45.1055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312.92pt;margin-top:45.1055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28.7862pt;mso-position-vertical-relative:text;mso-position-horizontal-relative:text;width:119.4pt;height:18.85pt;z-index:-25160908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00" style="position:absolute;margin-left:30pt;margin-top:29.5pt;mso-position-vertical-relative:page;mso-position-horizontal-relative:page;width:535pt;height:1pt;z-index:-251601920;" o:allowincell="f" filled="false" strokecolor="#646464" strokeweight="1.00pt" coordsize="10700,20" coordorigin="0,0" path="m0,10l10700,10e">
          <v:stroke joinstyle="miter" miterlimit="10"/>
        </v:shape>
      </w:pict>
    </w:r>
    <w:r>
      <w:pict>
        <v:shape id="PowerPlusWaterMarkObject102" style="position:absolute;margin-left:-13.08pt;margin-top:288.105pt;mso-position-vertical-relative:page;mso-position-horizontal-relative:page;width:119.4pt;height:18.85pt;z-index:-251608064;rotation:330;" o:allowincell="f" fillcolor="#404040" filled="true" stroked="false" type="#_x0000_t136">
          <v:fill opacity="0.400000"/>
          <v:textpath style="font-family:&quot;STSong&quot;;font-size:20;v-text-kern:t;mso-text-shadow:auto" string="仅供内部审核"/>
        </v:shape>
      </w:pict>
    </w:r>
    <w:r>
      <w:pict>
        <v:shape id="WordPictureWatermark104" style="position:absolute;margin-left:395.367pt;margin-top:259.52pt;mso-position-vertical-relative:page;mso-position-horizontal-relative:page;width:112.65pt;height:75.9pt;z-index:-251607040;" o:allowincell="f" filled="false" stroked="false" type="#_x0000_t75">
          <v:imagedata o:title="" r:id="rId1"/>
        </v:shape>
      </w:pict>
    </w:r>
    <w:r>
      <w:pict>
        <v:shape id="PowerPlusWaterMarkObject106" style="position:absolute;margin-left:-13.08pt;margin-top:776.106pt;mso-position-vertical-relative:page;mso-position-horizontal-relative:page;width:119.4pt;height:18.85pt;z-index:-251606016;rotation:330;" o:allowincell="f" fillcolor="#404040" filled="true" stroked="false" type="#_x0000_t136">
          <v:fill opacity="0.400000"/>
          <v:textpath style="font-family:&quot;STSong&quot;;font-size:20;v-text-kern:t;mso-text-shadow:auto" string="仅供内部审核"/>
        </v:shape>
      </w:pict>
    </w:r>
    <w:r>
      <w:pict>
        <v:shape id="PowerPlusWaterMarkObject108" style="position:absolute;margin-left:391.92pt;margin-top:776.106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86.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491.92pt;margin-top:532.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491.92pt;margin-top:44.1055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86.92pt;margin-top:27.7862pt;mso-position-vertical-relative:text;mso-position-horizontal-relative:text;width:119.4pt;height:18.85pt;z-index:-2515998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18" style="position:absolute;margin-left:30pt;margin-top:29.5pt;mso-position-vertical-relative:page;mso-position-horizontal-relative:page;width:535pt;height:1pt;z-index:-251591680;" o:allowincell="f" filled="false" strokecolor="#646464" strokeweight="1.00pt" coordsize="10700,20" coordorigin="0,0" path="m0,10l10700,10e">
          <v:stroke joinstyle="miter" miterlimit="10"/>
        </v:shape>
      </w:pict>
    </w:r>
    <w:r>
      <w:pict>
        <v:shape id="PowerPlusWaterMarkObject120" style="position:absolute;margin-left:-13.08pt;margin-top:288.105pt;mso-position-vertical-relative:page;mso-position-horizontal-relative:page;width:119.4pt;height:18.85pt;z-index:-251598848;rotation:330;" o:allowincell="f" fillcolor="#404040" filled="true" stroked="false" type="#_x0000_t136">
          <v:fill opacity="0.400000"/>
          <v:textpath style="font-family:&quot;STSong&quot;;font-size:20;v-text-kern:t;mso-text-shadow:auto" string="仅供内部审核"/>
        </v:shape>
      </w:pict>
    </w:r>
    <w:r>
      <w:pict>
        <v:shape id="PowerPlusWaterMarkObject122" style="position:absolute;margin-left:391.92pt;margin-top:288.10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24" style="position:absolute;margin-left:408.868pt;margin-top:325.754pt;mso-position-vertical-relative:page;mso-position-horizontal-relative:page;width:7.55pt;height:7.9pt;z-index:-251596800;" o:allowincell="f" fillcolor="#212529" filled="true" stroked="false" type="#_x0000_t136">
          <v:textpath style="font-family:&quot;SimSun&quot;;font-size:7.5;v-text-kern:t;mso-text-shadow:auto" string="76"/>
        </v:shape>
      </w:pict>
    </w:r>
    <w:r>
      <w:pict>
        <v:shape id="PowerPlusWaterMarkObject126" style="position:absolute;margin-left:86.92pt;margin-top:532.106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532.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13.08pt;margin-top:776.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391.92pt;margin-top:776.106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491.92pt;margin-top:44.1055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3.62pt;margin-top:72.8103pt;mso-position-vertical-relative:page;mso-position-horizontal-relative:page;width:32.1pt;height:7.2pt;z-index:-251589632;" o:allowincell="f" fillcolor="#212529" filled="true" stroked="false" type="#_x0000_t136">
          <v:textpath style="font-family:&quot;SimSun&quot;;font-size:7;v-text-kern:t;mso-text-shadow:auto" string="算公开表4"/>
        </v:shape>
      </w:pict>
    </w:r>
    <w:r>
      <w:pict>
        <v:shape id="PowerPlusWaterMarkObject138" style="position:absolute;margin-left:86.92pt;margin-top:27.7862pt;mso-position-vertical-relative:text;mso-position-horizontal-relative:text;width:119.4pt;height:18.85pt;z-index:-25158860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40" style="position:absolute;margin-left:30pt;margin-top:29.5pt;mso-position-vertical-relative:page;mso-position-horizontal-relative:page;width:535pt;height:1pt;z-index:-251580416;" o:allowincell="f" filled="false" strokecolor="#646464" strokeweight="1.00pt" coordsize="10700,20" coordorigin="0,0" path="m0,10l10700,10e">
          <v:stroke joinstyle="miter" miterlimit="10"/>
        </v:shape>
      </w:pict>
    </w:r>
    <w:r>
      <w:pict>
        <v:shape id="PowerPlusWaterMarkObject142" style="position:absolute;margin-left:-13.08pt;margin-top:288.105pt;mso-position-vertical-relative:page;mso-position-horizontal-relative:page;width:119.4pt;height:18.85pt;z-index:-251587584;rotation:330;" o:allowincell="f" fillcolor="#404040" filled="true" stroked="false" type="#_x0000_t136">
          <v:fill opacity="0.400000"/>
          <v:textpath style="font-family:&quot;STSong&quot;;font-size:20;v-text-kern:t;mso-text-shadow:auto" string="仅供内部审核"/>
        </v:shape>
      </w:pict>
    </w:r>
    <w:r>
      <w:pict>
        <v:shape id="PowerPlusWaterMarkObject144" style="position:absolute;margin-left:391.92pt;margin-top:288.105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13.08pt;margin-top:776.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391.92pt;margin-top:776.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86.92pt;margin-top:532.106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491.92pt;margin-top:532.106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94.1286pt;margin-top:66.2782pt;mso-position-vertical-relative:page;mso-position-horizontal-relative:page;width:40.05pt;height:7.9pt;z-index:-251581440;" o:allowincell="f" fillcolor="#212529" filled="true" stroked="false" type="#_x0000_t136">
          <v:textpath style="font-family:&quot;SimSun&quot;;font-size:7.5;v-text-kern:t;mso-text-shadow:auto" string="政拨款结转"/>
        </v:shape>
      </w:pict>
    </w:r>
    <w:r>
      <w:pict>
        <v:shape id="PowerPlusWaterMarkObject156" style="position:absolute;margin-left:491.92pt;margin-top:44.1055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PowerPlusWaterMarkObject158" style="position:absolute;margin-left:86.92pt;margin-top:27.7862pt;mso-position-vertical-relative:text;mso-position-horizontal-relative:text;width:119.4pt;height:18.85pt;z-index:-25157836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0.png"/><Relationship Id="rId98" Type="http://schemas.openxmlformats.org/officeDocument/2006/relationships/footer" Target="footer45.xml"/><Relationship Id="rId97" Type="http://schemas.openxmlformats.org/officeDocument/2006/relationships/image" Target="media/image29.png"/><Relationship Id="rId96" Type="http://schemas.openxmlformats.org/officeDocument/2006/relationships/footer" Target="footer44.xml"/><Relationship Id="rId95" Type="http://schemas.openxmlformats.org/officeDocument/2006/relationships/image" Target="media/image28.png"/><Relationship Id="rId94" Type="http://schemas.openxmlformats.org/officeDocument/2006/relationships/footer" Target="footer43.xml"/><Relationship Id="rId93" Type="http://schemas.openxmlformats.org/officeDocument/2006/relationships/image" Target="media/image27.png"/><Relationship Id="rId92" Type="http://schemas.openxmlformats.org/officeDocument/2006/relationships/footer" Target="footer42.xml"/><Relationship Id="rId91" Type="http://schemas.openxmlformats.org/officeDocument/2006/relationships/image" Target="media/image26.png"/><Relationship Id="rId90" Type="http://schemas.openxmlformats.org/officeDocument/2006/relationships/footer" Target="footer41.xml"/><Relationship Id="rId9" Type="http://schemas.openxmlformats.org/officeDocument/2006/relationships/header" Target="header5.xml"/><Relationship Id="rId89" Type="http://schemas.openxmlformats.org/officeDocument/2006/relationships/image" Target="media/image25.png"/><Relationship Id="rId88" Type="http://schemas.openxmlformats.org/officeDocument/2006/relationships/footer" Target="footer40.xml"/><Relationship Id="rId87" Type="http://schemas.openxmlformats.org/officeDocument/2006/relationships/image" Target="media/image24.png"/><Relationship Id="rId86" Type="http://schemas.openxmlformats.org/officeDocument/2006/relationships/footer" Target="footer39.xml"/><Relationship Id="rId85" Type="http://schemas.openxmlformats.org/officeDocument/2006/relationships/image" Target="media/image23.png"/><Relationship Id="rId84" Type="http://schemas.openxmlformats.org/officeDocument/2006/relationships/footer" Target="footer38.xml"/><Relationship Id="rId83" Type="http://schemas.openxmlformats.org/officeDocument/2006/relationships/header" Target="header25.xml"/><Relationship Id="rId82" Type="http://schemas.openxmlformats.org/officeDocument/2006/relationships/image" Target="media/image22.png"/><Relationship Id="rId81" Type="http://schemas.openxmlformats.org/officeDocument/2006/relationships/footer" Target="footer37.xml"/><Relationship Id="rId80" Type="http://schemas.openxmlformats.org/officeDocument/2006/relationships/header" Target="header24.xml"/><Relationship Id="rId8" Type="http://schemas.openxmlformats.org/officeDocument/2006/relationships/footer" Target="footer3.xml"/><Relationship Id="rId79" Type="http://schemas.openxmlformats.org/officeDocument/2006/relationships/image" Target="media/image21.png"/><Relationship Id="rId78" Type="http://schemas.openxmlformats.org/officeDocument/2006/relationships/footer" Target="footer36.xml"/><Relationship Id="rId77" Type="http://schemas.openxmlformats.org/officeDocument/2006/relationships/header" Target="header23.xml"/><Relationship Id="rId76" Type="http://schemas.openxmlformats.org/officeDocument/2006/relationships/image" Target="media/image20.png"/><Relationship Id="rId75" Type="http://schemas.openxmlformats.org/officeDocument/2006/relationships/footer" Target="footer35.xml"/><Relationship Id="rId74" Type="http://schemas.openxmlformats.org/officeDocument/2006/relationships/footer" Target="footer34.xml"/><Relationship Id="rId73" Type="http://schemas.openxmlformats.org/officeDocument/2006/relationships/image" Target="media/image19.png"/><Relationship Id="rId72" Type="http://schemas.openxmlformats.org/officeDocument/2006/relationships/footer" Target="footer33.xml"/><Relationship Id="rId71" Type="http://schemas.openxmlformats.org/officeDocument/2006/relationships/image" Target="media/image18.png"/><Relationship Id="rId70" Type="http://schemas.openxmlformats.org/officeDocument/2006/relationships/footer" Target="footer32.xml"/><Relationship Id="rId7" Type="http://schemas.openxmlformats.org/officeDocument/2006/relationships/footer" Target="footer2.xml"/><Relationship Id="rId69" Type="http://schemas.openxmlformats.org/officeDocument/2006/relationships/image" Target="media/image17.png"/><Relationship Id="rId68" Type="http://schemas.openxmlformats.org/officeDocument/2006/relationships/footer" Target="footer31.xml"/><Relationship Id="rId67" Type="http://schemas.openxmlformats.org/officeDocument/2006/relationships/image" Target="media/image16.png"/><Relationship Id="rId66" Type="http://schemas.openxmlformats.org/officeDocument/2006/relationships/footer" Target="footer30.xml"/><Relationship Id="rId65" Type="http://schemas.openxmlformats.org/officeDocument/2006/relationships/image" Target="media/image15.png"/><Relationship Id="rId64" Type="http://schemas.openxmlformats.org/officeDocument/2006/relationships/footer" Target="footer29.xml"/><Relationship Id="rId63" Type="http://schemas.openxmlformats.org/officeDocument/2006/relationships/image" Target="media/image14.png"/><Relationship Id="rId62" Type="http://schemas.openxmlformats.org/officeDocument/2006/relationships/footer" Target="footer28.xml"/><Relationship Id="rId61" Type="http://schemas.openxmlformats.org/officeDocument/2006/relationships/image" Target="media/image13.png"/><Relationship Id="rId60" Type="http://schemas.openxmlformats.org/officeDocument/2006/relationships/footer" Target="footer27.xml"/><Relationship Id="rId6" Type="http://schemas.openxmlformats.org/officeDocument/2006/relationships/footer" Target="footer1.xml"/><Relationship Id="rId59" Type="http://schemas.openxmlformats.org/officeDocument/2006/relationships/image" Target="media/image12.png"/><Relationship Id="rId58" Type="http://schemas.openxmlformats.org/officeDocument/2006/relationships/footer" Target="footer26.xml"/><Relationship Id="rId57" Type="http://schemas.openxmlformats.org/officeDocument/2006/relationships/image" Target="media/image11.png"/><Relationship Id="rId56" Type="http://schemas.openxmlformats.org/officeDocument/2006/relationships/footer" Target="footer25.xml"/><Relationship Id="rId55" Type="http://schemas.openxmlformats.org/officeDocument/2006/relationships/image" Target="media/image10.png"/><Relationship Id="rId54" Type="http://schemas.openxmlformats.org/officeDocument/2006/relationships/footer" Target="footer24.xml"/><Relationship Id="rId53" Type="http://schemas.openxmlformats.org/officeDocument/2006/relationships/image" Target="media/image9.png"/><Relationship Id="rId52" Type="http://schemas.openxmlformats.org/officeDocument/2006/relationships/footer" Target="footer23.xml"/><Relationship Id="rId51" Type="http://schemas.openxmlformats.org/officeDocument/2006/relationships/header" Target="header22.xml"/><Relationship Id="rId50" Type="http://schemas.openxmlformats.org/officeDocument/2006/relationships/image" Target="media/image8.png"/><Relationship Id="rId5" Type="http://schemas.openxmlformats.org/officeDocument/2006/relationships/header" Target="header4.xml"/><Relationship Id="rId49" Type="http://schemas.openxmlformats.org/officeDocument/2006/relationships/footer" Target="footer22.xml"/><Relationship Id="rId48" Type="http://schemas.openxmlformats.org/officeDocument/2006/relationships/image" Target="media/image7.png"/><Relationship Id="rId47" Type="http://schemas.openxmlformats.org/officeDocument/2006/relationships/footer" Target="footer21.xml"/><Relationship Id="rId46" Type="http://schemas.openxmlformats.org/officeDocument/2006/relationships/image" Target="media/image6.png"/><Relationship Id="rId45" Type="http://schemas.openxmlformats.org/officeDocument/2006/relationships/footer" Target="footer20.xml"/><Relationship Id="rId44" Type="http://schemas.openxmlformats.org/officeDocument/2006/relationships/header" Target="header21.xml"/><Relationship Id="rId43" Type="http://schemas.openxmlformats.org/officeDocument/2006/relationships/footer" Target="footer19.xml"/><Relationship Id="rId42" Type="http://schemas.openxmlformats.org/officeDocument/2006/relationships/header" Target="header20.xml"/><Relationship Id="rId41" Type="http://schemas.openxmlformats.org/officeDocument/2006/relationships/image" Target="media/image5.png"/><Relationship Id="rId40" Type="http://schemas.openxmlformats.org/officeDocument/2006/relationships/image" Target="media/image4.png"/><Relationship Id="rId4" Type="http://schemas.openxmlformats.org/officeDocument/2006/relationships/header" Target="header3.xml"/><Relationship Id="rId39" Type="http://schemas.openxmlformats.org/officeDocument/2006/relationships/footer" Target="footer18.xml"/><Relationship Id="rId38" Type="http://schemas.openxmlformats.org/officeDocument/2006/relationships/header" Target="header19.xml"/><Relationship Id="rId37" Type="http://schemas.openxmlformats.org/officeDocument/2006/relationships/image" Target="media/image3.png"/><Relationship Id="rId36" Type="http://schemas.openxmlformats.org/officeDocument/2006/relationships/footer" Target="footer17.xml"/><Relationship Id="rId35" Type="http://schemas.openxmlformats.org/officeDocument/2006/relationships/header" Target="header18.xml"/><Relationship Id="rId34" Type="http://schemas.openxmlformats.org/officeDocument/2006/relationships/footer" Target="footer16.xml"/><Relationship Id="rId33" Type="http://schemas.openxmlformats.org/officeDocument/2006/relationships/header" Target="header17.xml"/><Relationship Id="rId32" Type="http://schemas.openxmlformats.org/officeDocument/2006/relationships/footer" Target="footer15.xml"/><Relationship Id="rId31" Type="http://schemas.openxmlformats.org/officeDocument/2006/relationships/header" Target="header16.xml"/><Relationship Id="rId30" Type="http://schemas.openxmlformats.org/officeDocument/2006/relationships/footer" Target="footer14.xml"/><Relationship Id="rId3" Type="http://schemas.openxmlformats.org/officeDocument/2006/relationships/image" Target="media/image1.png"/><Relationship Id="rId29" Type="http://schemas.openxmlformats.org/officeDocument/2006/relationships/header" Target="header15.xml"/><Relationship Id="rId28" Type="http://schemas.openxmlformats.org/officeDocument/2006/relationships/footer" Target="footer13.xml"/><Relationship Id="rId27" Type="http://schemas.openxmlformats.org/officeDocument/2006/relationships/header" Target="header14.xml"/><Relationship Id="rId26" Type="http://schemas.openxmlformats.org/officeDocument/2006/relationships/footer" Target="footer12.xml"/><Relationship Id="rId25" Type="http://schemas.openxmlformats.org/officeDocument/2006/relationships/header" Target="header13.xml"/><Relationship Id="rId24" Type="http://schemas.openxmlformats.org/officeDocument/2006/relationships/footer" Target="footer11.xml"/><Relationship Id="rId23" Type="http://schemas.openxmlformats.org/officeDocument/2006/relationships/header" Target="header12.xml"/><Relationship Id="rId22" Type="http://schemas.openxmlformats.org/officeDocument/2006/relationships/footer" Target="footer10.xml"/><Relationship Id="rId21" Type="http://schemas.openxmlformats.org/officeDocument/2006/relationships/header" Target="header11.xml"/><Relationship Id="rId20" Type="http://schemas.openxmlformats.org/officeDocument/2006/relationships/footer" Target="footer9.xml"/><Relationship Id="rId2" Type="http://schemas.openxmlformats.org/officeDocument/2006/relationships/header" Target="header2.xml"/><Relationship Id="rId19" Type="http://schemas.openxmlformats.org/officeDocument/2006/relationships/header" Target="header10.xml"/><Relationship Id="rId18" Type="http://schemas.openxmlformats.org/officeDocument/2006/relationships/footer" Target="footer8.xml"/><Relationship Id="rId17" Type="http://schemas.openxmlformats.org/officeDocument/2006/relationships/header" Target="header9.xml"/><Relationship Id="rId16" Type="http://schemas.openxmlformats.org/officeDocument/2006/relationships/footer" Target="footer7.xml"/><Relationship Id="rId15" Type="http://schemas.openxmlformats.org/officeDocument/2006/relationships/header" Target="header8.xml"/><Relationship Id="rId143" Type="http://schemas.openxmlformats.org/officeDocument/2006/relationships/fontTable" Target="fontTable.xml"/><Relationship Id="rId142" Type="http://schemas.openxmlformats.org/officeDocument/2006/relationships/styles" Target="styles.xml"/><Relationship Id="rId141" Type="http://schemas.openxmlformats.org/officeDocument/2006/relationships/settings" Target="settings.xml"/><Relationship Id="rId140" Type="http://schemas.openxmlformats.org/officeDocument/2006/relationships/footer" Target="footer66.xml"/><Relationship Id="rId14" Type="http://schemas.openxmlformats.org/officeDocument/2006/relationships/footer" Target="footer6.xml"/><Relationship Id="rId139" Type="http://schemas.openxmlformats.org/officeDocument/2006/relationships/footer" Target="footer65.xml"/><Relationship Id="rId138" Type="http://schemas.openxmlformats.org/officeDocument/2006/relationships/header" Target="header27.xml"/><Relationship Id="rId137" Type="http://schemas.openxmlformats.org/officeDocument/2006/relationships/footer" Target="footer64.xml"/><Relationship Id="rId136" Type="http://schemas.openxmlformats.org/officeDocument/2006/relationships/header" Target="header26.xml"/><Relationship Id="rId135" Type="http://schemas.openxmlformats.org/officeDocument/2006/relationships/image" Target="media/image48.png"/><Relationship Id="rId134" Type="http://schemas.openxmlformats.org/officeDocument/2006/relationships/footer" Target="footer63.xml"/><Relationship Id="rId133" Type="http://schemas.openxmlformats.org/officeDocument/2006/relationships/image" Target="media/image47.png"/><Relationship Id="rId132" Type="http://schemas.openxmlformats.org/officeDocument/2006/relationships/footer" Target="footer62.xml"/><Relationship Id="rId131" Type="http://schemas.openxmlformats.org/officeDocument/2006/relationships/image" Target="media/image46.png"/><Relationship Id="rId130" Type="http://schemas.openxmlformats.org/officeDocument/2006/relationships/footer" Target="footer61.xml"/><Relationship Id="rId13" Type="http://schemas.openxmlformats.org/officeDocument/2006/relationships/header" Target="header7.xml"/><Relationship Id="rId129" Type="http://schemas.openxmlformats.org/officeDocument/2006/relationships/image" Target="media/image45.png"/><Relationship Id="rId128" Type="http://schemas.openxmlformats.org/officeDocument/2006/relationships/footer" Target="footer60.xml"/><Relationship Id="rId127" Type="http://schemas.openxmlformats.org/officeDocument/2006/relationships/image" Target="media/image44.png"/><Relationship Id="rId126" Type="http://schemas.openxmlformats.org/officeDocument/2006/relationships/footer" Target="footer59.xml"/><Relationship Id="rId125" Type="http://schemas.openxmlformats.org/officeDocument/2006/relationships/image" Target="media/image43.png"/><Relationship Id="rId124" Type="http://schemas.openxmlformats.org/officeDocument/2006/relationships/footer" Target="footer58.xml"/><Relationship Id="rId123" Type="http://schemas.openxmlformats.org/officeDocument/2006/relationships/image" Target="media/image42.png"/><Relationship Id="rId122" Type="http://schemas.openxmlformats.org/officeDocument/2006/relationships/footer" Target="footer57.xml"/><Relationship Id="rId121" Type="http://schemas.openxmlformats.org/officeDocument/2006/relationships/image" Target="media/image41.png"/><Relationship Id="rId120" Type="http://schemas.openxmlformats.org/officeDocument/2006/relationships/footer" Target="footer56.xml"/><Relationship Id="rId12" Type="http://schemas.openxmlformats.org/officeDocument/2006/relationships/footer" Target="footer5.xml"/><Relationship Id="rId119" Type="http://schemas.openxmlformats.org/officeDocument/2006/relationships/image" Target="media/image40.png"/><Relationship Id="rId118" Type="http://schemas.openxmlformats.org/officeDocument/2006/relationships/footer" Target="footer55.xml"/><Relationship Id="rId117" Type="http://schemas.openxmlformats.org/officeDocument/2006/relationships/image" Target="media/image39.png"/><Relationship Id="rId116" Type="http://schemas.openxmlformats.org/officeDocument/2006/relationships/footer" Target="footer54.xml"/><Relationship Id="rId115" Type="http://schemas.openxmlformats.org/officeDocument/2006/relationships/image" Target="media/image38.png"/><Relationship Id="rId114" Type="http://schemas.openxmlformats.org/officeDocument/2006/relationships/footer" Target="footer53.xml"/><Relationship Id="rId113" Type="http://schemas.openxmlformats.org/officeDocument/2006/relationships/image" Target="media/image37.png"/><Relationship Id="rId112" Type="http://schemas.openxmlformats.org/officeDocument/2006/relationships/footer" Target="footer52.xml"/><Relationship Id="rId111" Type="http://schemas.openxmlformats.org/officeDocument/2006/relationships/image" Target="media/image36.png"/><Relationship Id="rId110" Type="http://schemas.openxmlformats.org/officeDocument/2006/relationships/footer" Target="footer51.xml"/><Relationship Id="rId11" Type="http://schemas.openxmlformats.org/officeDocument/2006/relationships/header" Target="header6.xml"/><Relationship Id="rId109" Type="http://schemas.openxmlformats.org/officeDocument/2006/relationships/image" Target="media/image35.png"/><Relationship Id="rId108" Type="http://schemas.openxmlformats.org/officeDocument/2006/relationships/footer" Target="footer50.xml"/><Relationship Id="rId107" Type="http://schemas.openxmlformats.org/officeDocument/2006/relationships/image" Target="media/image34.png"/><Relationship Id="rId106" Type="http://schemas.openxmlformats.org/officeDocument/2006/relationships/footer" Target="footer49.xml"/><Relationship Id="rId105" Type="http://schemas.openxmlformats.org/officeDocument/2006/relationships/image" Target="media/image33.png"/><Relationship Id="rId104" Type="http://schemas.openxmlformats.org/officeDocument/2006/relationships/footer" Target="footer48.xml"/><Relationship Id="rId103" Type="http://schemas.openxmlformats.org/officeDocument/2006/relationships/image" Target="media/image32.png"/><Relationship Id="rId102" Type="http://schemas.openxmlformats.org/officeDocument/2006/relationships/footer" Target="footer47.xml"/><Relationship Id="rId101" Type="http://schemas.openxmlformats.org/officeDocument/2006/relationships/image" Target="media/image31.png"/><Relationship Id="rId100" Type="http://schemas.openxmlformats.org/officeDocument/2006/relationships/footer" Target="footer46.xml"/><Relationship Id="rId10" Type="http://schemas.openxmlformats.org/officeDocument/2006/relationships/footer" Target="footer4.xml"/><Relationship Id="rId1" Type="http://schemas.openxmlformats.org/officeDocument/2006/relationships/header" Target="header1.xml"/></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2025-09-25T16:19:31Z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2025-09-25T17:32:11</vt:filetime>
  </property>
</Properties>
</file>