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39" w:line="216" w:lineRule="auto"/>
        <w:rPr>
          <w:rFonts w:ascii="SimSun" w:hAnsi="SimSun" w:eastAsia="SimSun" w:cs="SimSun"/>
          <w:sz w:val="43"/>
          <w:szCs w:val="43"/>
        </w:rPr>
      </w:pPr>
      <w:r>
        <w:rPr>
          <w:rFonts w:ascii="SimSun" w:hAnsi="SimSun" w:eastAsia="SimSun" w:cs="SimSun"/>
          <w:sz w:val="43"/>
          <w:szCs w:val="43"/>
          <w:spacing w:val="98"/>
        </w:rPr>
        <w:t>兴县城镇卫生院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29</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475" w:hanging="11"/>
        <w:spacing w:before="115" w:line="267" w:lineRule="auto"/>
        <w:rPr>
          <w:rFonts w:ascii="FangSong" w:hAnsi="FangSong" w:eastAsia="FangSong" w:cs="FangSong"/>
          <w:sz w:val="24"/>
          <w:szCs w:val="24"/>
        </w:rPr>
      </w:pPr>
      <w:r>
        <w:rPr>
          <w:rFonts w:ascii="FangSong" w:hAnsi="FangSong" w:eastAsia="FangSong" w:cs="FangSong"/>
          <w:sz w:val="24"/>
          <w:szCs w:val="24"/>
          <w:spacing w:val="4"/>
        </w:rPr>
        <w:t>2、提供基本公共卫生服务，承担辖区内的公共卫生管理工作，负责对村卫生室的综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p>
    <w:p>
      <w:pPr>
        <w:ind w:left="1517" w:right="1475" w:hanging="4"/>
        <w:spacing w:before="102" w:line="272" w:lineRule="auto"/>
        <w:rPr>
          <w:rFonts w:ascii="FangSong" w:hAnsi="FangSong" w:eastAsia="FangSong" w:cs="FangSong"/>
          <w:sz w:val="24"/>
          <w:szCs w:val="24"/>
        </w:rPr>
      </w:pPr>
      <w:r>
        <w:rPr>
          <w:rFonts w:ascii="FangSong" w:hAnsi="FangSong" w:eastAsia="FangSong" w:cs="FangSong"/>
          <w:sz w:val="24"/>
          <w:szCs w:val="24"/>
          <w:spacing w:val="4"/>
        </w:rPr>
        <w:t>3、实施国家基本药物制度和新型农村合作医疗制度，推行分级诊疗和乡村一体化管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474" w:firstLine="4"/>
        <w:spacing w:before="101" w:line="308" w:lineRule="auto"/>
        <w:jc w:val="both"/>
        <w:rPr>
          <w:rFonts w:ascii="FangSong" w:hAnsi="FangSong" w:eastAsia="FangSong" w:cs="FangSong"/>
          <w:sz w:val="24"/>
          <w:szCs w:val="24"/>
        </w:rPr>
      </w:pPr>
      <w:r>
        <w:rPr>
          <w:rFonts w:ascii="FangSong" w:hAnsi="FangSong" w:eastAsia="FangSong" w:cs="FangSong"/>
          <w:sz w:val="24"/>
          <w:szCs w:val="24"/>
          <w:spacing w:val="4"/>
        </w:rPr>
        <w:t>兴县城镇卫生院人员情况：有在职人数31人，专业技术</w:t>
      </w:r>
      <w:r>
        <w:rPr>
          <w:rFonts w:ascii="FangSong" w:hAnsi="FangSong" w:eastAsia="FangSong" w:cs="FangSong"/>
          <w:sz w:val="24"/>
          <w:szCs w:val="24"/>
          <w:spacing w:val="3"/>
        </w:rPr>
        <w:t>人员26人其中副高职称3人，</w:t>
      </w:r>
      <w:r>
        <w:rPr>
          <w:rFonts w:ascii="FangSong" w:hAnsi="FangSong" w:eastAsia="FangSong" w:cs="FangSong"/>
          <w:sz w:val="24"/>
          <w:szCs w:val="24"/>
        </w:rPr>
        <w:t xml:space="preserve"> </w:t>
      </w:r>
      <w:r>
        <w:rPr>
          <w:rFonts w:ascii="FangSong" w:hAnsi="FangSong" w:eastAsia="FangSong" w:cs="FangSong"/>
          <w:sz w:val="24"/>
          <w:szCs w:val="24"/>
          <w:spacing w:val="1"/>
        </w:rPr>
        <w:t>中级12人，助理级6人，员级4人；工人5人，其中高工1</w:t>
      </w:r>
      <w:r>
        <w:rPr>
          <w:rFonts w:ascii="FangSong" w:hAnsi="FangSong" w:eastAsia="FangSong" w:cs="FangSong"/>
          <w:sz w:val="24"/>
          <w:szCs w:val="24"/>
        </w:rPr>
        <w:t>人，中工2人，初工2人；管理</w:t>
      </w:r>
      <w:r>
        <w:rPr>
          <w:rFonts w:ascii="FangSong" w:hAnsi="FangSong" w:eastAsia="FangSong" w:cs="FangSong"/>
          <w:sz w:val="24"/>
          <w:szCs w:val="24"/>
        </w:rPr>
        <w:t xml:space="preserve"> </w:t>
      </w:r>
      <w:r>
        <w:rPr>
          <w:rFonts w:ascii="FangSong" w:hAnsi="FangSong" w:eastAsia="FangSong" w:cs="FangSong"/>
          <w:sz w:val="24"/>
          <w:szCs w:val="24"/>
          <w:spacing w:val="10"/>
        </w:rPr>
        <w:t>岗科员1人。兴县城镇卫生院单位内设10个职能科室，无二级机构，职能科室分别</w:t>
      </w:r>
      <w:r>
        <w:rPr>
          <w:rFonts w:ascii="FangSong" w:hAnsi="FangSong" w:eastAsia="FangSong" w:cs="FangSong"/>
          <w:sz w:val="24"/>
          <w:szCs w:val="24"/>
          <w:spacing w:val="17"/>
        </w:rPr>
        <w:t xml:space="preserve"> </w:t>
      </w:r>
      <w:r>
        <w:rPr>
          <w:rFonts w:ascii="FangSong" w:hAnsi="FangSong" w:eastAsia="FangSong" w:cs="FangSong"/>
          <w:sz w:val="24"/>
          <w:szCs w:val="24"/>
          <w:spacing w:val="-1"/>
        </w:rPr>
        <w:t>是：内科、外科、儿科、理疗科、公卫科、医技</w:t>
      </w:r>
      <w:r>
        <w:rPr>
          <w:rFonts w:ascii="FangSong" w:hAnsi="FangSong" w:eastAsia="FangSong" w:cs="FangSong"/>
          <w:sz w:val="24"/>
          <w:szCs w:val="24"/>
          <w:spacing w:val="-2"/>
        </w:rPr>
        <w:t>科、医保科、财务科、办公室。</w:t>
      </w:r>
    </w:p>
    <w:p>
      <w:pPr>
        <w:spacing w:line="308"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单位名称：兴县城镇卫生院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365.34</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1153"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287.79</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287.79</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9"/>
              <w:spacing w:before="186" w:line="183" w:lineRule="auto"/>
              <w:rPr>
                <w:sz w:val="15"/>
                <w:szCs w:val="15"/>
              </w:rPr>
            </w:pPr>
            <w:r>
              <w:rPr>
                <w:sz w:val="15"/>
                <w:szCs w:val="15"/>
                <w:color w:val="212529"/>
                <w:spacing w:val="3"/>
              </w:rPr>
              <w:t>365.</w:t>
            </w:r>
            <w:r>
              <w:rPr>
                <w:sz w:val="15"/>
                <w:szCs w:val="15"/>
                <w:color w:val="212529"/>
                <w:spacing w:val="11"/>
              </w:rPr>
              <w:t xml:space="preserve"> </w:t>
            </w:r>
            <w:r>
              <w:rPr>
                <w:sz w:val="15"/>
                <w:szCs w:val="15"/>
                <w:color w:val="212529"/>
                <w:spacing w:val="3"/>
              </w:rPr>
              <w:t>34</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4"/>
              <w:spacing w:before="186" w:line="183" w:lineRule="auto"/>
              <w:rPr>
                <w:sz w:val="15"/>
                <w:szCs w:val="15"/>
              </w:rPr>
            </w:pPr>
            <w:r>
              <w:rPr>
                <w:sz w:val="15"/>
                <w:szCs w:val="15"/>
                <w:color w:val="212529"/>
                <w:spacing w:val="2"/>
              </w:rPr>
              <w:t>365.</w:t>
            </w:r>
            <w:r>
              <w:rPr>
                <w:sz w:val="15"/>
                <w:szCs w:val="15"/>
                <w:color w:val="212529"/>
                <w:spacing w:val="17"/>
              </w:rPr>
              <w:t xml:space="preserve"> </w:t>
            </w:r>
            <w:r>
              <w:rPr>
                <w:sz w:val="15"/>
                <w:szCs w:val="15"/>
                <w:color w:val="212529"/>
                <w:spacing w:val="2"/>
              </w:rPr>
              <w:t>34</w:t>
            </w:r>
          </w:p>
        </w:tc>
        <w:tc>
          <w:tcPr>
            <w:tcW w:w="1153" w:type="dxa"/>
            <w:vAlign w:val="top"/>
          </w:tcPr>
          <w:p>
            <w:pPr>
              <w:pStyle w:val="TableText"/>
              <w:ind w:left="578"/>
              <w:spacing w:before="186" w:line="183" w:lineRule="auto"/>
              <w:rPr>
                <w:sz w:val="15"/>
                <w:szCs w:val="15"/>
              </w:rPr>
            </w:pPr>
            <w:r>
              <w:rPr>
                <w:sz w:val="15"/>
                <w:szCs w:val="15"/>
                <w:color w:val="212529"/>
                <w:spacing w:val="2"/>
              </w:rPr>
              <w:t>365.</w:t>
            </w:r>
            <w:r>
              <w:rPr>
                <w:sz w:val="15"/>
                <w:szCs w:val="15"/>
                <w:color w:val="212529"/>
                <w:spacing w:val="17"/>
              </w:rPr>
              <w:t xml:space="preserve"> </w:t>
            </w:r>
            <w:r>
              <w:rPr>
                <w:sz w:val="15"/>
                <w:szCs w:val="15"/>
                <w:color w:val="212529"/>
                <w:spacing w:val="2"/>
              </w:rPr>
              <w:t>34</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9"/>
              <w:spacing w:before="188" w:line="183" w:lineRule="auto"/>
              <w:rPr>
                <w:sz w:val="15"/>
                <w:szCs w:val="15"/>
              </w:rPr>
            </w:pPr>
            <w:r>
              <w:rPr>
                <w:sz w:val="15"/>
                <w:szCs w:val="15"/>
                <w:color w:val="212529"/>
                <w:spacing w:val="3"/>
              </w:rPr>
              <w:t>365.</w:t>
            </w:r>
            <w:r>
              <w:rPr>
                <w:sz w:val="15"/>
                <w:szCs w:val="15"/>
                <w:color w:val="212529"/>
                <w:spacing w:val="11"/>
              </w:rPr>
              <w:t xml:space="preserve"> </w:t>
            </w:r>
            <w:r>
              <w:rPr>
                <w:sz w:val="15"/>
                <w:szCs w:val="15"/>
                <w:color w:val="212529"/>
                <w:spacing w:val="3"/>
              </w:rPr>
              <w:t>34</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4"/>
              <w:spacing w:before="188" w:line="183" w:lineRule="auto"/>
              <w:rPr>
                <w:sz w:val="15"/>
                <w:szCs w:val="15"/>
              </w:rPr>
            </w:pPr>
            <w:r>
              <w:rPr>
                <w:sz w:val="15"/>
                <w:szCs w:val="15"/>
                <w:color w:val="212529"/>
                <w:spacing w:val="2"/>
              </w:rPr>
              <w:t>365.</w:t>
            </w:r>
            <w:r>
              <w:rPr>
                <w:sz w:val="15"/>
                <w:szCs w:val="15"/>
                <w:color w:val="212529"/>
                <w:spacing w:val="17"/>
              </w:rPr>
              <w:t xml:space="preserve"> </w:t>
            </w:r>
            <w:r>
              <w:rPr>
                <w:sz w:val="15"/>
                <w:szCs w:val="15"/>
                <w:color w:val="212529"/>
                <w:spacing w:val="2"/>
              </w:rPr>
              <w:t>34</w:t>
            </w:r>
          </w:p>
        </w:tc>
        <w:tc>
          <w:tcPr>
            <w:tcW w:w="1153" w:type="dxa"/>
            <w:vAlign w:val="top"/>
          </w:tcPr>
          <w:p>
            <w:pPr>
              <w:pStyle w:val="TableText"/>
              <w:ind w:left="578"/>
              <w:spacing w:before="188" w:line="183" w:lineRule="auto"/>
              <w:rPr>
                <w:sz w:val="15"/>
                <w:szCs w:val="15"/>
              </w:rPr>
            </w:pPr>
            <w:r>
              <w:rPr>
                <w:sz w:val="15"/>
                <w:szCs w:val="15"/>
                <w:color w:val="212529"/>
                <w:spacing w:val="2"/>
              </w:rPr>
              <w:t>365.</w:t>
            </w:r>
            <w:r>
              <w:rPr>
                <w:sz w:val="15"/>
                <w:szCs w:val="15"/>
                <w:color w:val="212529"/>
                <w:spacing w:val="17"/>
              </w:rPr>
              <w:t xml:space="preserve"> </w:t>
            </w:r>
            <w:r>
              <w:rPr>
                <w:sz w:val="15"/>
                <w:szCs w:val="15"/>
                <w:color w:val="212529"/>
                <w:spacing w:val="2"/>
              </w:rPr>
              <w:t>34</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单位名称：兴县城镇卫生院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7"/>
              <w:spacing w:before="149" w:line="183" w:lineRule="auto"/>
              <w:rPr>
                <w:sz w:val="15"/>
                <w:szCs w:val="15"/>
              </w:rPr>
            </w:pPr>
            <w:r>
              <w:rPr>
                <w:sz w:val="15"/>
                <w:szCs w:val="15"/>
                <w:color w:val="212529"/>
                <w:spacing w:val="2"/>
              </w:rPr>
              <w:t>365.</w:t>
            </w:r>
            <w:r>
              <w:rPr>
                <w:sz w:val="15"/>
                <w:szCs w:val="15"/>
                <w:color w:val="212529"/>
                <w:spacing w:val="17"/>
              </w:rPr>
              <w:t xml:space="preserve"> </w:t>
            </w:r>
            <w:r>
              <w:rPr>
                <w:sz w:val="15"/>
                <w:szCs w:val="15"/>
                <w:color w:val="212529"/>
                <w:spacing w:val="2"/>
              </w:rPr>
              <w:t>34</w:t>
            </w:r>
          </w:p>
        </w:tc>
        <w:tc>
          <w:tcPr>
            <w:tcW w:w="1274" w:type="dxa"/>
            <w:vAlign w:val="top"/>
          </w:tcPr>
          <w:p>
            <w:pPr>
              <w:pStyle w:val="TableText"/>
              <w:ind w:left="704"/>
              <w:spacing w:before="149" w:line="183" w:lineRule="auto"/>
              <w:rPr>
                <w:sz w:val="15"/>
                <w:szCs w:val="15"/>
              </w:rPr>
            </w:pPr>
            <w:r>
              <w:rPr>
                <w:sz w:val="15"/>
                <w:szCs w:val="15"/>
                <w:color w:val="212529"/>
                <w:spacing w:val="3"/>
              </w:rPr>
              <w:t>365.</w:t>
            </w:r>
            <w:r>
              <w:rPr>
                <w:sz w:val="15"/>
                <w:szCs w:val="15"/>
                <w:color w:val="212529"/>
                <w:spacing w:val="11"/>
              </w:rPr>
              <w:t xml:space="preserve"> </w:t>
            </w:r>
            <w:r>
              <w:rPr>
                <w:sz w:val="15"/>
                <w:szCs w:val="15"/>
                <w:color w:val="212529"/>
                <w:spacing w:val="3"/>
              </w:rPr>
              <w:t>34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5"/>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1274"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5"/>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1274"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44.42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2.30</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2.30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274"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287.79</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287.79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270.53</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270.53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262.70</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262.70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7.83</w:t>
            </w:r>
          </w:p>
        </w:tc>
        <w:tc>
          <w:tcPr>
            <w:tcW w:w="1274"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7.83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17.26</w:t>
            </w:r>
          </w:p>
        </w:tc>
        <w:tc>
          <w:tcPr>
            <w:tcW w:w="1274"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17.26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17.26</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17.26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33.13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365.</w:t>
            </w:r>
            <w:r>
              <w:rPr>
                <w:sz w:val="13"/>
                <w:szCs w:val="13"/>
                <w:color w:val="212529"/>
                <w:spacing w:val="17"/>
                <w:w w:val="101"/>
              </w:rPr>
              <w:t xml:space="preserve"> </w:t>
            </w:r>
            <w:r>
              <w:rPr>
                <w:sz w:val="13"/>
                <w:szCs w:val="13"/>
                <w:color w:val="212529"/>
                <w:spacing w:val="4"/>
              </w:rPr>
              <w:t>34</w:t>
            </w:r>
          </w:p>
        </w:tc>
        <w:tc>
          <w:tcPr>
            <w:tcW w:w="1361" w:type="dxa"/>
            <w:vAlign w:val="top"/>
          </w:tcPr>
          <w:p>
            <w:pPr>
              <w:pStyle w:val="TableText"/>
              <w:ind w:left="852"/>
              <w:spacing w:before="99" w:line="172" w:lineRule="auto"/>
              <w:rPr>
                <w:sz w:val="14"/>
                <w:szCs w:val="14"/>
              </w:rPr>
            </w:pPr>
            <w:r>
              <w:rPr>
                <w:sz w:val="14"/>
                <w:szCs w:val="14"/>
                <w:color w:val="212529"/>
              </w:rPr>
              <w:t>343.</w:t>
            </w:r>
            <w:r>
              <w:rPr>
                <w:sz w:val="14"/>
                <w:szCs w:val="14"/>
                <w:color w:val="212529"/>
                <w:spacing w:val="8"/>
              </w:rPr>
              <w:t xml:space="preserve"> </w:t>
            </w:r>
            <w:r>
              <w:rPr>
                <w:sz w:val="14"/>
                <w:szCs w:val="14"/>
                <w:color w:val="212529"/>
              </w:rPr>
              <w:t>24</w:t>
            </w:r>
          </w:p>
        </w:tc>
        <w:tc>
          <w:tcPr>
            <w:tcW w:w="1280" w:type="dxa"/>
            <w:vAlign w:val="top"/>
          </w:tcPr>
          <w:p>
            <w:pPr>
              <w:pStyle w:val="TableText"/>
              <w:ind w:left="850"/>
              <w:spacing w:before="99" w:line="186" w:lineRule="auto"/>
              <w:rPr>
                <w:sz w:val="13"/>
                <w:szCs w:val="13"/>
              </w:rPr>
            </w:pPr>
            <w:r>
              <w:rPr>
                <w:sz w:val="13"/>
                <w:szCs w:val="13"/>
                <w:color w:val="212529"/>
                <w:spacing w:val="3"/>
              </w:rPr>
              <w:t>22.</w:t>
            </w:r>
            <w:r>
              <w:rPr>
                <w:sz w:val="13"/>
                <w:szCs w:val="13"/>
                <w:color w:val="212529"/>
                <w:spacing w:val="16"/>
                <w:w w:val="101"/>
              </w:rPr>
              <w:t xml:space="preserve"> </w:t>
            </w:r>
            <w:r>
              <w:rPr>
                <w:sz w:val="13"/>
                <w:szCs w:val="13"/>
                <w:color w:val="212529"/>
                <w:spacing w:val="3"/>
              </w:rPr>
              <w:t>10</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361" w:type="dxa"/>
            <w:vAlign w:val="top"/>
          </w:tcPr>
          <w:p>
            <w:pPr>
              <w:pStyle w:val="TableText"/>
              <w:ind w:left="930"/>
              <w:spacing w:before="100" w:line="172" w:lineRule="auto"/>
              <w:rPr>
                <w:sz w:val="14"/>
                <w:szCs w:val="14"/>
              </w:rPr>
            </w:pPr>
            <w:r>
              <w:rPr>
                <w:sz w:val="14"/>
                <w:szCs w:val="14"/>
                <w:color w:val="212529"/>
              </w:rPr>
              <w:t>44.</w:t>
            </w:r>
            <w:r>
              <w:rPr>
                <w:sz w:val="14"/>
                <w:szCs w:val="14"/>
                <w:color w:val="212529"/>
              </w:rPr>
              <w:t xml:space="preserve"> </w:t>
            </w:r>
            <w:r>
              <w:rPr>
                <w:sz w:val="14"/>
                <w:szCs w:val="14"/>
                <w:color w:val="212529"/>
              </w:rPr>
              <w:t>42</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361" w:type="dxa"/>
            <w:vAlign w:val="top"/>
          </w:tcPr>
          <w:p>
            <w:pPr>
              <w:pStyle w:val="TableText"/>
              <w:ind w:left="930"/>
              <w:spacing w:before="100" w:line="172" w:lineRule="auto"/>
              <w:rPr>
                <w:sz w:val="14"/>
                <w:szCs w:val="14"/>
              </w:rPr>
            </w:pPr>
            <w:r>
              <w:rPr>
                <w:sz w:val="14"/>
                <w:szCs w:val="14"/>
                <w:color w:val="212529"/>
              </w:rPr>
              <w:t>44.</w:t>
            </w:r>
            <w:r>
              <w:rPr>
                <w:sz w:val="14"/>
                <w:szCs w:val="14"/>
                <w:color w:val="212529"/>
              </w:rPr>
              <w:t xml:space="preserve"> </w:t>
            </w:r>
            <w:r>
              <w:rPr>
                <w:sz w:val="14"/>
                <w:szCs w:val="14"/>
                <w:color w:val="212529"/>
              </w:rPr>
              <w:t>42</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2.30</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2.30</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287.79</w:t>
            </w:r>
          </w:p>
        </w:tc>
        <w:tc>
          <w:tcPr>
            <w:tcW w:w="1361" w:type="dxa"/>
            <w:vAlign w:val="top"/>
          </w:tcPr>
          <w:p>
            <w:pPr>
              <w:pStyle w:val="TableText"/>
              <w:ind w:left="851"/>
              <w:spacing w:before="102" w:line="172" w:lineRule="auto"/>
              <w:rPr>
                <w:sz w:val="14"/>
                <w:szCs w:val="14"/>
              </w:rPr>
            </w:pPr>
            <w:r>
              <w:rPr>
                <w:sz w:val="14"/>
                <w:szCs w:val="14"/>
                <w:color w:val="212529"/>
              </w:rPr>
              <w:t>265.</w:t>
            </w:r>
            <w:r>
              <w:rPr>
                <w:sz w:val="14"/>
                <w:szCs w:val="14"/>
                <w:color w:val="212529"/>
                <w:spacing w:val="6"/>
              </w:rPr>
              <w:t xml:space="preserve"> </w:t>
            </w:r>
            <w:r>
              <w:rPr>
                <w:sz w:val="14"/>
                <w:szCs w:val="14"/>
                <w:color w:val="212529"/>
              </w:rPr>
              <w:t>69</w:t>
            </w:r>
          </w:p>
        </w:tc>
        <w:tc>
          <w:tcPr>
            <w:tcW w:w="1280" w:type="dxa"/>
            <w:vAlign w:val="top"/>
          </w:tcPr>
          <w:p>
            <w:pPr>
              <w:pStyle w:val="TableText"/>
              <w:ind w:left="850"/>
              <w:spacing w:before="101" w:line="187" w:lineRule="auto"/>
              <w:rPr>
                <w:sz w:val="13"/>
                <w:szCs w:val="13"/>
              </w:rPr>
            </w:pPr>
            <w:r>
              <w:rPr>
                <w:sz w:val="13"/>
                <w:szCs w:val="13"/>
                <w:color w:val="212529"/>
                <w:spacing w:val="3"/>
              </w:rPr>
              <w:t>22.</w:t>
            </w:r>
            <w:r>
              <w:rPr>
                <w:sz w:val="13"/>
                <w:szCs w:val="13"/>
                <w:color w:val="212529"/>
                <w:spacing w:val="16"/>
                <w:w w:val="101"/>
              </w:rPr>
              <w:t xml:space="preserve"> </w:t>
            </w:r>
            <w:r>
              <w:rPr>
                <w:sz w:val="13"/>
                <w:szCs w:val="13"/>
                <w:color w:val="212529"/>
                <w:spacing w:val="3"/>
              </w:rPr>
              <w:t>10</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270.53</w:t>
            </w:r>
          </w:p>
        </w:tc>
        <w:tc>
          <w:tcPr>
            <w:tcW w:w="1361" w:type="dxa"/>
            <w:vAlign w:val="top"/>
          </w:tcPr>
          <w:p>
            <w:pPr>
              <w:pStyle w:val="TableText"/>
              <w:ind w:left="851"/>
              <w:spacing w:before="102" w:line="186" w:lineRule="auto"/>
              <w:rPr>
                <w:sz w:val="13"/>
                <w:szCs w:val="13"/>
              </w:rPr>
            </w:pPr>
            <w:r>
              <w:rPr>
                <w:sz w:val="13"/>
                <w:szCs w:val="13"/>
                <w:color w:val="212529"/>
                <w:spacing w:val="5"/>
              </w:rPr>
              <w:t>248.</w:t>
            </w:r>
            <w:r>
              <w:rPr>
                <w:sz w:val="13"/>
                <w:szCs w:val="13"/>
                <w:color w:val="212529"/>
                <w:spacing w:val="9"/>
              </w:rPr>
              <w:t xml:space="preserve"> </w:t>
            </w:r>
            <w:r>
              <w:rPr>
                <w:sz w:val="13"/>
                <w:szCs w:val="13"/>
                <w:color w:val="212529"/>
                <w:spacing w:val="5"/>
              </w:rPr>
              <w:t>43</w:t>
            </w:r>
          </w:p>
        </w:tc>
        <w:tc>
          <w:tcPr>
            <w:tcW w:w="1280" w:type="dxa"/>
            <w:vAlign w:val="top"/>
          </w:tcPr>
          <w:p>
            <w:pPr>
              <w:pStyle w:val="TableText"/>
              <w:ind w:left="850"/>
              <w:spacing w:before="102" w:line="186" w:lineRule="auto"/>
              <w:rPr>
                <w:sz w:val="13"/>
                <w:szCs w:val="13"/>
              </w:rPr>
            </w:pPr>
            <w:r>
              <w:rPr>
                <w:sz w:val="13"/>
                <w:szCs w:val="13"/>
                <w:color w:val="212529"/>
                <w:spacing w:val="3"/>
              </w:rPr>
              <w:t>22.</w:t>
            </w:r>
            <w:r>
              <w:rPr>
                <w:sz w:val="13"/>
                <w:szCs w:val="13"/>
                <w:color w:val="212529"/>
                <w:spacing w:val="16"/>
                <w:w w:val="101"/>
              </w:rPr>
              <w:t xml:space="preserve"> </w:t>
            </w:r>
            <w:r>
              <w:rPr>
                <w:sz w:val="13"/>
                <w:szCs w:val="13"/>
                <w:color w:val="212529"/>
                <w:spacing w:val="3"/>
              </w:rPr>
              <w:t>10</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262.70</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248.43</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17.26</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17.26</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17.26</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361" w:type="dxa"/>
            <w:vAlign w:val="top"/>
          </w:tcPr>
          <w:p>
            <w:pPr>
              <w:pStyle w:val="TableText"/>
              <w:ind w:left="933"/>
              <w:spacing w:before="104" w:line="186" w:lineRule="auto"/>
              <w:rPr>
                <w:sz w:val="13"/>
                <w:szCs w:val="13"/>
              </w:rPr>
            </w:pPr>
            <w:r>
              <w:rPr>
                <w:sz w:val="13"/>
                <w:szCs w:val="13"/>
                <w:color w:val="212529"/>
                <w:spacing w:val="1"/>
              </w:rPr>
              <w:t>33.</w:t>
            </w:r>
            <w:r>
              <w:rPr>
                <w:sz w:val="13"/>
                <w:szCs w:val="13"/>
                <w:color w:val="212529"/>
                <w:spacing w:val="24"/>
                <w:w w:val="101"/>
              </w:rPr>
              <w:t xml:space="preserve"> </w:t>
            </w:r>
            <w:r>
              <w:rPr>
                <w:sz w:val="13"/>
                <w:szCs w:val="13"/>
                <w:color w:val="212529"/>
                <w:spacing w:val="1"/>
              </w:rPr>
              <w:t>13</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361" w:type="dxa"/>
            <w:vAlign w:val="top"/>
          </w:tcPr>
          <w:p>
            <w:pPr>
              <w:pStyle w:val="TableText"/>
              <w:ind w:left="933"/>
              <w:spacing w:before="104" w:line="186" w:lineRule="auto"/>
              <w:rPr>
                <w:sz w:val="13"/>
                <w:szCs w:val="13"/>
              </w:rPr>
            </w:pPr>
            <w:r>
              <w:rPr>
                <w:sz w:val="13"/>
                <w:szCs w:val="13"/>
                <w:color w:val="212529"/>
                <w:spacing w:val="1"/>
              </w:rPr>
              <w:t>33.</w:t>
            </w:r>
            <w:r>
              <w:rPr>
                <w:sz w:val="13"/>
                <w:szCs w:val="13"/>
                <w:color w:val="212529"/>
                <w:spacing w:val="24"/>
                <w:w w:val="101"/>
              </w:rPr>
              <w:t xml:space="preserve"> </w:t>
            </w:r>
            <w:r>
              <w:rPr>
                <w:sz w:val="13"/>
                <w:szCs w:val="13"/>
                <w:color w:val="212529"/>
                <w:spacing w:val="1"/>
              </w:rPr>
              <w:t>13</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280"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365.34</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.42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287.79</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287.79</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365.</w:t>
            </w:r>
            <w:r>
              <w:rPr>
                <w:sz w:val="13"/>
                <w:szCs w:val="13"/>
                <w:color w:val="212529"/>
                <w:spacing w:val="17"/>
                <w:w w:val="101"/>
              </w:rPr>
              <w:t xml:space="preserve"> </w:t>
            </w:r>
            <w:r>
              <w:rPr>
                <w:sz w:val="13"/>
                <w:szCs w:val="13"/>
                <w:color w:val="212529"/>
                <w:spacing w:val="4"/>
              </w:rPr>
              <w:t>34</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8" w:line="172" w:lineRule="auto"/>
              <w:rPr>
                <w:sz w:val="14"/>
                <w:szCs w:val="14"/>
              </w:rPr>
            </w:pPr>
            <w:r>
              <w:rPr>
                <w:sz w:val="14"/>
                <w:szCs w:val="14"/>
                <w:color w:val="212529"/>
              </w:rPr>
              <w:t>365.</w:t>
            </w:r>
            <w:r>
              <w:rPr>
                <w:sz w:val="14"/>
                <w:szCs w:val="14"/>
                <w:color w:val="212529"/>
                <w:spacing w:val="8"/>
              </w:rPr>
              <w:t xml:space="preserve"> </w:t>
            </w:r>
            <w:r>
              <w:rPr>
                <w:sz w:val="14"/>
                <w:szCs w:val="14"/>
                <w:color w:val="212529"/>
              </w:rPr>
              <w:t>34</w:t>
            </w:r>
          </w:p>
        </w:tc>
        <w:tc>
          <w:tcPr>
            <w:tcW w:w="1069" w:type="dxa"/>
            <w:vAlign w:val="top"/>
          </w:tcPr>
          <w:p>
            <w:pPr>
              <w:pStyle w:val="TableText"/>
              <w:ind w:left="287"/>
              <w:spacing w:before="138" w:line="172" w:lineRule="auto"/>
              <w:rPr>
                <w:sz w:val="14"/>
                <w:szCs w:val="14"/>
              </w:rPr>
            </w:pPr>
            <w:r>
              <w:rPr>
                <w:sz w:val="14"/>
                <w:szCs w:val="14"/>
                <w:color w:val="212529"/>
              </w:rPr>
              <w:t>365.</w:t>
            </w:r>
            <w:r>
              <w:rPr>
                <w:sz w:val="14"/>
                <w:szCs w:val="14"/>
                <w:color w:val="212529"/>
                <w:spacing w:val="8"/>
              </w:rPr>
              <w:t xml:space="preserve"> </w:t>
            </w:r>
            <w:r>
              <w:rPr>
                <w:sz w:val="14"/>
                <w:szCs w:val="14"/>
                <w:color w:val="212529"/>
              </w:rPr>
              <w:t>34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365.</w:t>
            </w:r>
            <w:r>
              <w:rPr>
                <w:sz w:val="13"/>
                <w:szCs w:val="13"/>
                <w:color w:val="212529"/>
                <w:spacing w:val="17"/>
                <w:w w:val="101"/>
              </w:rPr>
              <w:t xml:space="preserve"> </w:t>
            </w:r>
            <w:r>
              <w:rPr>
                <w:sz w:val="13"/>
                <w:szCs w:val="13"/>
                <w:color w:val="212529"/>
                <w:spacing w:val="4"/>
              </w:rPr>
              <w:t>34</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365.</w:t>
            </w:r>
            <w:r>
              <w:rPr>
                <w:sz w:val="13"/>
                <w:szCs w:val="13"/>
                <w:color w:val="212529"/>
                <w:spacing w:val="17"/>
                <w:w w:val="101"/>
              </w:rPr>
              <w:t xml:space="preserve"> </w:t>
            </w:r>
            <w:r>
              <w:rPr>
                <w:sz w:val="13"/>
                <w:szCs w:val="13"/>
                <w:color w:val="212529"/>
                <w:spacing w:val="4"/>
              </w:rPr>
              <w:t>34</w:t>
            </w:r>
          </w:p>
        </w:tc>
        <w:tc>
          <w:tcPr>
            <w:tcW w:w="1069" w:type="dxa"/>
            <w:vAlign w:val="top"/>
          </w:tcPr>
          <w:p>
            <w:pPr>
              <w:pStyle w:val="TableText"/>
              <w:ind w:left="287"/>
              <w:spacing w:before="136" w:line="172" w:lineRule="auto"/>
              <w:rPr>
                <w:sz w:val="14"/>
                <w:szCs w:val="14"/>
              </w:rPr>
            </w:pPr>
            <w:r>
              <w:rPr>
                <w:sz w:val="14"/>
                <w:szCs w:val="14"/>
                <w:color w:val="212529"/>
              </w:rPr>
              <w:t>365.</w:t>
            </w:r>
            <w:r>
              <w:rPr>
                <w:sz w:val="14"/>
                <w:szCs w:val="14"/>
                <w:color w:val="212529"/>
                <w:spacing w:val="8"/>
              </w:rPr>
              <w:t xml:space="preserve"> </w:t>
            </w:r>
            <w:r>
              <w:rPr>
                <w:sz w:val="14"/>
                <w:szCs w:val="14"/>
                <w:color w:val="212529"/>
              </w:rPr>
              <w:t>34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72" w:lineRule="auto"/>
              <w:rPr>
                <w:sz w:val="14"/>
                <w:szCs w:val="14"/>
              </w:rPr>
            </w:pPr>
            <w:r>
              <w:rPr>
                <w:sz w:val="14"/>
                <w:szCs w:val="14"/>
                <w:color w:val="212529"/>
              </w:rPr>
              <w:t>365.</w:t>
            </w:r>
            <w:r>
              <w:rPr>
                <w:sz w:val="14"/>
                <w:szCs w:val="14"/>
                <w:color w:val="212529"/>
                <w:spacing w:val="8"/>
              </w:rPr>
              <w:t xml:space="preserve"> </w:t>
            </w:r>
            <w:r>
              <w:rPr>
                <w:sz w:val="14"/>
                <w:szCs w:val="14"/>
                <w:color w:val="212529"/>
              </w:rPr>
              <w:t>34</w:t>
            </w:r>
          </w:p>
        </w:tc>
        <w:tc>
          <w:tcPr>
            <w:tcW w:w="1415" w:type="dxa"/>
            <w:vAlign w:val="top"/>
          </w:tcPr>
          <w:p>
            <w:pPr>
              <w:pStyle w:val="TableText"/>
              <w:ind w:left="905"/>
              <w:spacing w:before="87" w:line="172" w:lineRule="auto"/>
              <w:rPr>
                <w:sz w:val="14"/>
                <w:szCs w:val="14"/>
              </w:rPr>
            </w:pPr>
            <w:r>
              <w:rPr>
                <w:sz w:val="14"/>
                <w:szCs w:val="14"/>
                <w:color w:val="212529"/>
              </w:rPr>
              <w:t>343.</w:t>
            </w:r>
            <w:r>
              <w:rPr>
                <w:sz w:val="14"/>
                <w:szCs w:val="14"/>
                <w:color w:val="212529"/>
                <w:spacing w:val="8"/>
              </w:rPr>
              <w:t xml:space="preserve"> </w:t>
            </w:r>
            <w:r>
              <w:rPr>
                <w:sz w:val="14"/>
                <w:szCs w:val="14"/>
                <w:color w:val="212529"/>
              </w:rPr>
              <w:t>24</w:t>
            </w:r>
          </w:p>
        </w:tc>
        <w:tc>
          <w:tcPr>
            <w:tcW w:w="1377" w:type="dxa"/>
            <w:vAlign w:val="top"/>
          </w:tcPr>
          <w:p>
            <w:pPr>
              <w:pStyle w:val="TableText"/>
              <w:ind w:left="947"/>
              <w:spacing w:before="87" w:line="186" w:lineRule="auto"/>
              <w:rPr>
                <w:sz w:val="13"/>
                <w:szCs w:val="13"/>
              </w:rPr>
            </w:pPr>
            <w:r>
              <w:rPr>
                <w:sz w:val="13"/>
                <w:szCs w:val="13"/>
                <w:color w:val="212529"/>
                <w:spacing w:val="3"/>
              </w:rPr>
              <w:t>22.</w:t>
            </w:r>
            <w:r>
              <w:rPr>
                <w:sz w:val="13"/>
                <w:szCs w:val="13"/>
                <w:color w:val="212529"/>
                <w:spacing w:val="16"/>
                <w:w w:val="101"/>
              </w:rPr>
              <w:t xml:space="preserve"> </w:t>
            </w:r>
            <w:r>
              <w:rPr>
                <w:sz w:val="13"/>
                <w:szCs w:val="13"/>
                <w:color w:val="212529"/>
                <w:spacing w:val="3"/>
              </w:rPr>
              <w:t>10</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44.42</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2.30</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2.30</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287.79</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265.69</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270.53</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248.43</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262.70</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248.43</w:t>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7.83</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17.26</w:t>
            </w:r>
          </w:p>
        </w:tc>
        <w:tc>
          <w:tcPr>
            <w:tcW w:w="1415" w:type="dxa"/>
            <w:vAlign w:val="top"/>
          </w:tcPr>
          <w:p>
            <w:pPr>
              <w:ind w:left="99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17.</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17.26</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377"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72" w:lineRule="auto"/>
              <w:rPr>
                <w:sz w:val="14"/>
                <w:szCs w:val="14"/>
              </w:rPr>
            </w:pPr>
            <w:r>
              <w:rPr>
                <w:sz w:val="14"/>
                <w:szCs w:val="14"/>
                <w:color w:val="212529"/>
              </w:rPr>
              <w:t>343.</w:t>
            </w:r>
            <w:r>
              <w:rPr>
                <w:sz w:val="14"/>
                <w:szCs w:val="14"/>
                <w:color w:val="212529"/>
                <w:spacing w:val="8"/>
              </w:rPr>
              <w:t xml:space="preserve"> </w:t>
            </w:r>
            <w:r>
              <w:rPr>
                <w:sz w:val="14"/>
                <w:szCs w:val="14"/>
                <w:color w:val="212529"/>
              </w:rPr>
              <w:t>24</w:t>
            </w:r>
          </w:p>
        </w:tc>
        <w:tc>
          <w:tcPr>
            <w:tcW w:w="1188" w:type="dxa"/>
            <w:vAlign w:val="top"/>
          </w:tcPr>
          <w:p>
            <w:pPr>
              <w:pStyle w:val="TableText"/>
              <w:ind w:left="686"/>
              <w:spacing w:before="87" w:line="186" w:lineRule="auto"/>
              <w:rPr>
                <w:sz w:val="13"/>
                <w:szCs w:val="13"/>
              </w:rPr>
            </w:pPr>
            <w:r>
              <w:rPr>
                <w:sz w:val="13"/>
                <w:szCs w:val="13"/>
                <w:color w:val="212529"/>
                <w:spacing w:val="4"/>
              </w:rPr>
              <w:t>324.</w:t>
            </w:r>
            <w:r>
              <w:rPr>
                <w:sz w:val="13"/>
                <w:szCs w:val="13"/>
                <w:color w:val="212529"/>
                <w:spacing w:val="13"/>
              </w:rPr>
              <w:t xml:space="preserve"> </w:t>
            </w:r>
            <w:r>
              <w:rPr>
                <w:sz w:val="13"/>
                <w:szCs w:val="13"/>
                <w:color w:val="212529"/>
                <w:spacing w:val="4"/>
              </w:rPr>
              <w:t>83</w:t>
            </w:r>
          </w:p>
        </w:tc>
        <w:tc>
          <w:tcPr>
            <w:tcW w:w="1118" w:type="dxa"/>
            <w:vAlign w:val="top"/>
          </w:tcPr>
          <w:p>
            <w:pPr>
              <w:pStyle w:val="TableText"/>
              <w:ind w:left="699"/>
              <w:spacing w:before="87" w:line="186" w:lineRule="auto"/>
              <w:rPr>
                <w:sz w:val="13"/>
                <w:szCs w:val="13"/>
              </w:rPr>
            </w:pPr>
            <w:r>
              <w:rPr>
                <w:sz w:val="13"/>
                <w:szCs w:val="13"/>
                <w:color w:val="212529"/>
              </w:rPr>
              <w:t>18.</w:t>
            </w:r>
            <w:r>
              <w:rPr>
                <w:sz w:val="13"/>
                <w:szCs w:val="13"/>
                <w:color w:val="212529"/>
                <w:spacing w:val="14"/>
                <w:w w:val="101"/>
              </w:rPr>
              <w:t xml:space="preserve"> </w:t>
            </w:r>
            <w:r>
              <w:rPr>
                <w:sz w:val="13"/>
                <w:szCs w:val="13"/>
                <w:color w:val="212529"/>
              </w:rPr>
              <w:t>41</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322.54</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322.54</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152.97</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152.97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25.79</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25.79</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0.94</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0.94</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33.13</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35.95</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18.41</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18.41</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3.93</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5.27</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2.29</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2.29</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2.29</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2.29</w:t>
            </w:r>
          </w:p>
        </w:tc>
        <w:tc>
          <w:tcPr>
            <w:tcW w:w="1118"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4"/>
        <w:gridCol w:w="1091"/>
        <w:gridCol w:w="1080"/>
        <w:gridCol w:w="832"/>
        <w:gridCol w:w="1253"/>
        <w:gridCol w:w="1080"/>
        <w:gridCol w:w="858"/>
      </w:tblGrid>
      <w:tr>
        <w:trPr>
          <w:trHeight w:val="384" w:hRule="atLeast"/>
        </w:trPr>
        <w:tc>
          <w:tcPr>
            <w:tcW w:w="29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8"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20"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938" w:type="dxa"/>
            <w:vAlign w:val="top"/>
            <w:gridSpan w:val="2"/>
            <w:tcBorders>
              <w:top w:val="single" w:color="FFFFFF" w:sz="4" w:space="0"/>
              <w:left w:val="single" w:color="FFFFFF" w:sz="2" w:space="0"/>
              <w:right w:val="single" w:color="FFFFFF" w:sz="2" w:space="0"/>
            </w:tcBorders>
          </w:tcPr>
          <w:p>
            <w:pPr>
              <w:ind w:left="126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964" w:type="dxa"/>
            <w:vAlign w:val="top"/>
            <w:vMerge w:val="restart"/>
            <w:tcBorders>
              <w:bottom w:val="nil"/>
            </w:tcBorders>
          </w:tcPr>
          <w:p>
            <w:pPr>
              <w:ind w:left="114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91" w:type="dxa"/>
            <w:vAlign w:val="top"/>
            <w:vMerge w:val="restart"/>
            <w:tcBorders>
              <w:bottom w:val="nil"/>
            </w:tcBorders>
          </w:tcPr>
          <w:p>
            <w:pPr>
              <w:ind w:left="37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65" w:type="dxa"/>
            <w:vAlign w:val="top"/>
            <w:gridSpan w:val="3"/>
          </w:tcPr>
          <w:p>
            <w:pPr>
              <w:ind w:left="100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8"/>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8"/>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8" w:type="dxa"/>
            <w:vAlign w:val="top"/>
            <w:vMerge w:val="restart"/>
            <w:tcBorders>
              <w:bottom w:val="nil"/>
            </w:tcBorders>
          </w:tcPr>
          <w:p>
            <w:pPr>
              <w:ind w:left="95"/>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964" w:type="dxa"/>
            <w:vAlign w:val="top"/>
            <w:vMerge w:val="continue"/>
            <w:tcBorders>
              <w:top w:val="nil"/>
            </w:tcBorders>
          </w:tcPr>
          <w:p>
            <w:pPr>
              <w:pStyle w:val="TableText"/>
              <w:rPr/>
            </w:pPr>
            <w:r/>
          </w:p>
        </w:tc>
        <w:tc>
          <w:tcPr>
            <w:tcW w:w="1091" w:type="dxa"/>
            <w:vAlign w:val="top"/>
            <w:vMerge w:val="continue"/>
            <w:tcBorders>
              <w:top w:val="nil"/>
            </w:tcBorders>
          </w:tcPr>
          <w:p>
            <w:pPr>
              <w:pStyle w:val="TableText"/>
              <w:rPr/>
            </w:pPr>
            <w:r/>
          </w:p>
        </w:tc>
        <w:tc>
          <w:tcPr>
            <w:tcW w:w="1080" w:type="dxa"/>
            <w:vAlign w:val="top"/>
          </w:tcPr>
          <w:p>
            <w:pPr>
              <w:ind w:left="3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1" w:right="96"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6"/>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2"/>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8" w:type="dxa"/>
            <w:vAlign w:val="top"/>
            <w:vMerge w:val="continue"/>
            <w:tcBorders>
              <w:top w:val="nil"/>
            </w:tcBorders>
          </w:tcPr>
          <w:p>
            <w:pPr>
              <w:pStyle w:val="TableText"/>
              <w:rPr/>
            </w:pPr>
            <w:r/>
          </w:p>
        </w:tc>
      </w:tr>
      <w:tr>
        <w:trPr>
          <w:trHeight w:val="378" w:hRule="atLeast"/>
        </w:trPr>
        <w:tc>
          <w:tcPr>
            <w:tcW w:w="2964" w:type="dxa"/>
            <w:vAlign w:val="top"/>
          </w:tcPr>
          <w:p>
            <w:pPr>
              <w:ind w:left="1442"/>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91" w:type="dxa"/>
            <w:vAlign w:val="top"/>
          </w:tcPr>
          <w:p>
            <w:pPr>
              <w:ind w:left="493"/>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1"/>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1"/>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5"/>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8" w:type="dxa"/>
            <w:vAlign w:val="top"/>
          </w:tcPr>
          <w:p>
            <w:pPr>
              <w:ind w:left="386"/>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964"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兴县城镇卫生院</w:t>
            </w:r>
          </w:p>
        </w:tc>
        <w:tc>
          <w:tcPr>
            <w:tcW w:w="1091" w:type="dxa"/>
            <w:vAlign w:val="top"/>
          </w:tcPr>
          <w:p>
            <w:pPr>
              <w:ind w:right="2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108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22.10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8" w:hRule="atLeast"/>
        </w:trPr>
        <w:tc>
          <w:tcPr>
            <w:tcW w:w="2964"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91" w:type="dxa"/>
            <w:vAlign w:val="top"/>
          </w:tcPr>
          <w:p>
            <w:pPr>
              <w:ind w:right="2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108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1.55</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6" w:right="37"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疗卫生机构）晋财社【2024】208号</w:t>
            </w:r>
          </w:p>
        </w:tc>
        <w:tc>
          <w:tcPr>
            <w:tcW w:w="1091" w:type="dxa"/>
            <w:vAlign w:val="top"/>
          </w:tcPr>
          <w:p>
            <w:pPr>
              <w:ind w:right="2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5.46</w:t>
            </w:r>
          </w:p>
        </w:tc>
        <w:tc>
          <w:tcPr>
            <w:tcW w:w="108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5.46</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24" w:right="37"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91" w:type="dxa"/>
            <w:vAlign w:val="top"/>
          </w:tcPr>
          <w:p>
            <w:pPr>
              <w:ind w:right="2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108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658" w:right="118" w:firstLine="19"/>
              <w:spacing w:before="31" w:line="208" w:lineRule="auto"/>
              <w:rPr>
                <w:rFonts w:ascii="SimSun" w:hAnsi="SimSun" w:eastAsia="SimSun" w:cs="SimSun"/>
                <w:sz w:val="15"/>
                <w:szCs w:val="15"/>
              </w:rPr>
            </w:pPr>
            <w:r>
              <w:rPr>
                <w:rFonts w:ascii="SimSun" w:hAnsi="SimSun" w:eastAsia="SimSun" w:cs="SimSun"/>
                <w:sz w:val="15"/>
                <w:szCs w:val="15"/>
                <w:color w:val="212529"/>
                <w:spacing w:val="7"/>
              </w:rPr>
              <w:t>〔2025〕6号预拨2025年驻村医</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0"/>
              </w:rPr>
              <w:t>贴市级补助资金</w:t>
            </w:r>
          </w:p>
        </w:tc>
        <w:tc>
          <w:tcPr>
            <w:tcW w:w="1091" w:type="dxa"/>
            <w:vAlign w:val="top"/>
          </w:tcPr>
          <w:p>
            <w:pPr>
              <w:ind w:right="2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080"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79" w:hRule="atLeast"/>
        </w:trPr>
        <w:tc>
          <w:tcPr>
            <w:tcW w:w="2964" w:type="dxa"/>
            <w:vAlign w:val="top"/>
          </w:tcPr>
          <w:p>
            <w:pPr>
              <w:ind w:left="7" w:right="118" w:firstLine="324"/>
              <w:spacing w:before="32" w:line="207" w:lineRule="auto"/>
              <w:rPr>
                <w:rFonts w:ascii="SimSun" w:hAnsi="SimSun" w:eastAsia="SimSun" w:cs="SimSun"/>
                <w:sz w:val="15"/>
                <w:szCs w:val="15"/>
              </w:rPr>
            </w:pPr>
            <w:r>
              <w:rPr>
                <w:rFonts w:ascii="SimSun" w:hAnsi="SimSun" w:eastAsia="SimSun" w:cs="SimSun"/>
                <w:sz w:val="15"/>
                <w:szCs w:val="15"/>
                <w:color w:val="212529"/>
                <w:spacing w:val="8"/>
              </w:rPr>
              <w:t>财社〔2025〕8号关于预拨2025年行</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1"/>
              </w:rPr>
              <w:t>政村卫生室运行经费市级配套资金</w:t>
            </w:r>
          </w:p>
        </w:tc>
        <w:tc>
          <w:tcPr>
            <w:tcW w:w="109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0.11</w:t>
            </w:r>
          </w:p>
        </w:tc>
        <w:tc>
          <w:tcPr>
            <w:tcW w:w="108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0.11</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r>
        <w:trPr>
          <w:trHeight w:val="384" w:hRule="atLeast"/>
        </w:trPr>
        <w:tc>
          <w:tcPr>
            <w:tcW w:w="2964" w:type="dxa"/>
            <w:vAlign w:val="top"/>
          </w:tcPr>
          <w:p>
            <w:pPr>
              <w:ind w:left="172"/>
              <w:spacing w:before="118" w:line="229" w:lineRule="auto"/>
              <w:rPr>
                <w:rFonts w:ascii="SimSun" w:hAnsi="SimSun" w:eastAsia="SimSun" w:cs="SimSun"/>
                <w:sz w:val="15"/>
                <w:szCs w:val="15"/>
              </w:rPr>
            </w:pPr>
            <w:r>
              <w:rPr>
                <w:rFonts w:ascii="SimSun" w:hAnsi="SimSun" w:eastAsia="SimSun" w:cs="SimSun"/>
                <w:sz w:val="15"/>
                <w:szCs w:val="15"/>
                <w:color w:val="212529"/>
                <w:spacing w:val="10"/>
              </w:rPr>
              <w:t>副高职称补助</w:t>
            </w:r>
          </w:p>
        </w:tc>
        <w:tc>
          <w:tcPr>
            <w:tcW w:w="1091" w:type="dxa"/>
            <w:vAlign w:val="top"/>
          </w:tcPr>
          <w:p>
            <w:pPr>
              <w:ind w:right="2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108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14.27</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单位名称：兴县城镇卫生院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6"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2025年度兴县城镇卫生院预算收入总计365.34万元，其中</w:t>
      </w:r>
      <w:r>
        <w:rPr>
          <w:rFonts w:ascii="FangSong" w:hAnsi="FangSong" w:eastAsia="FangSong" w:cs="FangSong"/>
          <w:sz w:val="23"/>
          <w:szCs w:val="23"/>
          <w:spacing w:val="4"/>
        </w:rPr>
        <w:t>：本年收入365.34万元，上年</w:t>
      </w:r>
      <w:r>
        <w:rPr>
          <w:rFonts w:ascii="FangSong" w:hAnsi="FangSong" w:eastAsia="FangSong" w:cs="FangSong"/>
          <w:sz w:val="23"/>
          <w:szCs w:val="23"/>
        </w:rPr>
        <w:t xml:space="preserve"> </w:t>
      </w:r>
      <w:r>
        <w:rPr>
          <w:rFonts w:ascii="FangSong" w:hAnsi="FangSong" w:eastAsia="FangSong" w:cs="FangSong"/>
          <w:sz w:val="23"/>
          <w:szCs w:val="23"/>
          <w:spacing w:val="2"/>
        </w:rPr>
        <w:t>结转0万元，比上年减少242.36万元，下降39.88%，主要原因是本年度基本公共卫生资金属于</w:t>
      </w:r>
      <w:r>
        <w:rPr>
          <w:rFonts w:ascii="FangSong" w:hAnsi="FangSong" w:eastAsia="FangSong" w:cs="FangSong"/>
          <w:sz w:val="23"/>
          <w:szCs w:val="23"/>
          <w:spacing w:val="2"/>
        </w:rPr>
        <w:t xml:space="preserve"> </w:t>
      </w:r>
      <w:r>
        <w:rPr>
          <w:rFonts w:ascii="FangSong" w:hAnsi="FangSong" w:eastAsia="FangSong" w:cs="FangSong"/>
          <w:sz w:val="23"/>
          <w:szCs w:val="23"/>
          <w:spacing w:val="5"/>
        </w:rPr>
        <w:t>上级专项资金，未生成指标，人员预算因系统公式错误，未生成事业人员绩效工资。；本年</w:t>
      </w:r>
      <w:r>
        <w:rPr>
          <w:rFonts w:ascii="FangSong" w:hAnsi="FangSong" w:eastAsia="FangSong" w:cs="FangSong"/>
          <w:sz w:val="23"/>
          <w:szCs w:val="23"/>
          <w:spacing w:val="11"/>
        </w:rPr>
        <w:t xml:space="preserve"> </w:t>
      </w:r>
      <w:r>
        <w:rPr>
          <w:rFonts w:ascii="FangSong" w:hAnsi="FangSong" w:eastAsia="FangSong" w:cs="FangSong"/>
          <w:sz w:val="23"/>
          <w:szCs w:val="23"/>
          <w:spacing w:val="2"/>
        </w:rPr>
        <w:t>单位预算支出总计365.34万元，其中：本年预算安排365.34万元，上年结转0万元，比上年减</w:t>
      </w:r>
      <w:r>
        <w:rPr>
          <w:rFonts w:ascii="FangSong" w:hAnsi="FangSong" w:eastAsia="FangSong" w:cs="FangSong"/>
          <w:sz w:val="23"/>
          <w:szCs w:val="23"/>
          <w:spacing w:val="2"/>
        </w:rPr>
        <w:t xml:space="preserve"> </w:t>
      </w:r>
      <w:r>
        <w:rPr>
          <w:rFonts w:ascii="FangSong" w:hAnsi="FangSong" w:eastAsia="FangSong" w:cs="FangSong"/>
          <w:sz w:val="23"/>
          <w:szCs w:val="23"/>
          <w:spacing w:val="5"/>
        </w:rPr>
        <w:t>少242.36万元，下降39.88%，主要原因是本年度</w:t>
      </w:r>
      <w:r>
        <w:rPr>
          <w:rFonts w:ascii="FangSong" w:hAnsi="FangSong" w:eastAsia="FangSong" w:cs="FangSong"/>
          <w:sz w:val="23"/>
          <w:szCs w:val="23"/>
          <w:spacing w:val="4"/>
        </w:rPr>
        <w:t>基本公共卫生资金属于上级专项资金，未生</w:t>
      </w:r>
      <w:r>
        <w:rPr>
          <w:rFonts w:ascii="FangSong" w:hAnsi="FangSong" w:eastAsia="FangSong" w:cs="FangSong"/>
          <w:sz w:val="23"/>
          <w:szCs w:val="23"/>
        </w:rPr>
        <w:t xml:space="preserve"> </w:t>
      </w:r>
      <w:r>
        <w:rPr>
          <w:rFonts w:ascii="FangSong" w:hAnsi="FangSong" w:eastAsia="FangSong" w:cs="FangSong"/>
          <w:sz w:val="23"/>
          <w:szCs w:val="23"/>
        </w:rPr>
        <w:t>成指标，人员预算因系统公式错误，未生成事业人员绩效工资。</w:t>
      </w:r>
    </w:p>
    <w:p>
      <w:pPr>
        <w:ind w:left="1261"/>
        <w:spacing w:before="2" w:line="230"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951"/>
        <w:spacing w:before="174" w:line="222" w:lineRule="auto"/>
        <w:rPr>
          <w:rFonts w:ascii="FangSong" w:hAnsi="FangSong" w:eastAsia="FangSong" w:cs="FangSong"/>
          <w:sz w:val="23"/>
          <w:szCs w:val="23"/>
        </w:rPr>
      </w:pPr>
      <w:r>
        <w:rPr>
          <w:rFonts w:ascii="FangSong" w:hAnsi="FangSong" w:eastAsia="FangSong" w:cs="FangSong"/>
          <w:sz w:val="23"/>
          <w:szCs w:val="23"/>
          <w:spacing w:val="5"/>
        </w:rPr>
        <w:t>25年度兴县城镇卫生院预算收入365.34万元，主要包括一般公共预算</w:t>
      </w:r>
      <w:r>
        <w:rPr>
          <w:rFonts w:ascii="FangSong" w:hAnsi="FangSong" w:eastAsia="FangSong" w:cs="FangSong"/>
          <w:sz w:val="23"/>
          <w:szCs w:val="23"/>
          <w:spacing w:val="4"/>
        </w:rPr>
        <w:t>拨款收</w:t>
      </w:r>
      <w:r>
        <w:rPr>
          <w:rFonts w:ascii="FangSong" w:hAnsi="FangSong" w:eastAsia="FangSong" w:cs="FangSong"/>
          <w:sz w:val="23"/>
          <w:szCs w:val="23"/>
          <w:spacing w:val="4"/>
        </w:rPr>
        <w:t xml:space="preserve">   </w:t>
      </w:r>
      <w:r>
        <w:rPr>
          <w:rFonts w:ascii="FangSong" w:hAnsi="FangSong" w:eastAsia="FangSong" w:cs="FangSong"/>
          <w:sz w:val="23"/>
          <w:szCs w:val="23"/>
          <w:spacing w:val="4"/>
        </w:rPr>
        <w:t>65.34</w:t>
      </w:r>
    </w:p>
    <w:p>
      <w:pPr>
        <w:ind w:left="1759"/>
        <w:spacing w:before="123" w:line="221" w:lineRule="auto"/>
        <w:rPr>
          <w:rFonts w:ascii="FangSong" w:hAnsi="FangSong" w:eastAsia="FangSong" w:cs="FangSong"/>
          <w:sz w:val="23"/>
          <w:szCs w:val="23"/>
        </w:rPr>
      </w:pPr>
      <w:r>
        <w:rPr>
          <w:rFonts w:ascii="FangSong" w:hAnsi="FangSong" w:eastAsia="FangSong" w:cs="FangSong"/>
          <w:sz w:val="23"/>
          <w:szCs w:val="23"/>
        </w:rPr>
        <w:t>,</w:t>
      </w:r>
      <w:r>
        <w:rPr>
          <w:rFonts w:ascii="FangSong" w:hAnsi="FangSong" w:eastAsia="FangSong" w:cs="FangSong"/>
          <w:sz w:val="23"/>
          <w:szCs w:val="23"/>
          <w:spacing w:val="112"/>
        </w:rPr>
        <w:t xml:space="preserve"> </w:t>
      </w:r>
      <w:r>
        <w:rPr>
          <w:rFonts w:ascii="FangSong" w:hAnsi="FangSong" w:eastAsia="FangSong" w:cs="FangSong"/>
          <w:sz w:val="23"/>
          <w:szCs w:val="23"/>
        </w:rPr>
        <w:t>占100.00%</w:t>
      </w:r>
      <w:r>
        <w:rPr>
          <w:rFonts w:ascii="FangSong" w:hAnsi="FangSong" w:eastAsia="FangSong" w:cs="FangSong"/>
          <w:sz w:val="23"/>
          <w:szCs w:val="23"/>
        </w:rPr>
        <w:t xml:space="preserve">  </w:t>
      </w:r>
      <w:r>
        <w:rPr>
          <w:rFonts w:ascii="FangSong" w:hAnsi="FangSong" w:eastAsia="FangSong" w:cs="FangSong"/>
          <w:sz w:val="23"/>
          <w:szCs w:val="23"/>
        </w:rPr>
        <w:t>政府性基金预算拨款收入0万元，</w:t>
      </w:r>
      <w:r>
        <w:rPr>
          <w:rFonts w:ascii="FangSong" w:hAnsi="FangSong" w:eastAsia="FangSong" w:cs="FangSong"/>
          <w:sz w:val="23"/>
          <w:szCs w:val="23"/>
          <w:spacing w:val="-50"/>
        </w:rPr>
        <w:t xml:space="preserve"> </w:t>
      </w:r>
      <w:r>
        <w:rPr>
          <w:rFonts w:ascii="FangSong" w:hAnsi="FangSong" w:eastAsia="FangSong" w:cs="FangSong"/>
          <w:sz w:val="23"/>
          <w:szCs w:val="23"/>
        </w:rPr>
        <w:t>占0%；</w:t>
      </w:r>
      <w:r>
        <w:rPr>
          <w:rFonts w:ascii="FangSong" w:hAnsi="FangSong" w:eastAsia="FangSong" w:cs="FangSong"/>
          <w:sz w:val="23"/>
          <w:szCs w:val="23"/>
          <w:spacing w:val="-64"/>
        </w:rPr>
        <w:t xml:space="preserve"> </w:t>
      </w:r>
      <w:r>
        <w:rPr>
          <w:rFonts w:ascii="FangSong" w:hAnsi="FangSong" w:eastAsia="FangSong" w:cs="FangSong"/>
          <w:sz w:val="23"/>
          <w:szCs w:val="23"/>
        </w:rPr>
        <w:t>国有资本经营预</w:t>
      </w:r>
      <w:r>
        <w:rPr>
          <w:rFonts w:ascii="FangSong" w:hAnsi="FangSong" w:eastAsia="FangSong" w:cs="FangSong"/>
          <w:sz w:val="23"/>
          <w:szCs w:val="23"/>
          <w:spacing w:val="11"/>
        </w:rPr>
        <w:t xml:space="preserve">      </w:t>
      </w:r>
      <w:r>
        <w:rPr>
          <w:rFonts w:ascii="FangSong" w:hAnsi="FangSong" w:eastAsia="FangSong" w:cs="FangSong"/>
          <w:sz w:val="23"/>
          <w:szCs w:val="23"/>
          <w:spacing w:val="-1"/>
        </w:rPr>
        <w:t>收入0万</w:t>
      </w:r>
    </w:p>
    <w:p>
      <w:pPr>
        <w:ind w:left="1267"/>
        <w:spacing w:before="137" w:line="219" w:lineRule="auto"/>
        <w:rPr>
          <w:rFonts w:ascii="FangSong" w:hAnsi="FangSong" w:eastAsia="FangSong" w:cs="FangSong"/>
          <w:sz w:val="23"/>
          <w:szCs w:val="23"/>
        </w:rPr>
      </w:pPr>
      <w:r>
        <w:rPr>
          <w:rFonts w:ascii="FangSong" w:hAnsi="FangSong" w:eastAsia="FangSong" w:cs="FangSong"/>
          <w:sz w:val="23"/>
          <w:szCs w:val="23"/>
          <w:spacing w:val="-2"/>
        </w:rPr>
        <w:t>元，</w:t>
      </w:r>
      <w:r>
        <w:rPr>
          <w:rFonts w:ascii="FangSong" w:hAnsi="FangSong" w:eastAsia="FangSong" w:cs="FangSong"/>
          <w:sz w:val="23"/>
          <w:szCs w:val="23"/>
          <w:spacing w:val="-43"/>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转0万元，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w:t>
      </w:r>
    </w:p>
    <w:p>
      <w:pPr>
        <w:ind w:left="1258"/>
        <w:spacing w:before="126" w:line="237" w:lineRule="auto"/>
        <w:rPr>
          <w:rFonts w:ascii="FangSong" w:hAnsi="FangSong" w:eastAsia="FangSong" w:cs="FangSong"/>
          <w:sz w:val="23"/>
          <w:szCs w:val="23"/>
        </w:rPr>
      </w:pPr>
      <w:r>
        <w:rPr>
          <w:rFonts w:ascii="FangSong" w:hAnsi="FangSong" w:eastAsia="FangSong" w:cs="FangSong"/>
          <w:sz w:val="23"/>
          <w:szCs w:val="23"/>
          <w:spacing w:val="-4"/>
        </w:rPr>
        <w:t>0%。</w:t>
      </w:r>
    </w:p>
    <w:p>
      <w:pPr>
        <w:pStyle w:val="BodyText"/>
        <w:spacing w:line="418" w:lineRule="auto"/>
        <w:rPr/>
      </w:pPr>
      <w:r/>
    </w:p>
    <w:p>
      <w:pPr>
        <w:ind w:firstLine="3685"/>
        <w:spacing w:before="1" w:line="2934" w:lineRule="exact"/>
        <w:rPr/>
      </w:pPr>
      <w:r>
        <w:rPr>
          <w:position w:val="-58"/>
        </w:rPr>
        <w:drawing>
          <wp:inline distT="0" distB="0" distL="0" distR="0">
            <wp:extent cx="2346419" cy="1863135"/>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46419" cy="1863135"/>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spacing w:val="-9"/>
        </w:rPr>
        <w:t>2</w:t>
      </w:r>
      <w:r>
        <w:rPr>
          <w:rFonts w:ascii="FangSong" w:hAnsi="FangSong" w:eastAsia="FangSong" w:cs="FangSong"/>
          <w:sz w:val="23"/>
          <w:szCs w:val="23"/>
          <w:spacing w:val="-9"/>
        </w:rPr>
        <w:t xml:space="preserve">        </w:t>
      </w:r>
      <w:r>
        <w:rPr>
          <w:rFonts w:ascii="FangSong" w:hAnsi="FangSong" w:eastAsia="FangSong" w:cs="FangSong"/>
          <w:sz w:val="23"/>
          <w:szCs w:val="23"/>
          <w:spacing w:val="-9"/>
        </w:rPr>
        <w:t>兴</w:t>
      </w:r>
      <w:r>
        <w:rPr>
          <w:rFonts w:ascii="FangSong" w:hAnsi="FangSong" w:eastAsia="FangSong" w:cs="FangSong"/>
          <w:sz w:val="23"/>
          <w:szCs w:val="23"/>
          <w:spacing w:val="-67"/>
        </w:rPr>
        <w:t xml:space="preserve"> </w:t>
      </w:r>
      <w:r>
        <w:rPr>
          <w:rFonts w:ascii="FangSong" w:hAnsi="FangSong" w:eastAsia="FangSong" w:cs="FangSong"/>
          <w:sz w:val="23"/>
          <w:szCs w:val="23"/>
          <w:spacing w:val="-9"/>
        </w:rPr>
        <w:t>县</w:t>
      </w:r>
      <w:r>
        <w:rPr>
          <w:rFonts w:ascii="FangSong" w:hAnsi="FangSong" w:eastAsia="FangSong" w:cs="FangSong"/>
          <w:sz w:val="23"/>
          <w:szCs w:val="23"/>
          <w:spacing w:val="-65"/>
        </w:rPr>
        <w:t xml:space="preserve"> </w:t>
      </w:r>
      <w:r>
        <w:rPr>
          <w:rFonts w:ascii="FangSong" w:hAnsi="FangSong" w:eastAsia="FangSong" w:cs="FangSong"/>
          <w:sz w:val="23"/>
          <w:szCs w:val="23"/>
          <w:spacing w:val="-9"/>
        </w:rPr>
        <w:t>城镇</w:t>
      </w:r>
      <w:r>
        <w:rPr>
          <w:rFonts w:ascii="FangSong" w:hAnsi="FangSong" w:eastAsia="FangSong" w:cs="FangSong"/>
          <w:sz w:val="23"/>
          <w:szCs w:val="23"/>
          <w:spacing w:val="-65"/>
        </w:rPr>
        <w:t xml:space="preserve"> </w:t>
      </w:r>
      <w:r>
        <w:rPr>
          <w:rFonts w:ascii="FangSong" w:hAnsi="FangSong" w:eastAsia="FangSong" w:cs="FangSong"/>
          <w:sz w:val="23"/>
          <w:szCs w:val="23"/>
          <w:spacing w:val="-9"/>
        </w:rPr>
        <w:t>卫</w:t>
      </w:r>
      <w:r>
        <w:rPr>
          <w:rFonts w:ascii="FangSong" w:hAnsi="FangSong" w:eastAsia="FangSong" w:cs="FangSong"/>
          <w:sz w:val="23"/>
          <w:szCs w:val="23"/>
          <w:spacing w:val="-55"/>
        </w:rPr>
        <w:t xml:space="preserve"> </w:t>
      </w:r>
      <w:r>
        <w:rPr>
          <w:rFonts w:ascii="FangSong" w:hAnsi="FangSong" w:eastAsia="FangSong" w:cs="FangSong"/>
          <w:sz w:val="23"/>
          <w:szCs w:val="23"/>
          <w:spacing w:val="-9"/>
        </w:rPr>
        <w:t>生</w:t>
      </w:r>
      <w:r>
        <w:rPr>
          <w:rFonts w:ascii="FangSong" w:hAnsi="FangSong" w:eastAsia="FangSong" w:cs="FangSong"/>
          <w:sz w:val="23"/>
          <w:szCs w:val="23"/>
          <w:spacing w:val="-56"/>
        </w:rPr>
        <w:t xml:space="preserve"> </w:t>
      </w:r>
      <w:r>
        <w:rPr>
          <w:rFonts w:ascii="FangSong" w:hAnsi="FangSong" w:eastAsia="FangSong" w:cs="FangSong"/>
          <w:sz w:val="23"/>
          <w:szCs w:val="23"/>
          <w:spacing w:val="-9"/>
        </w:rPr>
        <w:t>院</w:t>
      </w:r>
      <w:r>
        <w:rPr>
          <w:rFonts w:ascii="FangSong" w:hAnsi="FangSong" w:eastAsia="FangSong" w:cs="FangSong"/>
          <w:sz w:val="23"/>
          <w:szCs w:val="23"/>
          <w:spacing w:val="-69"/>
        </w:rPr>
        <w:t xml:space="preserve"> </w:t>
      </w:r>
      <w:r>
        <w:rPr>
          <w:rFonts w:ascii="FangSong" w:hAnsi="FangSong" w:eastAsia="FangSong" w:cs="FangSong"/>
          <w:sz w:val="23"/>
          <w:szCs w:val="23"/>
          <w:spacing w:val="-9"/>
        </w:rPr>
        <w:t>支</w:t>
      </w:r>
      <w:r>
        <w:rPr>
          <w:rFonts w:ascii="FangSong" w:hAnsi="FangSong" w:eastAsia="FangSong" w:cs="FangSong"/>
          <w:sz w:val="23"/>
          <w:szCs w:val="23"/>
          <w:spacing w:val="-45"/>
        </w:rPr>
        <w:t xml:space="preserve"> </w:t>
      </w:r>
      <w:r>
        <w:rPr>
          <w:rFonts w:ascii="FangSong" w:hAnsi="FangSong" w:eastAsia="FangSong" w:cs="FangSong"/>
          <w:sz w:val="23"/>
          <w:szCs w:val="23"/>
          <w:spacing w:val="-9"/>
        </w:rPr>
        <w:t>出</w:t>
      </w:r>
      <w:r>
        <w:rPr>
          <w:rFonts w:ascii="FangSong" w:hAnsi="FangSong" w:eastAsia="FangSong" w:cs="FangSong"/>
          <w:sz w:val="23"/>
          <w:szCs w:val="23"/>
          <w:spacing w:val="-67"/>
        </w:rPr>
        <w:t xml:space="preserve"> </w:t>
      </w:r>
      <w:r>
        <w:rPr>
          <w:rFonts w:ascii="FangSong" w:hAnsi="FangSong" w:eastAsia="FangSong" w:cs="FangSong"/>
          <w:sz w:val="23"/>
          <w:szCs w:val="23"/>
          <w:spacing w:val="-9"/>
        </w:rPr>
        <w:t>预</w:t>
      </w:r>
      <w:r>
        <w:rPr>
          <w:rFonts w:ascii="FangSong" w:hAnsi="FangSong" w:eastAsia="FangSong" w:cs="FangSong"/>
          <w:sz w:val="23"/>
          <w:szCs w:val="23"/>
          <w:spacing w:val="-69"/>
        </w:rPr>
        <w:t xml:space="preserve"> </w:t>
      </w:r>
      <w:r>
        <w:rPr>
          <w:rFonts w:ascii="FangSong" w:hAnsi="FangSong" w:eastAsia="FangSong" w:cs="FangSong"/>
          <w:sz w:val="23"/>
          <w:szCs w:val="23"/>
          <w:spacing w:val="-9"/>
        </w:rPr>
        <w:t>算365.34</w:t>
      </w:r>
      <w:r>
        <w:rPr>
          <w:rFonts w:ascii="FangSong" w:hAnsi="FangSong" w:eastAsia="FangSong" w:cs="FangSong"/>
          <w:sz w:val="23"/>
          <w:szCs w:val="23"/>
          <w:spacing w:val="-67"/>
        </w:rPr>
        <w:t xml:space="preserve"> </w:t>
      </w:r>
      <w:r>
        <w:rPr>
          <w:rFonts w:ascii="FangSong" w:hAnsi="FangSong" w:eastAsia="FangSong" w:cs="FangSong"/>
          <w:sz w:val="23"/>
          <w:szCs w:val="23"/>
          <w:spacing w:val="-9"/>
        </w:rPr>
        <w:t>万</w:t>
      </w:r>
      <w:r>
        <w:rPr>
          <w:rFonts w:ascii="FangSong" w:hAnsi="FangSong" w:eastAsia="FangSong" w:cs="FangSong"/>
          <w:sz w:val="23"/>
          <w:szCs w:val="23"/>
          <w:spacing w:val="-65"/>
        </w:rPr>
        <w:t xml:space="preserve"> </w:t>
      </w:r>
      <w:r>
        <w:rPr>
          <w:rFonts w:ascii="FangSong" w:hAnsi="FangSong" w:eastAsia="FangSong" w:cs="FangSong"/>
          <w:sz w:val="23"/>
          <w:szCs w:val="23"/>
          <w:spacing w:val="-9"/>
        </w:rPr>
        <w:t>元</w:t>
      </w:r>
      <w:r>
        <w:rPr>
          <w:rFonts w:ascii="FangSong" w:hAnsi="FangSong" w:eastAsia="FangSong" w:cs="FangSong"/>
          <w:sz w:val="23"/>
          <w:szCs w:val="23"/>
          <w:spacing w:val="-53"/>
        </w:rPr>
        <w:t xml:space="preserve"> </w:t>
      </w:r>
      <w:r>
        <w:rPr>
          <w:rFonts w:ascii="FangSong" w:hAnsi="FangSong" w:eastAsia="FangSong" w:cs="FangSong"/>
          <w:sz w:val="23"/>
          <w:szCs w:val="23"/>
          <w:spacing w:val="-9"/>
        </w:rPr>
        <w:t>，</w:t>
      </w:r>
      <w:r>
        <w:rPr>
          <w:rFonts w:ascii="FangSong" w:hAnsi="FangSong" w:eastAsia="FangSong" w:cs="FangSong"/>
          <w:sz w:val="23"/>
          <w:szCs w:val="23"/>
          <w:spacing w:val="-66"/>
        </w:rPr>
        <w:t xml:space="preserve"> </w:t>
      </w:r>
      <w:r>
        <w:rPr>
          <w:rFonts w:ascii="FangSong" w:hAnsi="FangSong" w:eastAsia="FangSong" w:cs="FangSong"/>
          <w:sz w:val="23"/>
          <w:szCs w:val="23"/>
          <w:spacing w:val="-9"/>
        </w:rPr>
        <w:t>其</w:t>
      </w:r>
      <w:r>
        <w:rPr>
          <w:rFonts w:ascii="FangSong" w:hAnsi="FangSong" w:eastAsia="FangSong" w:cs="FangSong"/>
          <w:sz w:val="23"/>
          <w:szCs w:val="23"/>
          <w:spacing w:val="-39"/>
        </w:rPr>
        <w:t xml:space="preserve"> </w:t>
      </w:r>
      <w:r>
        <w:rPr>
          <w:rFonts w:ascii="FangSong" w:hAnsi="FangSong" w:eastAsia="FangSong" w:cs="FangSong"/>
          <w:sz w:val="23"/>
          <w:szCs w:val="23"/>
          <w:spacing w:val="-10"/>
        </w:rPr>
        <w:t>中</w:t>
      </w:r>
      <w:r>
        <w:rPr>
          <w:rFonts w:ascii="FangSong" w:hAnsi="FangSong" w:eastAsia="FangSong" w:cs="FangSong"/>
          <w:sz w:val="23"/>
          <w:szCs w:val="23"/>
          <w:spacing w:val="-52"/>
        </w:rPr>
        <w:t xml:space="preserve"> </w:t>
      </w:r>
      <w:r>
        <w:rPr>
          <w:rFonts w:ascii="FangSong" w:hAnsi="FangSong" w:eastAsia="FangSong" w:cs="FangSong"/>
          <w:sz w:val="23"/>
          <w:szCs w:val="23"/>
          <w:spacing w:val="-10"/>
        </w:rPr>
        <w:t>：</w:t>
      </w:r>
      <w:r>
        <w:rPr>
          <w:rFonts w:ascii="FangSong" w:hAnsi="FangSong" w:eastAsia="FangSong" w:cs="FangSong"/>
          <w:sz w:val="23"/>
          <w:szCs w:val="23"/>
          <w:spacing w:val="-68"/>
        </w:rPr>
        <w:t xml:space="preserve"> </w:t>
      </w:r>
      <w:r>
        <w:rPr>
          <w:rFonts w:ascii="FangSong" w:hAnsi="FangSong" w:eastAsia="FangSong" w:cs="FangSong"/>
          <w:sz w:val="23"/>
          <w:szCs w:val="23"/>
          <w:spacing w:val="-10"/>
        </w:rPr>
        <w:t>基</w:t>
      </w:r>
      <w:r>
        <w:rPr>
          <w:rFonts w:ascii="FangSong" w:hAnsi="FangSong" w:eastAsia="FangSong" w:cs="FangSong"/>
          <w:sz w:val="23"/>
          <w:szCs w:val="23"/>
          <w:spacing w:val="-68"/>
        </w:rPr>
        <w:t xml:space="preserve"> </w:t>
      </w:r>
      <w:r>
        <w:rPr>
          <w:rFonts w:ascii="FangSong" w:hAnsi="FangSong" w:eastAsia="FangSong" w:cs="FangSong"/>
          <w:sz w:val="23"/>
          <w:szCs w:val="23"/>
          <w:spacing w:val="-10"/>
        </w:rPr>
        <w:t>本</w:t>
      </w:r>
      <w:r>
        <w:rPr>
          <w:rFonts w:ascii="FangSong" w:hAnsi="FangSong" w:eastAsia="FangSong" w:cs="FangSong"/>
          <w:sz w:val="23"/>
          <w:szCs w:val="23"/>
          <w:spacing w:val="-69"/>
        </w:rPr>
        <w:t xml:space="preserve"> </w:t>
      </w:r>
      <w:r>
        <w:rPr>
          <w:rFonts w:ascii="FangSong" w:hAnsi="FangSong" w:eastAsia="FangSong" w:cs="FangSong"/>
          <w:sz w:val="23"/>
          <w:szCs w:val="23"/>
          <w:spacing w:val="-10"/>
        </w:rPr>
        <w:t>支</w:t>
      </w:r>
      <w:r>
        <w:rPr>
          <w:rFonts w:ascii="FangSong" w:hAnsi="FangSong" w:eastAsia="FangSong" w:cs="FangSong"/>
          <w:sz w:val="23"/>
          <w:szCs w:val="23"/>
          <w:spacing w:val="-46"/>
        </w:rPr>
        <w:t xml:space="preserve"> </w:t>
      </w:r>
      <w:r>
        <w:rPr>
          <w:rFonts w:ascii="FangSong" w:hAnsi="FangSong" w:eastAsia="FangSong" w:cs="FangSong"/>
          <w:sz w:val="23"/>
          <w:szCs w:val="23"/>
          <w:spacing w:val="-10"/>
        </w:rPr>
        <w:t>出343.24</w:t>
      </w:r>
      <w:r>
        <w:rPr>
          <w:rFonts w:ascii="FangSong" w:hAnsi="FangSong" w:eastAsia="FangSong" w:cs="FangSong"/>
          <w:sz w:val="23"/>
          <w:szCs w:val="23"/>
          <w:spacing w:val="-67"/>
        </w:rPr>
        <w:t xml:space="preserve"> </w:t>
      </w:r>
      <w:r>
        <w:rPr>
          <w:rFonts w:ascii="FangSong" w:hAnsi="FangSong" w:eastAsia="FangSong" w:cs="FangSong"/>
          <w:sz w:val="23"/>
          <w:szCs w:val="23"/>
          <w:spacing w:val="-10"/>
        </w:rPr>
        <w:t>万</w:t>
      </w:r>
      <w:r>
        <w:rPr>
          <w:rFonts w:ascii="FangSong" w:hAnsi="FangSong" w:eastAsia="FangSong" w:cs="FangSong"/>
          <w:sz w:val="23"/>
          <w:szCs w:val="23"/>
          <w:spacing w:val="-10"/>
        </w:rPr>
        <w:t xml:space="preserve">   </w:t>
      </w:r>
      <w:r>
        <w:rPr>
          <w:rFonts w:ascii="FangSong" w:hAnsi="FangSong" w:eastAsia="FangSong" w:cs="FangSong"/>
          <w:sz w:val="23"/>
          <w:szCs w:val="23"/>
          <w:spacing w:val="-10"/>
        </w:rPr>
        <w:t>，</w:t>
      </w:r>
    </w:p>
    <w:p>
      <w:pPr>
        <w:ind w:left="1257"/>
        <w:spacing w:before="124" w:line="223" w:lineRule="auto"/>
        <w:rPr>
          <w:rFonts w:ascii="FangSong" w:hAnsi="FangSong" w:eastAsia="FangSong" w:cs="FangSong"/>
          <w:sz w:val="23"/>
          <w:szCs w:val="23"/>
        </w:rPr>
      </w:pPr>
      <w:r>
        <w:rPr>
          <w:rFonts w:ascii="FangSong" w:hAnsi="FangSong" w:eastAsia="FangSong" w:cs="FangSong"/>
          <w:sz w:val="23"/>
          <w:szCs w:val="23"/>
          <w:spacing w:val="-2"/>
        </w:rPr>
        <w:t>93.95%；项目支出22.1万元，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w:t>
      </w:r>
      <w:r>
        <w:rPr>
          <w:rFonts w:ascii="FangSong" w:hAnsi="FangSong" w:eastAsia="FangSong" w:cs="FangSong"/>
          <w:sz w:val="23"/>
          <w:szCs w:val="23"/>
          <w:spacing w:val="-3"/>
        </w:rPr>
        <w:t>6.05%。</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1" w:right="1223" w:firstLine="459"/>
        <w:spacing w:before="187" w:line="322" w:lineRule="auto"/>
        <w:jc w:val="both"/>
        <w:rPr>
          <w:rFonts w:ascii="FangSong" w:hAnsi="FangSong" w:eastAsia="FangSong" w:cs="FangSong"/>
          <w:sz w:val="23"/>
          <w:szCs w:val="23"/>
        </w:rPr>
      </w:pPr>
      <w:r>
        <w:rPr>
          <w:rFonts w:ascii="FangSong" w:hAnsi="FangSong" w:eastAsia="FangSong" w:cs="FangSong"/>
          <w:sz w:val="23"/>
          <w:szCs w:val="23"/>
          <w:spacing w:val="11"/>
        </w:rPr>
        <w:t>2025年度兴县城镇卫生院财政拨款收支总预算36</w:t>
      </w:r>
      <w:r>
        <w:rPr>
          <w:rFonts w:ascii="FangSong" w:hAnsi="FangSong" w:eastAsia="FangSong" w:cs="FangSong"/>
          <w:sz w:val="23"/>
          <w:szCs w:val="23"/>
          <w:spacing w:val="10"/>
        </w:rPr>
        <w:t>5.34万元。其中：一般公共预算拨款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365.34万元，政府性基金预算拨款0万元，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国有资本经</w:t>
      </w:r>
      <w:r>
        <w:rPr>
          <w:rFonts w:ascii="FangSong" w:hAnsi="FangSong" w:eastAsia="FangSong" w:cs="FangSong"/>
          <w:sz w:val="23"/>
          <w:szCs w:val="23"/>
          <w:spacing w:val="2"/>
        </w:rPr>
        <w:t>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rPr>
        <w:t xml:space="preserve"> </w:t>
      </w:r>
      <w:r>
        <w:rPr>
          <w:rFonts w:ascii="FangSong" w:hAnsi="FangSong" w:eastAsia="FangSong" w:cs="FangSong"/>
          <w:sz w:val="23"/>
          <w:szCs w:val="23"/>
          <w:spacing w:val="5"/>
        </w:rPr>
        <w:t>入365.34万元，上年结转收入0万元。支出包括：社会保障和</w:t>
      </w:r>
      <w:r>
        <w:rPr>
          <w:rFonts w:ascii="FangSong" w:hAnsi="FangSong" w:eastAsia="FangSong" w:cs="FangSong"/>
          <w:sz w:val="23"/>
          <w:szCs w:val="23"/>
          <w:spacing w:val="4"/>
        </w:rPr>
        <w:t>就业支出44.42万元、卫生健康</w:t>
      </w:r>
      <w:r>
        <w:rPr>
          <w:rFonts w:ascii="FangSong" w:hAnsi="FangSong" w:eastAsia="FangSong" w:cs="FangSong"/>
          <w:sz w:val="23"/>
          <w:szCs w:val="23"/>
        </w:rPr>
        <w:t xml:space="preserve"> </w:t>
      </w:r>
      <w:r>
        <w:rPr>
          <w:rFonts w:ascii="FangSong" w:hAnsi="FangSong" w:eastAsia="FangSong" w:cs="FangSong"/>
          <w:sz w:val="23"/>
          <w:szCs w:val="23"/>
        </w:rPr>
        <w:t>支出287.79万元、住房保障支出33.13万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spacing w:val="3"/>
        </w:rPr>
        <w:t>2025年度兴县城镇卫生院一般公共预算当年支出3</w:t>
      </w:r>
      <w:r>
        <w:rPr>
          <w:rFonts w:ascii="FangSong" w:hAnsi="FangSong" w:eastAsia="FangSong" w:cs="FangSong"/>
          <w:sz w:val="23"/>
          <w:szCs w:val="23"/>
          <w:spacing w:val="2"/>
        </w:rPr>
        <w:t>65.34万元,比上年减少242.36万元，下</w:t>
      </w:r>
    </w:p>
    <w:p>
      <w:pPr>
        <w:ind w:left="1725"/>
        <w:spacing w:before="277" w:line="111" w:lineRule="exact"/>
        <w:rPr>
          <w:rFonts w:ascii="FangSong" w:hAnsi="FangSong" w:eastAsia="FangSong" w:cs="FangSong"/>
          <w:sz w:val="23"/>
          <w:szCs w:val="23"/>
        </w:rPr>
      </w:pPr>
      <w:r>
        <w:rPr>
          <w:rFonts w:ascii="FangSong" w:hAnsi="FangSong" w:eastAsia="FangSong" w:cs="FangSong"/>
          <w:sz w:val="23"/>
          <w:szCs w:val="23"/>
          <w:spacing w:val="-8"/>
          <w:position w:val="2"/>
        </w:rPr>
        <w:t>.</w:t>
      </w:r>
      <w:r>
        <w:rPr>
          <w:rFonts w:ascii="FangSong" w:hAnsi="FangSong" w:eastAsia="FangSong" w:cs="FangSong"/>
          <w:sz w:val="23"/>
          <w:szCs w:val="23"/>
          <w:position w:val="2"/>
        </w:rPr>
        <w:t xml:space="preserve">   </w:t>
      </w:r>
      <w:r>
        <w:rPr>
          <w:rFonts w:ascii="FangSong" w:hAnsi="FangSong" w:eastAsia="FangSong" w:cs="FangSong"/>
          <w:sz w:val="23"/>
          <w:szCs w:val="23"/>
          <w:spacing w:val="-8"/>
          <w:position w:val="2"/>
        </w:rPr>
        <w:t>。</w:t>
      </w:r>
    </w:p>
    <w:p>
      <w:pPr>
        <w:ind w:left="1725"/>
        <w:spacing w:before="135"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2"/>
        </w:rPr>
        <w:t>2</w:t>
      </w:r>
      <w:r>
        <w:rPr>
          <w:rFonts w:ascii="FangSong" w:hAnsi="FangSong" w:eastAsia="FangSong" w:cs="FangSong"/>
          <w:sz w:val="23"/>
          <w:szCs w:val="23"/>
          <w:spacing w:val="2"/>
        </w:rPr>
        <w:t xml:space="preserve">       </w:t>
      </w:r>
      <w:r>
        <w:rPr>
          <w:rFonts w:ascii="FangSong" w:hAnsi="FangSong" w:eastAsia="FangSong" w:cs="FangSong"/>
          <w:sz w:val="23"/>
          <w:szCs w:val="23"/>
          <w:spacing w:val="2"/>
        </w:rPr>
        <w:t>兴县城镇卫生院一般公共预算当年支出365.34万元,主要用于以下方面：</w:t>
      </w:r>
    </w:p>
    <w:p>
      <w:pPr>
        <w:ind w:left="1261" w:right="1223" w:firstLine="15"/>
        <w:spacing w:before="124" w:line="331" w:lineRule="auto"/>
        <w:rPr>
          <w:rFonts w:ascii="FangSong" w:hAnsi="FangSong" w:eastAsia="FangSong" w:cs="FangSong"/>
          <w:sz w:val="23"/>
          <w:szCs w:val="23"/>
        </w:rPr>
      </w:pPr>
      <w:r>
        <w:rPr>
          <w:rFonts w:ascii="FangSong" w:hAnsi="FangSong" w:eastAsia="FangSong" w:cs="FangSong"/>
          <w:sz w:val="23"/>
          <w:szCs w:val="23"/>
          <w:spacing w:val="4"/>
        </w:rPr>
        <w:t>障和就业支出44.42万元，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占12.16%；卫生健康支出</w:t>
      </w:r>
      <w:r>
        <w:rPr>
          <w:rFonts w:ascii="FangSong" w:hAnsi="FangSong" w:eastAsia="FangSong" w:cs="FangSong"/>
          <w:sz w:val="23"/>
          <w:szCs w:val="23"/>
          <w:spacing w:val="3"/>
        </w:rPr>
        <w:t>287.79万元，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占78.77%；住房保障支出</w:t>
      </w:r>
      <w:r>
        <w:rPr>
          <w:rFonts w:ascii="FangSong" w:hAnsi="FangSong" w:eastAsia="FangSong" w:cs="FangSong"/>
          <w:sz w:val="23"/>
          <w:szCs w:val="23"/>
        </w:rPr>
        <w:t xml:space="preserve"> </w:t>
      </w:r>
      <w:r>
        <w:rPr>
          <w:rFonts w:ascii="FangSong" w:hAnsi="FangSong" w:eastAsia="FangSong" w:cs="FangSong"/>
          <w:sz w:val="23"/>
          <w:szCs w:val="23"/>
          <w:spacing w:val="-4"/>
        </w:rPr>
        <w:t>33.13万元，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占9.07%等。</w:t>
      </w:r>
    </w:p>
    <w:p>
      <w:pPr>
        <w:ind w:firstLine="4604"/>
        <w:spacing w:before="81" w:line="2547" w:lineRule="exact"/>
        <w:rPr/>
      </w:pPr>
      <w:r>
        <w:rPr>
          <w:position w:val="-50"/>
        </w:rPr>
        <w:drawing>
          <wp:inline distT="0" distB="0" distL="0" distR="0">
            <wp:extent cx="2029335" cy="1617346"/>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029335" cy="1617346"/>
                    </a:xfrm>
                    <a:prstGeom prst="rect">
                      <a:avLst/>
                    </a:prstGeom>
                  </pic:spPr>
                </pic:pic>
              </a:graphicData>
            </a:graphic>
          </wp:inline>
        </w:drawing>
      </w:r>
    </w:p>
    <w:p>
      <w:pPr>
        <w:pStyle w:val="BodyText"/>
        <w:spacing w:line="249" w:lineRule="auto"/>
        <w:rPr/>
      </w:pPr>
      <w:r/>
    </w:p>
    <w:p>
      <w:pPr>
        <w:pStyle w:val="BodyText"/>
        <w:spacing w:line="249"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1"/>
        </w:rPr>
        <w:t>2025年度兴县城镇卫生院一般公共预算安排基本支出343.24万</w:t>
      </w:r>
      <w:r>
        <w:rPr>
          <w:rFonts w:ascii="FangSong" w:hAnsi="FangSong" w:eastAsia="FangSong" w:cs="FangSong"/>
          <w:sz w:val="23"/>
          <w:szCs w:val="23"/>
          <w:spacing w:val="1"/>
        </w:rPr>
        <w:t xml:space="preserve">  </w:t>
      </w:r>
      <w:r>
        <w:rPr>
          <w:rFonts w:ascii="FangSong" w:hAnsi="FangSong" w:eastAsia="FangSong" w:cs="FangSong"/>
          <w:sz w:val="23"/>
          <w:szCs w:val="23"/>
          <w:spacing w:val="-15"/>
        </w:rPr>
        <w:t>，</w:t>
      </w:r>
      <w:r>
        <w:rPr>
          <w:rFonts w:ascii="FangSong" w:hAnsi="FangSong" w:eastAsia="FangSong" w:cs="FangSong"/>
          <w:sz w:val="23"/>
          <w:szCs w:val="23"/>
        </w:rPr>
        <w:t xml:space="preserve">    </w:t>
      </w:r>
      <w:r>
        <w:rPr>
          <w:rFonts w:ascii="FangSong" w:hAnsi="FangSong" w:eastAsia="FangSong" w:cs="FangSong"/>
          <w:sz w:val="23"/>
          <w:szCs w:val="23"/>
          <w:spacing w:val="-15"/>
        </w:rPr>
        <w:t>：</w:t>
      </w:r>
    </w:p>
    <w:p>
      <w:pPr>
        <w:ind w:left="1263" w:right="1223" w:firstLine="464"/>
        <w:spacing w:before="135" w:line="321" w:lineRule="auto"/>
        <w:rPr>
          <w:rFonts w:ascii="FangSong" w:hAnsi="FangSong" w:eastAsia="FangSong" w:cs="FangSong"/>
          <w:sz w:val="23"/>
          <w:szCs w:val="23"/>
        </w:rPr>
      </w:pPr>
      <w:r>
        <w:rPr>
          <w:rFonts w:ascii="FangSong" w:hAnsi="FangSong" w:eastAsia="FangSong" w:cs="FangSong"/>
          <w:sz w:val="23"/>
          <w:szCs w:val="23"/>
          <w:spacing w:val="5"/>
        </w:rPr>
        <w:t>人员经费324.83万元，主要包括：其他工资福利支出、其他社</w:t>
      </w:r>
      <w:r>
        <w:rPr>
          <w:rFonts w:ascii="FangSong" w:hAnsi="FangSong" w:eastAsia="FangSong" w:cs="FangSong"/>
          <w:sz w:val="23"/>
          <w:szCs w:val="23"/>
          <w:spacing w:val="5"/>
        </w:rPr>
        <w:t xml:space="preserve">  </w:t>
      </w:r>
      <w:r>
        <w:rPr>
          <w:rFonts w:ascii="FangSong" w:hAnsi="FangSong" w:eastAsia="FangSong" w:cs="FangSong"/>
          <w:sz w:val="23"/>
          <w:szCs w:val="23"/>
          <w:spacing w:val="5"/>
        </w:rPr>
        <w:t>保障缴费、绩效</w:t>
      </w:r>
      <w:r>
        <w:rPr>
          <w:rFonts w:ascii="FangSong" w:hAnsi="FangSong" w:eastAsia="FangSong" w:cs="FangSong"/>
          <w:sz w:val="23"/>
          <w:szCs w:val="23"/>
          <w:spacing w:val="4"/>
        </w:rPr>
        <w:t>工资、</w:t>
      </w:r>
      <w:r>
        <w:rPr>
          <w:rFonts w:ascii="FangSong" w:hAnsi="FangSong" w:eastAsia="FangSong" w:cs="FangSong"/>
          <w:sz w:val="23"/>
          <w:szCs w:val="23"/>
        </w:rPr>
        <w:t xml:space="preserve"> </w:t>
      </w:r>
      <w:r>
        <w:rPr>
          <w:rFonts w:ascii="FangSong" w:hAnsi="FangSong" w:eastAsia="FangSong" w:cs="FangSong"/>
          <w:sz w:val="23"/>
          <w:szCs w:val="23"/>
          <w:spacing w:val="11"/>
        </w:rPr>
        <w:t>基本工资、机关事业单位基本养老保险缴费、住房公积金、退休费、职工基本医疗保险缴</w:t>
      </w:r>
      <w:r>
        <w:rPr>
          <w:rFonts w:ascii="FangSong" w:hAnsi="FangSong" w:eastAsia="FangSong" w:cs="FangSong"/>
          <w:sz w:val="23"/>
          <w:szCs w:val="23"/>
          <w:spacing w:val="12"/>
        </w:rPr>
        <w:t xml:space="preserve"> </w:t>
      </w:r>
      <w:r>
        <w:rPr>
          <w:rFonts w:ascii="FangSong" w:hAnsi="FangSong" w:eastAsia="FangSong" w:cs="FangSong"/>
          <w:sz w:val="23"/>
          <w:szCs w:val="23"/>
          <w:spacing w:val="-2"/>
        </w:rPr>
        <w:t>费、津贴补贴等</w:t>
      </w:r>
    </w:p>
    <w:p>
      <w:pPr>
        <w:ind w:left="1729"/>
        <w:spacing w:before="9" w:line="223" w:lineRule="auto"/>
        <w:rPr>
          <w:rFonts w:ascii="FangSong" w:hAnsi="FangSong" w:eastAsia="FangSong" w:cs="FangSong"/>
          <w:sz w:val="23"/>
          <w:szCs w:val="23"/>
        </w:rPr>
      </w:pPr>
      <w:r>
        <w:rPr>
          <w:rFonts w:ascii="FangSong" w:hAnsi="FangSong" w:eastAsia="FangSong" w:cs="FangSong"/>
          <w:sz w:val="23"/>
          <w:szCs w:val="23"/>
        </w:rPr>
        <w:t>公用经费18.41万元，主要包括：福利费、工会经费、</w:t>
      </w:r>
      <w:r>
        <w:rPr>
          <w:rFonts w:ascii="FangSong" w:hAnsi="FangSong" w:eastAsia="FangSong" w:cs="FangSong"/>
          <w:sz w:val="23"/>
          <w:szCs w:val="23"/>
          <w:spacing w:val="-1"/>
        </w:rPr>
        <w:t>取暖费等。</w:t>
      </w:r>
    </w:p>
    <w:p>
      <w:pPr>
        <w:ind w:left="1255"/>
        <w:spacing w:before="120"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1"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本单位为公益一类事业单位，无机关运行经费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5" w:right="1223" w:firstLine="454"/>
        <w:spacing w:before="187" w:line="322" w:lineRule="auto"/>
        <w:rPr>
          <w:rFonts w:ascii="FangSong" w:hAnsi="FangSong" w:eastAsia="FangSong" w:cs="FangSong"/>
          <w:sz w:val="23"/>
          <w:szCs w:val="23"/>
        </w:rPr>
      </w:pPr>
      <w:r>
        <w:rPr>
          <w:rFonts w:ascii="FangSong" w:hAnsi="FangSong" w:eastAsia="FangSong" w:cs="FangSong"/>
          <w:sz w:val="23"/>
          <w:szCs w:val="23"/>
          <w:spacing w:val="5"/>
        </w:rPr>
        <w:t>2025年兴县城镇卫</w:t>
      </w:r>
      <w:r>
        <w:rPr>
          <w:rFonts w:ascii="FangSong" w:hAnsi="FangSong" w:eastAsia="FangSong" w:cs="FangSong"/>
          <w:sz w:val="23"/>
          <w:szCs w:val="23"/>
          <w:spacing w:val="5"/>
        </w:rPr>
        <w:t xml:space="preserve">    </w:t>
      </w:r>
      <w:r>
        <w:rPr>
          <w:rFonts w:ascii="FangSong" w:hAnsi="FangSong" w:eastAsia="FangSong" w:cs="FangSong"/>
          <w:sz w:val="23"/>
          <w:szCs w:val="23"/>
          <w:spacing w:val="5"/>
        </w:rPr>
        <w:t>政府采购预算总额0万元。其中：政府采购货物预算0万元、政府</w:t>
      </w:r>
      <w:r>
        <w:rPr>
          <w:rFonts w:ascii="FangSong" w:hAnsi="FangSong" w:eastAsia="FangSong" w:cs="FangSong"/>
          <w:sz w:val="23"/>
          <w:szCs w:val="23"/>
        </w:rPr>
        <w:t xml:space="preserve"> </w:t>
      </w:r>
      <w:r>
        <w:rPr>
          <w:rFonts w:ascii="FangSong" w:hAnsi="FangSong" w:eastAsia="FangSong" w:cs="FangSong"/>
          <w:sz w:val="23"/>
          <w:szCs w:val="23"/>
          <w:spacing w:val="-1"/>
        </w:rPr>
        <w:t>采购工程预算0</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8"/>
        </w:rPr>
        <w:t xml:space="preserve">  </w:t>
      </w:r>
      <w:r>
        <w:rPr>
          <w:rFonts w:ascii="FangSong" w:hAnsi="FangSong" w:eastAsia="FangSong" w:cs="FangSong"/>
          <w:sz w:val="23"/>
          <w:szCs w:val="23"/>
          <w:spacing w:val="-1"/>
        </w:rPr>
        <w:t>府采购服务预算0万元。</w:t>
      </w:r>
    </w:p>
    <w:p>
      <w:pPr>
        <w:pStyle w:val="BodyText"/>
        <w:spacing w:line="332" w:lineRule="auto"/>
        <w:rPr/>
      </w:pPr>
      <w:r/>
    </w:p>
    <w:p>
      <w:pPr>
        <w:ind w:left="1735"/>
        <w:spacing w:before="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3" w:right="1223" w:hanging="4"/>
        <w:spacing w:before="123" w:line="324" w:lineRule="auto"/>
        <w:jc w:val="both"/>
        <w:rPr>
          <w:rFonts w:ascii="FangSong" w:hAnsi="FangSong" w:eastAsia="FangSong" w:cs="FangSong"/>
          <w:sz w:val="23"/>
          <w:szCs w:val="23"/>
        </w:rPr>
      </w:pPr>
      <w:r>
        <w:rPr>
          <w:rFonts w:ascii="FangSong" w:hAnsi="FangSong" w:eastAsia="FangSong" w:cs="FangSong"/>
          <w:sz w:val="23"/>
          <w:szCs w:val="23"/>
          <w:spacing w:val="5"/>
        </w:rPr>
        <w:t>2025年未编报部门整体支出绩效目标，涉及部门预算资金0万元，其中基本支出0万元，项目</w:t>
      </w:r>
      <w:r>
        <w:rPr>
          <w:rFonts w:ascii="FangSong" w:hAnsi="FangSong" w:eastAsia="FangSong" w:cs="FangSong"/>
          <w:sz w:val="23"/>
          <w:szCs w:val="23"/>
        </w:rPr>
        <w:t xml:space="preserve"> </w:t>
      </w:r>
      <w:r>
        <w:rPr>
          <w:rFonts w:ascii="FangSong" w:hAnsi="FangSong" w:eastAsia="FangSong" w:cs="FangSong"/>
          <w:sz w:val="23"/>
          <w:szCs w:val="23"/>
          <w:spacing w:val="2"/>
        </w:rPr>
        <w:t>支出0万元；机关及下属预算单位0个，其中0个单位（包括机关）编报了单位整体绩效目标，</w:t>
      </w:r>
      <w:r>
        <w:rPr>
          <w:rFonts w:ascii="FangSong" w:hAnsi="FangSong" w:eastAsia="FangSong" w:cs="FangSong"/>
          <w:sz w:val="23"/>
          <w:szCs w:val="23"/>
          <w:spacing w:val="12"/>
        </w:rPr>
        <w:t xml:space="preserve"> </w:t>
      </w:r>
      <w:r>
        <w:rPr>
          <w:rFonts w:ascii="FangSong" w:hAnsi="FangSong" w:eastAsia="FangSong" w:cs="FangSong"/>
          <w:sz w:val="23"/>
          <w:szCs w:val="23"/>
          <w:spacing w:val="-2"/>
        </w:rPr>
        <w:t>涉及资金0万元。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0" w:line="324" w:lineRule="auto"/>
        <w:rPr>
          <w:rFonts w:ascii="FangSong" w:hAnsi="FangSong" w:eastAsia="FangSong" w:cs="FangSong"/>
          <w:sz w:val="23"/>
          <w:szCs w:val="23"/>
        </w:rPr>
      </w:pPr>
      <w:r>
        <w:rPr>
          <w:rFonts w:ascii="FangSong" w:hAnsi="FangSong" w:eastAsia="FangSong" w:cs="FangSong"/>
          <w:sz w:val="23"/>
          <w:szCs w:val="23"/>
          <w:spacing w:val="2"/>
        </w:rPr>
        <w:t>2025年兴县城镇卫生院纳入绩效目标管理的二级项目6个，共计金额128.68万元。其中：</w:t>
      </w:r>
      <w:r>
        <w:rPr>
          <w:rFonts w:ascii="FangSong" w:hAnsi="FangSong" w:eastAsia="FangSong" w:cs="FangSong"/>
          <w:sz w:val="23"/>
          <w:szCs w:val="23"/>
          <w:spacing w:val="8"/>
        </w:rPr>
        <w:t xml:space="preserve"> </w:t>
      </w:r>
      <w:r>
        <w:rPr>
          <w:rFonts w:ascii="FangSong" w:hAnsi="FangSong" w:eastAsia="FangSong" w:cs="FangSong"/>
          <w:sz w:val="23"/>
          <w:szCs w:val="23"/>
          <w:spacing w:val="2"/>
        </w:rPr>
        <w:t>其他运转类项目0个，涉及金额0万元；特定目标类项目6个，涉及金额128.68万元。公开项目</w:t>
      </w:r>
      <w:r>
        <w:rPr>
          <w:rFonts w:ascii="FangSong" w:hAnsi="FangSong" w:eastAsia="FangSong" w:cs="FangSong"/>
          <w:sz w:val="23"/>
          <w:szCs w:val="23"/>
          <w:spacing w:val="5"/>
        </w:rPr>
        <w:t xml:space="preserve"> </w:t>
      </w:r>
      <w:r>
        <w:rPr>
          <w:rFonts w:ascii="FangSong" w:hAnsi="FangSong" w:eastAsia="FangSong" w:cs="FangSong"/>
          <w:sz w:val="23"/>
          <w:szCs w:val="23"/>
          <w:spacing w:val="1"/>
        </w:rPr>
        <w:t>绩效目标6个，涉及项目金额128.68万元，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占部门（单位）项目支出总额的</w:t>
      </w:r>
      <w:r>
        <w:rPr>
          <w:rFonts w:ascii="FangSong" w:hAnsi="FangSong" w:eastAsia="FangSong" w:cs="FangSong"/>
          <w:sz w:val="23"/>
          <w:szCs w:val="23"/>
        </w:rPr>
        <w:t>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运转类项目0个，涉及项目金额0万元；特定目标类项目6个，涉及项目金额128.68万元。</w:t>
      </w:r>
    </w:p>
    <w:p>
      <w:pPr>
        <w:ind w:left="2189"/>
        <w:spacing w:before="9" w:line="223" w:lineRule="auto"/>
        <w:rPr>
          <w:rFonts w:ascii="FangSong" w:hAnsi="FangSong" w:eastAsia="FangSong" w:cs="FangSong"/>
          <w:sz w:val="23"/>
          <w:szCs w:val="23"/>
        </w:rPr>
      </w:pPr>
      <w:r>
        <w:rPr>
          <w:rFonts w:ascii="FangSong" w:hAnsi="FangSong" w:eastAsia="FangSong" w:cs="FangSong"/>
          <w:sz w:val="23"/>
          <w:szCs w:val="23"/>
          <w:spacing w:val="-2"/>
        </w:rPr>
        <w:t>效目标表公开情况见附件）</w:t>
      </w:r>
    </w:p>
    <w:p>
      <w:pPr>
        <w:spacing w:line="223"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08"/>
        <w:spacing w:line="10942" w:lineRule="exact"/>
        <w:rPr/>
      </w:pPr>
      <w:r>
        <w:pict>
          <v:shape id="_x0000_s448"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0"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18"/>
        </w:rPr>
        <w:drawing>
          <wp:inline distT="0" distB="0" distL="0" distR="0">
            <wp:extent cx="4640940" cy="6947680"/>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640940" cy="6947680"/>
                    </a:xfrm>
                    <a:prstGeom prst="rect">
                      <a:avLst/>
                    </a:prstGeom>
                  </pic:spPr>
                </pic:pic>
              </a:graphicData>
            </a:graphic>
          </wp:inline>
        </w:drawing>
      </w:r>
    </w:p>
    <w:p>
      <w:pPr>
        <w:spacing w:line="10942"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52"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56"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58"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60"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2"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64"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68"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70"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52"/>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2"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日，兴县城镇卫生院共有公务用车编制0辆，实有0辆，其中：领导用</w:t>
      </w:r>
      <w:r>
        <w:rPr>
          <w:rFonts w:ascii="FangSong" w:hAnsi="FangSong" w:eastAsia="FangSong" w:cs="FangSong"/>
          <w:sz w:val="23"/>
          <w:szCs w:val="23"/>
        </w:rPr>
        <w:t xml:space="preserve"> </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0"/>
        </w:rPr>
        <w:t xml:space="preserve"> </w:t>
      </w:r>
      <w:r>
        <w:rPr>
          <w:rFonts w:ascii="FangSong" w:hAnsi="FangSong" w:eastAsia="FangSong" w:cs="FangSong"/>
          <w:sz w:val="23"/>
          <w:szCs w:val="23"/>
          <w:spacing w:val="-1"/>
        </w:rPr>
        <w:t>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截至2024年12月31日，兴县城镇卫生院使用的办公用房建筑总面积1400平方米。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2"/>
        </w:rPr>
        <w:t>截至2024年12月31日，兴县城镇卫生院占有使用价值50万元（原值）以上的通用设备0台</w:t>
      </w:r>
      <w:r>
        <w:rPr>
          <w:rFonts w:ascii="FangSong" w:hAnsi="FangSong" w:eastAsia="FangSong" w:cs="FangSong"/>
          <w:sz w:val="23"/>
          <w:szCs w:val="23"/>
          <w:spacing w:val="7"/>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兴县城镇卫生院占有使用价值100万</w:t>
      </w:r>
      <w:r>
        <w:rPr>
          <w:rFonts w:ascii="FangSong" w:hAnsi="FangSong" w:eastAsia="FangSong" w:cs="FangSong"/>
          <w:sz w:val="23"/>
          <w:szCs w:val="23"/>
          <w:spacing w:val="-1"/>
        </w:rPr>
        <w:t>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733"/>
        <w:spacing w:before="255"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ind w:left="1725"/>
        <w:spacing w:before="255"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733"/>
        <w:spacing w:before="264" w:line="221" w:lineRule="auto"/>
        <w:rPr>
          <w:rFonts w:ascii="FangSong" w:hAnsi="FangSong" w:eastAsia="FangSong" w:cs="FangSong"/>
          <w:sz w:val="23"/>
          <w:szCs w:val="23"/>
        </w:rPr>
      </w:pPr>
      <w:r>
        <w:rPr>
          <w:rFonts w:ascii="FangSong" w:hAnsi="FangSong" w:eastAsia="FangSong" w:cs="FangSong"/>
          <w:sz w:val="23"/>
          <w:szCs w:val="23"/>
          <w:spacing w:val="-1"/>
        </w:rPr>
        <w:t>我单位根据本单位实际情况无需进行修改和完善。</w:t>
      </w:r>
    </w:p>
    <w:p>
      <w:pPr>
        <w:spacing w:line="221" w:lineRule="auto"/>
        <w:sectPr>
          <w:headerReference w:type="default" r:id="rId54"/>
          <w:footerReference w:type="default" r:id="rId55"/>
          <w:pgSz w:w="11900" w:h="16840"/>
          <w:pgMar w:top="642" w:right="0" w:bottom="340" w:left="0" w:header="326" w:footer="110"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490"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9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20" name="IM 20"/>
            <wp:cNvGraphicFramePr/>
            <a:graphic>
              <a:graphicData uri="http://schemas.openxmlformats.org/drawingml/2006/picture">
                <pic:pic>
                  <pic:nvPicPr>
                    <pic:cNvPr id="20" name="IM 20"/>
                    <pic:cNvPicPr/>
                  </pic:nvPicPr>
                  <pic:blipFill>
                    <a:blip r:embed="rId57"/>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41"/>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506" style="position:absolute;margin-left:-13.08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58"/>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512"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514"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41"/>
          <w:footerReference w:type="default" r:id="rId61"/>
          <w:pgSz w:w="11900" w:h="16840"/>
          <w:pgMar w:top="642" w:right="0" w:bottom="340" w:left="0" w:header="326" w:footer="111" w:gutter="0"/>
        </w:sectPr>
        <w:rPr/>
      </w:pPr>
    </w:p>
    <w:p>
      <w:pPr>
        <w:pStyle w:val="BodyText"/>
        <w:spacing w:line="277" w:lineRule="auto"/>
        <w:rPr/>
      </w:pPr>
      <w:r>
        <w:pict>
          <v:shape id="_x0000_s524"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526" style="position:absolute;margin-left:-13.08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32"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26" name="IM 26"/>
            <wp:cNvGraphicFramePr/>
            <a:graphic>
              <a:graphicData uri="http://schemas.openxmlformats.org/drawingml/2006/picture">
                <pic:pic>
                  <pic:nvPicPr>
                    <pic:cNvPr id="26" name="IM 26"/>
                    <pic:cNvPicPr/>
                  </pic:nvPicPr>
                  <pic:blipFill>
                    <a:blip r:embed="rId65"/>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63"/>
          <w:footerReference w:type="default" r:id="rId64"/>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66"/>
      <w:footerReference w:type="default" r:id="rId6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3"/>
    <w:bookmarkEnd w:id="43"/>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8"/>
    <w:bookmarkEnd w:id="48"/>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1984;" o:allowincell="f" fillcolor="#212529" filled="true" stroked="false" type="#_x0000_t136">
          <v:textpath style="font-family:&quot;SimSun&quot;;font-size:7.5;v-text-kern:t;mso-text-shadow:auto" string="100399"/>
        </v:shape>
      </w:pict>
    </w:r>
    <w:r>
      <w:pict>
        <v:shape id="PowerPlusWaterMarkObject188" style="position:absolute;margin-left:69.8661pt;margin-top:282.508pt;mso-position-vertical-relative:page;mso-position-horizontal-relative:page;width:11.7pt;height:7.9pt;z-index:-251560960;"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49.147pt;margin-top:282.508pt;mso-position-vertical-relative:page;mso-position-horizontal-relative:page;width:7.65pt;height:7.9pt;z-index:-251564032;" o:allowincell="f" fillcolor="#212529" filled="true" stroked="false" type="#_x0000_t136">
          <v:textpath style="font-family:&quot;SimSun&quot;;font-size:7.5;v-text-kern:t;mso-text-shadow:auto" string="26"/>
        </v:shape>
      </w:pict>
    </w:r>
    <w:r>
      <w:pict>
        <v:shape id="PowerPlusWaterMarkObject194" style="position:absolute;margin-left:437.475pt;margin-top:297.644pt;mso-position-vertical-relative:page;mso-position-horizontal-relative:page;width:19.3pt;height:7.9pt;z-index:-251565056;" o:allowincell="f" fillcolor="#212529" filled="true" stroked="false" type="#_x0000_t136">
          <v:textpath style="font-family:&quot;SimSun&quot;;font-size:7.5;v-text-kern:t;mso-text-shadow:auto" string="17 26"/>
        </v:shape>
      </w:pict>
    </w:r>
    <w:r>
      <w:pict>
        <v:shape id="PowerPlusWaterMarkObject196" style="position:absolute;margin-left:437.047pt;margin-top:312.78pt;mso-position-vertical-relative:page;mso-position-horizontal-relative:page;width:7.55pt;height:7.9pt;z-index:-251566080;" o:allowincell="f" fillcolor="#212529" filled="true" stroked="false" type="#_x0000_t136">
          <v:textpath style="font-family:&quot;SimSun&quot;;font-size:7.5;v-text-kern:t;mso-text-shadow:auto" string="33"/>
        </v:shape>
      </w:pict>
    </w:r>
    <w:r>
      <w:pict>
        <v:shape id="PowerPlusWaterMarkObject19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02pt;margin-top:267.372pt;mso-position-vertical-relative:page;mso-position-horizontal-relative:page;width:15.7pt;height:7.9pt;z-index:-251546624;" o:allowincell="f" fillcolor="#212529" filled="true" stroked="false" type="#_x0000_t136">
          <v:textpath style="font-family:&quot;SimSun&quot;;font-size:7.5;v-text-kern:t;mso-text-shadow:auto" string="住房"/>
        </v:shape>
      </w:pict>
    </w:r>
    <w:r>
      <w:pict>
        <v:shape id="PowerPlusWaterMarkObject212" style="position:absolute;margin-left:86.92pt;margin-top:27.7633pt;mso-position-vertical-relative:text;mso-position-horizontal-relative:text;width:119.4pt;height:18.85pt;z-index:-25153843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46.583pt;margin-top:282.508pt;mso-position-vertical-relative:page;mso-position-horizontal-relative:page;width:19.75pt;height:7.9pt;z-index:-251550720;" o:allowincell="f" fillcolor="#212529" filled="true" stroked="false" type="#_x0000_t136">
          <v:textpath style="font-family:&quot;SimSun&quot;;font-size:7.5;v-text-kern:t;mso-text-shadow:auto" string="35 95"/>
        </v:shape>
      </w:pict>
    </w:r>
    <w:r>
      <w:pict>
        <v:shape id="PowerPlusWaterMarkObject224" style="position:absolute;margin-left:399.063pt;margin-top:312.78pt;mso-position-vertical-relative:page;mso-position-horizontal-relative:page;width:7.7pt;height:7.9pt;z-index:-251549696;" o:allowincell="f" fillcolor="#212529" filled="true" stroked="false" type="#_x0000_t136">
          <v:textpath style="font-family:&quot;SimSun&quot;;font-size:7.5;v-text-kern:t;mso-text-shadow:auto" string="93"/>
        </v:shape>
      </w:pict>
    </w:r>
    <w:r>
      <w:pict>
        <v:shape id="PowerPlusWaterMarkObject226" style="position:absolute;margin-left:399.127pt;margin-top:327.916pt;mso-position-vertical-relative:page;mso-position-horizontal-relative:page;width:7.65pt;height:7.9pt;z-index:-251548672;" o:allowincell="f" fillcolor="#212529" filled="true" stroked="false" type="#_x0000_t136">
          <v:textpath style="font-family:&quot;SimSun&quot;;font-size:7.5;v-text-kern:t;mso-text-shadow:auto" string="27"/>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8" style="position:absolute;margin-left:86.92pt;margin-top:27.7633pt;mso-position-vertical-relative:text;mso-position-horizontal-relative:text;width:119.4pt;height:18.85pt;z-index:-251528192;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8"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8" style="position:absolute;margin-left:86.92pt;margin-top:27.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497472;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8" style="position:absolute;margin-left:79.0842pt;margin-top:263.047pt;mso-position-vertical-relative:page;mso-position-horizontal-relative:page;width:22.65pt;height:7.9pt;z-index:-251495424;" o:allowincell="f" fillcolor="#212529" filled="true" stroked="false" type="#_x0000_t136">
          <v:textpath style="font-family:&quot;SimSun&quot;;font-size:7.5;v-text-kern:t;mso-text-shadow:auto" string="吕财社"/>
        </v:shape>
      </w:pict>
    </w:r>
    <w:r>
      <w:pict>
        <v:shape id="PowerPlusWaterMarkObject320" style="position:absolute;margin-left:70.0167pt;margin-top:272.237pt;mso-position-vertical-relative:page;mso-position-horizontal-relative:page;width:31.7pt;height:7.9pt;z-index:-251493376;" o:allowincell="f" fillcolor="#212529" filled="true" stroked="false" type="#_x0000_t136">
          <v:textpath style="font-family:&quot;SimSun&quot;;font-size:7.5;v-text-kern:t;mso-text-shadow:auto" string="生岗位津"/>
        </v:shape>
      </w:pict>
    </w:r>
    <w:r>
      <w:pict>
        <v:shape id="PowerPlusWaterMarkObject322" style="position:absolute;margin-left:79.0842pt;margin-top:282.508pt;mso-position-vertical-relative:page;mso-position-horizontal-relative:page;width:6.45pt;height:7.9pt;z-index:-251494400;" o:allowincell="f" fillcolor="#212529" filled="true" stroked="false" type="#_x0000_t136">
          <v:textpath style="font-family:&quot;SimSun&quot;;font-size:7.5;v-text-kern:t;mso-text-shadow:auto" string="吕"/>
        </v:shape>
      </w:pict>
    </w:r>
    <w:r>
      <w:pict>
        <v:shape id="PowerPlusWaterMarkObject324" style="position:absolute;margin-left:86.92pt;margin-top:27.7633pt;mso-position-vertical-relative:text;mso-position-horizontal-relative:text;width:119.4pt;height:18.85pt;z-index:-251484160;rotation:330;" fillcolor="#404040" filled="true" stroked="false" type="#_x0000_t136">
          <v:fill opacity="0.400000"/>
          <v:textpath style="font-family:&quot;SimSun&quot;;font-size:20;v-text-kern:t;mso-text-shadow:auto" string="仅供内部审核"/>
        </v:shape>
      </w:pict>
    </w:r>
    <w:r>
      <w:pict>
        <v:shape id="PowerPlusWaterMarkObject326"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487.09pt;margin-top:73.4279pt;mso-position-vertical-relative:page;mso-position-horizontal-relative:page;width:38.65pt;height:6.5pt;z-index:-251485184;" o:allowincell="f" fillcolor="#212529" filled="true" stroked="false" type="#_x0000_t136">
          <v:textpath style="font-family:&quot;SimSun&quot;;font-size:6;v-text-kern:t;mso-text-shadow:auto" string="预算公开表12"/>
        </v:shape>
      </w:pict>
    </w:r>
    <w:r>
      <w:pict>
        <v:shape id="PowerPlusWaterMarkObject334" style="position:absolute;margin-left:491.92pt;margin-top:44.105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30pt;margin-top:29.5pt;mso-position-vertical-relative:page;mso-position-horizontal-relative:page;width:535pt;height:1pt;z-index:-2514872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4" style="position:absolute;margin-left:86.92pt;margin-top:27.7633pt;mso-position-vertical-relative:text;mso-position-horizontal-relative:text;width:119.4pt;height:18.85pt;z-index:-251473920;rotation:330;" fillcolor="#404040" filled="true" stroked="false" type="#_x0000_t136">
          <v:fill opacity="0.400000"/>
          <v:textpath style="font-family:&quot;SimSun&quot;;font-size:20;v-text-kern:t;mso-text-shadow:auto" string="仅供内部审核"/>
        </v:shape>
      </w:pict>
    </w:r>
    <w:r>
      <w:pict>
        <v:shape id="PowerPlusWaterMarkObject346"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86.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13.08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487.09pt;margin-top:73.4279pt;mso-position-vertical-relative:page;mso-position-horizontal-relative:page;width:38.65pt;height:6.5pt;z-index:-251474944;" o:allowincell="f" fillcolor="#212529" filled="true" stroked="false" type="#_x0000_t136">
          <v:textpath style="font-family:&quot;SimSun&quot;;font-size:6;v-text-kern:t;mso-text-shadow:auto" string="预算公开表13"/>
        </v:shape>
      </w:pict>
    </w:r>
    <w:r>
      <w:pict>
        <v:shape id="PowerPlusWaterMarkObject354" style="position:absolute;margin-left:491.92pt;margin-top:44.105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_x0000_s362" style="position:absolute;margin-left:30pt;margin-top:29.5pt;mso-position-vertical-relative:page;mso-position-horizontal-relative:page;width:535pt;height:1pt;z-index:-2514769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4" style="position:absolute;margin-left:86.92pt;margin-top:27.7633pt;mso-position-vertical-relative:text;mso-position-horizontal-relative:text;width:119.4pt;height:18.85pt;z-index:-251456512;rotation:330;" fillcolor="#404040" filled="true" stroked="false" type="#_x0000_t136">
          <v:fill opacity="0.400000"/>
          <v:textpath style="font-family:&quot;SimSun&quot;;font-size:20;v-text-kern:t;mso-text-shadow:auto" string="仅供内部审核"/>
        </v:shape>
      </w:pict>
    </w:r>
    <w:r>
      <w:pict>
        <v:shape id="PowerPlusWaterMarkObject366" style="position:absolute;margin-left:86.0353pt;margin-top:258.837pt;mso-position-vertical-relative:page;mso-position-horizontal-relative:page;width:11pt;height:11.8pt;z-index:-251471872;" o:allowincell="f" fillcolor="#000000" filled="true" stroked="false" type="#_x0000_t136">
          <v:textpath style="font-family:&quot;FangSong&quot;;font-size:11.5;v-text-kern:t;mso-text-shadow:auto" string="20"/>
        </v:shape>
      </w:pict>
    </w:r>
    <w:r>
      <w:pict>
        <v:shape id="PowerPlusWaterMarkObject368" style="position:absolute;margin-left:63.2877pt;margin-top:278.838pt;mso-position-vertical-relative:page;mso-position-horizontal-relative:page;width:96.45pt;height:11.8pt;z-index:-251470848;" o:allowincell="f" fillcolor="#000000" filled="true" stroked="false" type="#_x0000_t136">
          <v:textpath style="font-family:&quot;FangSong&quot;;font-size:11.5;v-text-kern:t;mso-text-shadow:auto" string="万元           ；"/>
        </v:shape>
      </w:pict>
    </w:r>
    <w:r>
      <w:pict>
        <v:shape id="PowerPlusWaterMarkObject370" style="position:absolute;margin-left:-13.08pt;margin-top:288.105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91.7539pt;margin-top:554.532pt;mso-position-vertical-relative:page;mso-position-horizontal-relative:page;width:42.95pt;height:11.8pt;z-index:-251464704;" o:allowincell="f" fillcolor="#000000" filled="true" stroked="false" type="#_x0000_t136">
          <v:textpath style="font-family:&quot;FangSong&quot;;font-size:11.5;v-text-kern:t;mso-text-shadow:auto" string="025年度"/>
        </v:shape>
      </w:pict>
    </w:r>
    <w:r>
      <w:pict>
        <v:shape id="PowerPlusWaterMarkObject374" style="position:absolute;margin-left:86.92pt;margin-top:532.106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63.7835pt;margin-top:756.166pt;mso-position-vertical-relative:page;mso-position-horizontal-relative:page;width:44.8pt;height:11.8pt;z-index:-251460608;" o:allowincell="f" fillcolor="#000000" filled="true" stroked="false" type="#_x0000_t136">
          <v:textpath style="font-family:&quot;FangSong&quot;;font-size:11.5;v-text-kern:t;mso-text-shadow:auto" string="降39 88%"/>
        </v:shape>
      </w:pict>
    </w:r>
    <w:r>
      <w:pict>
        <v:shape id="PowerPlusWaterMarkObject378" style="position:absolute;margin-left:-13.08pt;margin-top:776.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488.144pt;margin-top:258.837pt;mso-position-vertical-relative:page;mso-position-horizontal-relative:page;width:16.9pt;height:11.8pt;z-index:-251467776;" o:allowincell="f" fillcolor="#000000" filled="true" stroked="false" type="#_x0000_t136">
          <v:textpath style="font-family:&quot;FangSong&quot;;font-size:11.5;v-text-kern:t;mso-text-shadow:auto" string="入3"/>
        </v:shape>
      </w:pict>
    </w:r>
    <w:r>
      <w:pict>
        <v:shape id="PowerPlusWaterMarkObject382" style="position:absolute;margin-left:456.901pt;margin-top:278.838pt;mso-position-vertical-relative:page;mso-position-horizontal-relative:page;width:34.75pt;height:11.8pt;z-index:-251466752;" o:allowincell="f" fillcolor="#000000" filled="true" stroked="false" type="#_x0000_t136">
          <v:textpath style="font-family:&quot;FangSong&quot;;font-size:11.5;v-text-kern:t;mso-text-shadow:auto" string="算拨款"/>
        </v:shape>
      </w:pict>
    </w:r>
    <w:r>
      <w:pict>
        <v:shape id="PowerPlusWaterMarkObject384" style="position:absolute;margin-left:417.565pt;margin-top:299.38pt;mso-position-vertical-relative:page;mso-position-horizontal-relative:page;width:52.15pt;height:11.8pt;z-index:-251468800;" o:allowincell="f" fillcolor="#000000" filled="true" stroked="false" type="#_x0000_t136">
          <v:textpath style="font-family:&quot;FangSong&quot;;font-size:11.5;v-text-kern:t;mso-text-shadow:auto" string="%； 上年结"/>
        </v:shape>
      </w:pict>
    </w:r>
    <w:r>
      <w:pict>
        <v:shape id="PowerPlusWaterMarkObject386" style="position:absolute;margin-left:497.091pt;margin-top:554.532pt;mso-position-vertical-relative:page;mso-position-horizontal-relative:page;width:36.75pt;height:11.8pt;z-index:-251462656;" o:allowincell="f" fillcolor="#000000" filled="true" stroked="false" type="#_x0000_t136">
          <v:textpath style="font-family:&quot;FangSong&quot;;font-size:11.5;v-text-kern:t;mso-text-shadow:auto" string="元   占"/>
        </v:shape>
      </w:pict>
    </w:r>
    <w:r>
      <w:pict>
        <v:shape id="PowerPlusWaterMarkObject388" style="position:absolute;margin-left:491.92pt;margin-top:44.1055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391.92pt;margin-top:288.105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491.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391.92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_x0000_s396" style="position:absolute;margin-left:30pt;margin-top:29.5pt;mso-position-vertical-relative:page;mso-position-horizontal-relative:page;width:535pt;height:1pt;z-index:-2514585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98" style="position:absolute;margin-left:91.7539pt;margin-top:64.2303pt;mso-position-vertical-relative:page;mso-position-horizontal-relative:page;width:40.15pt;height:11.8pt;z-index:-251442176;" o:allowincell="f" fillcolor="#000000" filled="true" stroked="false" type="#_x0000_t136">
          <v:textpath style="font-family:&quot;FangSong&quot;;font-size:11.5;v-text-kern:t;mso-text-shadow:auto" string="025年度"/>
        </v:shape>
      </w:pict>
    </w:r>
    <w:r>
      <w:pict>
        <v:shape id="PowerPlusWaterMarkObject400" style="position:absolute;margin-left:86.92pt;margin-top:27.7633pt;mso-position-vertical-relative:text;mso-position-horizontal-relative:text;width:119.4pt;height:18.85pt;z-index:-251438080;rotation:330;" fillcolor="#404040" filled="true" stroked="false" type="#_x0000_t136">
          <v:fill opacity="0.400000"/>
          <v:textpath style="font-family:&quot;SimSun&quot;;font-size:20;v-text-kern:t;mso-text-shadow:auto" string="仅供内部审核"/>
        </v:shape>
      </w:pict>
    </w:r>
    <w:r>
      <w:pict>
        <v:shape id="PowerPlusWaterMarkObject402" style="position:absolute;margin-left:499.735pt;margin-top:64.2303pt;mso-position-vertical-relative:page;mso-position-horizontal-relative:page;width:34.1pt;height:11.8pt;z-index:-251439104;" o:allowincell="f" fillcolor="#000000" filled="true" stroked="false" type="#_x0000_t136">
          <v:textpath style="font-family:&quot;FangSong&quot;;font-size:11.5;v-text-kern:t;mso-text-shadow:auto" string="社会保"/>
        </v:shape>
      </w:pict>
    </w:r>
    <w:r>
      <w:pict>
        <v:shape id="PowerPlusWaterMarkObject404" style="position:absolute;margin-left:491.92pt;margin-top:44.1055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397.734pt;margin-top:306.948pt;mso-position-vertical-relative:page;mso-position-horizontal-relative:page;width:45.2pt;height:11.8pt;z-index:-251452416;" o:allowincell="f" fillcolor="#000000" filled="true" stroked="false" type="#_x0000_t136">
          <v:textpath style="font-family:&quot;FangSong&quot;;font-size:11.5;v-text-kern:t;mso-text-shadow:auto" string="元  其中"/>
        </v:shape>
      </w:pict>
    </w:r>
    <w:r>
      <w:pict>
        <v:shape id="PowerPlusWaterMarkObject408" style="position:absolute;margin-left:405.221pt;margin-top:327.49pt;mso-position-vertical-relative:page;mso-position-horizontal-relative:page;width:10.45pt;height:11.8pt;z-index:-251453440;" o:allowincell="f" fillcolor="#000000" filled="true" stroked="false" type="#_x0000_t136">
          <v:textpath style="font-family:&quot;FangSong&quot;;font-size:11.5;v-text-kern:t;mso-text-shadow:auto" string="会"/>
        </v:shape>
      </w:pict>
    </w:r>
    <w:r>
      <w:pict>
        <v:shape id="PowerPlusWaterMarkObject410" style="position:absolute;margin-left:-13.08pt;margin-top:288.105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391.92pt;margin-top:288.105pt;mso-position-vertical-relative:page;mso-position-horizontal-relative:page;width:119.4pt;height:18.85pt;z-index:-251454464;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144.72pt;margin-top:373.062pt;mso-position-vertical-relative:page;mso-position-horizontal-relative:page;width:1.7pt;height:5.6pt;z-index:-251446272;" o:allowincell="f" fillcolor="#000000" filled="true" stroked="false" type="#_x0000_t136">
          <v:textpath style="font-family:&quot;FangSong&quot;;font-size:11.5;v-text-kern:t;mso-text-shadow:auto" string=";"/>
        </v:shape>
      </w:pict>
    </w:r>
    <w:r>
      <w:pict>
        <v:shape id="PowerPlusWaterMarkObject416" style="position:absolute;margin-left:181.099pt;margin-top:509.123pt;mso-position-vertical-relative:page;mso-position-horizontal-relative:page;width:21.9pt;height:11.8pt;z-index:-251448320;" o:allowincell="f" fillcolor="#000000" filled="true" stroked="false" type="#_x0000_t136">
          <v:textpath style="font-family:&quot;FangSong&quot;;font-size:11.5;v-text-kern:t;mso-text-shadow:auto" string="生院"/>
        </v:shape>
      </w:pict>
    </w:r>
    <w:r>
      <w:pict>
        <v:shape id="PowerPlusWaterMarkObject418" style="position:absolute;margin-left:138.233pt;margin-top:529.125pt;mso-position-vertical-relative:page;mso-position-horizontal-relative:page;width:45.3pt;height:11.8pt;z-index:-251450368;" o:allowincell="f" fillcolor="#000000" filled="true" stroked="false" type="#_x0000_t136">
          <v:textpath style="font-family:&quot;FangSong&quot;;font-size:11.5;v-text-kern:t;mso-text-shadow:auto" string="万元  政"/>
        </v:shape>
      </w:pict>
    </w:r>
    <w:r>
      <w:pict>
        <v:shape id="PowerPlusWaterMarkObject420" style="position:absolute;margin-left:63.02pt;margin-top:548.885pt;mso-position-vertical-relative:page;mso-position-horizontal-relative:page;width:91.75pt;height:11.5pt;z-index:-251449344;" o:allowincell="f" fillcolor="#000000" filled="true" stroked="false" type="#_x0000_t136">
          <v:textpath style="font-family:&quot;Microsoft YaHei&quot;;font-size:11;v-text-kern:t;mso-text-shadow:auto" string="十、绩效管理情况"/>
        </v:shape>
      </w:pict>
    </w:r>
    <w:r>
      <w:pict>
        <v:shape id="PowerPlusWaterMarkObject422" style="position:absolute;margin-left:86.92pt;margin-top:532.106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532.106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63.2107pt;margin-top:751.301pt;mso-position-vertical-relative:page;mso-position-horizontal-relative:page;width:45.35pt;height:11.8pt;z-index:-251443200;" o:allowincell="f" fillcolor="#000000" filled="true" stroked="false" type="#_x0000_t136">
          <v:textpath style="font-family:&quot;FangSong&quot;;font-size:11.5;v-text-kern:t;mso-text-shadow:auto" string="（项目绩"/>
        </v:shape>
      </w:pict>
    </w:r>
    <w:r>
      <w:pict>
        <v:shape id="PowerPlusWaterMarkObject428" style="position:absolute;margin-left:-13.08pt;margin-top:776.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391.92pt;margin-top:776.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_x0000_s432" style="position:absolute;margin-left:30pt;margin-top:29.5pt;mso-position-vertical-relative:page;mso-position-horizontal-relative:page;width:535pt;height:1pt;z-index:-2514411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34" style="position:absolute;margin-left:86.92pt;margin-top:27.7633pt;mso-position-vertical-relative:text;mso-position-horizontal-relative:text;width:119.4pt;height:18.85pt;z-index:-251430912;rotation:330;" fillcolor="#404040" filled="true" stroked="false" type="#_x0000_t136">
          <v:fill opacity="0.400000"/>
          <v:textpath style="font-family:&quot;SimSun&quot;;font-size:20;v-text-kern:t;mso-text-shadow:auto" string="仅供内部审核"/>
        </v:shape>
      </w:pict>
    </w:r>
    <w:r>
      <w:pict>
        <v:shape id="PowerPlusWaterMarkObject436" style="position:absolute;margin-left:-13.08pt;margin-top:288.105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38" style="position:absolute;margin-left:491.92pt;margin-top:44.105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_x0000_s446" style="position:absolute;margin-left:30pt;margin-top:29.5pt;mso-position-vertical-relative:page;mso-position-horizontal-relative:page;width:535pt;height:1pt;z-index:-2514329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72" style="position:absolute;margin-left:86.92pt;margin-top:27.7633pt;mso-position-vertical-relative:text;mso-position-horizontal-relative:text;width:119.4pt;height:18.85pt;z-index:-251421696;rotation:330;" fillcolor="#404040" filled="true" stroked="false" type="#_x0000_t136">
          <v:fill opacity="0.400000"/>
          <v:textpath style="font-family:&quot;SimSun&quot;;font-size:20;v-text-kern:t;mso-text-shadow:auto" string="仅供内部审核"/>
        </v:shape>
      </w:pict>
    </w:r>
    <w:r>
      <w:pict>
        <v:shape id="PowerPlusWaterMarkObject474" style="position:absolute;margin-left:-13.08pt;margin-top:288.10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76"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391.92pt;margin-top:288.105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80" style="position:absolute;margin-left:86.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82"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491.92pt;margin-top:532.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_x0000_s488"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94" style="position:absolute;margin-left:86.92pt;margin-top:27.7633pt;mso-position-vertical-relative:text;mso-position-horizontal-relative:text;width:119.4pt;height:18.85pt;z-index:-251415552;rotation:330;" fillcolor="#404040" filled="true" stroked="false" type="#_x0000_t136">
          <v:fill opacity="0.400000"/>
          <v:textpath style="font-family:&quot;SimSun&quot;;font-size:20;v-text-kern:t;mso-text-shadow:auto" string="仅供内部审核"/>
        </v:shape>
      </w:pict>
    </w:r>
    <w:r>
      <w:pict>
        <v:shape id="PowerPlusWaterMarkObject496" style="position:absolute;margin-left:491.92pt;margin-top:44.105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498"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00" style="position:absolute;margin-left:491.92pt;margin-top:532.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02"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_x0000_s504"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16" style="position:absolute;margin-left:86.92pt;margin-top:27.7633pt;mso-position-vertical-relative:text;mso-position-horizontal-relative:text;width:119.4pt;height:18.85pt;z-index:-251411456;rotation:330;" fillcolor="#404040" filled="true" stroked="false" type="#_x0000_t136">
          <v:fill opacity="0.400000"/>
          <v:textpath style="font-family:&quot;SimSun&quot;;font-size:20;v-text-kern:t;mso-text-shadow:auto" string="仅供内部审核"/>
        </v:shape>
      </w:pict>
    </w:r>
    <w:r>
      <w:pict>
        <v:shape id="PowerPlusWaterMarkObject518" style="position:absolute;margin-left:-13.08pt;margin-top:776.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520" style="position:absolute;margin-left:391.92pt;margin-top:776.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_x0000_s522" style="position:absolute;margin-left:30pt;margin-top:29.5pt;mso-position-vertical-relative:page;mso-position-horizontal-relative:page;width:535pt;height:1pt;z-index:-2514124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34" style="position:absolute;margin-left:86.92pt;margin-top:27.7633pt;mso-position-vertical-relative:text;mso-position-horizontal-relative:text;width:119.4pt;height:18.85pt;z-index:-251402240;rotation:330;" fillcolor="#404040" filled="true" stroked="false" type="#_x0000_t136">
          <v:fill opacity="0.400000"/>
          <v:textpath style="font-family:&quot;SimSun&quot;;font-size:20;v-text-kern:t;mso-text-shadow:auto" string="仅供内部审核"/>
        </v:shape>
      </w:pict>
    </w:r>
    <w:r>
      <w:pict>
        <v:shape id="PowerPlusWaterMarkObject536" style="position:absolute;margin-left:-13.08pt;margin-top:288.105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538" style="position:absolute;margin-left:491.92pt;margin-top:44.1055pt;mso-position-vertical-relative:page;mso-position-horizontal-relative:page;width:119.4pt;height:18.85pt;z-index:-251403264;rotation:330;" o:allowincell="f" fillcolor="#404040" filled="true" stroked="false" type="#_x0000_t136">
          <v:fill opacity="0.400000"/>
          <v:textpath style="font-family:&quot;SimSun&quot;;font-size:20;v-text-kern:t;mso-text-shadow:auto" string="仅供内部审核"/>
        </v:shape>
      </w:pict>
    </w:r>
    <w:r>
      <w:pict>
        <v:shape id="PowerPlusWaterMarkObject540" style="position:absolute;margin-left:391.92pt;margin-top:288.105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542" style="position:absolute;margin-left:86.92pt;margin-top:532.106pt;mso-position-vertical-relative:page;mso-position-horizontal-relative:page;width:119.4pt;height:18.85pt;z-index:-251408384;rotation:330;" o:allowincell="f" fillcolor="#404040" filled="true" stroked="false" type="#_x0000_t136">
          <v:fill opacity="0.400000"/>
          <v:textpath style="font-family:&quot;SimSun&quot;;font-size:20;v-text-kern:t;mso-text-shadow:auto" string="仅供内部审核"/>
        </v:shape>
      </w:pict>
    </w:r>
    <w:r>
      <w:pict>
        <v:shape id="PowerPlusWaterMarkObject544" style="position:absolute;margin-left:-13.08pt;margin-top:776.106pt;mso-position-vertical-relative:page;mso-position-horizontal-relative:page;width:119.4pt;height:18.85pt;z-index:-251405312;rotation:330;" o:allowincell="f" fillcolor="#404040" filled="true" stroked="false" type="#_x0000_t136">
          <v:fill opacity="0.400000"/>
          <v:textpath style="font-family:&quot;SimSun&quot;;font-size:20;v-text-kern:t;mso-text-shadow:auto" string="仅供内部审核"/>
        </v:shape>
      </w:pict>
    </w:r>
    <w:r>
      <w:pict>
        <v:shape id="PowerPlusWaterMarkObject546" style="position:absolute;margin-left:491.92pt;margin-top:532.106pt;mso-position-vertical-relative:page;mso-position-horizontal-relative:page;width:119.4pt;height:18.85pt;z-index:-251407360;rotation:330;" o:allowincell="f" fillcolor="#404040" filled="true" stroked="false" type="#_x0000_t136">
          <v:fill opacity="0.400000"/>
          <v:textpath style="font-family:&quot;SimSun&quot;;font-size:20;v-text-kern:t;mso-text-shadow:auto" string="仅供内部审核"/>
        </v:shape>
      </w:pict>
    </w:r>
    <w:r>
      <w:pict>
        <v:shape id="PowerPlusWaterMarkObject548" style="position:absolute;margin-left:391.92pt;margin-top:776.106pt;mso-position-vertical-relative:page;mso-position-horizontal-relative:page;width:119.4pt;height:18.85pt;z-index:-251406336;rotation:330;" o:allowincell="f" fillcolor="#404040" filled="true" stroked="false" type="#_x0000_t136">
          <v:fill opacity="0.400000"/>
          <v:textpath style="font-family:&quot;SimSun&quot;;font-size:20;v-text-kern:t;mso-text-shadow:auto" string="仅供内部审核"/>
        </v:shape>
      </w:pict>
    </w:r>
    <w:r>
      <w:pict>
        <v:shape id="_x0000_s550" style="position:absolute;margin-left:30pt;margin-top:29.5pt;mso-position-vertical-relative:page;mso-position-horizontal-relative:page;width:535pt;height:1pt;z-index:-251404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兴县城镇卫生院2025年单位预算公开报告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5.293pt;margin-top:325.754pt;mso-position-vertical-relative:page;mso-position-horizontal-relative:page;width:7.75pt;height:7.9pt;z-index:-251584512;" o:allowincell="f" fillcolor="#212529" filled="true" stroked="false" type="#_x0000_t136">
          <v:textpath style="font-family:&quot;SimSun&quot;;font-size:7.5;v-text-kern:t;mso-text-shadow:auto" string="44"/>
        </v:shape>
      </w:pict>
    </w:r>
    <w:r>
      <w:pict>
        <v:shape id="PowerPlusWaterMarkObject146"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兴县城镇卫生院2025年单位预算公开报告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0" Type="http://schemas.openxmlformats.org/officeDocument/2006/relationships/fontTable" Target="fontTable.xml"/><Relationship Id="rId7" Type="http://schemas.openxmlformats.org/officeDocument/2006/relationships/header" Target="header5.xml"/><Relationship Id="rId69" Type="http://schemas.openxmlformats.org/officeDocument/2006/relationships/styles" Target="styles.xml"/><Relationship Id="rId68" Type="http://schemas.openxmlformats.org/officeDocument/2006/relationships/settings" Target="settings.xml"/><Relationship Id="rId67" Type="http://schemas.openxmlformats.org/officeDocument/2006/relationships/footer" Target="footer29.xml"/><Relationship Id="rId66" Type="http://schemas.openxmlformats.org/officeDocument/2006/relationships/header" Target="header25.xml"/><Relationship Id="rId65" Type="http://schemas.openxmlformats.org/officeDocument/2006/relationships/image" Target="media/image14.png"/><Relationship Id="rId64" Type="http://schemas.openxmlformats.org/officeDocument/2006/relationships/footer" Target="footer28.xml"/><Relationship Id="rId63" Type="http://schemas.openxmlformats.org/officeDocument/2006/relationships/header" Target="header24.xml"/><Relationship Id="rId62" Type="http://schemas.openxmlformats.org/officeDocument/2006/relationships/image" Target="media/image13.png"/><Relationship Id="rId61" Type="http://schemas.openxmlformats.org/officeDocument/2006/relationships/footer" Target="footer27.xml"/><Relationship Id="rId60" Type="http://schemas.openxmlformats.org/officeDocument/2006/relationships/image" Target="media/image12.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header" Target="header23.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footer" Target="footer24.xml"/><Relationship Id="rId54" Type="http://schemas.openxmlformats.org/officeDocument/2006/relationships/header" Target="header22.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2025-09-25T18:32:02Z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2025-09-29T11:42:09</vt:filetime>
  </property>
</Properties>
</file>