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2193"/>
        <w:spacing w:before="139" w:line="217" w:lineRule="auto"/>
        <w:rPr/>
      </w:pPr>
      <w:r>
        <w:rPr>
          <w:spacing w:val="-1"/>
        </w:rPr>
        <w:t>兴</w:t>
      </w:r>
      <w:r>
        <w:rPr>
          <w:spacing w:val="-95"/>
        </w:rPr>
        <w:t xml:space="preserve"> </w:t>
      </w:r>
      <w:r>
        <w:rPr>
          <w:spacing w:val="-1"/>
        </w:rPr>
        <w:t>县</w:t>
      </w:r>
      <w:r>
        <w:rPr>
          <w:spacing w:val="-104"/>
        </w:rPr>
        <w:t xml:space="preserve"> </w:t>
      </w:r>
      <w:r>
        <w:rPr>
          <w:spacing w:val="-1"/>
        </w:rPr>
        <w:t>蔡</w:t>
      </w:r>
      <w:r>
        <w:rPr>
          <w:spacing w:val="-97"/>
        </w:rPr>
        <w:t xml:space="preserve"> </w:t>
      </w:r>
      <w:r>
        <w:rPr>
          <w:spacing w:val="-1"/>
        </w:rPr>
        <w:t>家</w:t>
      </w:r>
      <w:r>
        <w:rPr>
          <w:spacing w:val="-96"/>
        </w:rPr>
        <w:t xml:space="preserve"> </w:t>
      </w:r>
      <w:r>
        <w:rPr>
          <w:spacing w:val="-1"/>
        </w:rPr>
        <w:t>崖</w:t>
      </w:r>
      <w:r>
        <w:rPr>
          <w:spacing w:val="-95"/>
        </w:rPr>
        <w:t xml:space="preserve"> </w:t>
      </w:r>
      <w:r>
        <w:rPr>
          <w:spacing w:val="-1"/>
        </w:rPr>
        <w:t>乡卫</w:t>
      </w:r>
      <w:r>
        <w:rPr>
          <w:spacing w:val="-75"/>
        </w:rPr>
        <w:t xml:space="preserve"> </w:t>
      </w:r>
      <w:r>
        <w:rPr>
          <w:spacing w:val="-1"/>
        </w:rPr>
        <w:t>生</w:t>
      </w:r>
      <w:r>
        <w:rPr>
          <w:spacing w:val="-77"/>
        </w:rPr>
        <w:t xml:space="preserve"> </w:t>
      </w:r>
      <w:r>
        <w:rPr>
          <w:spacing w:val="-1"/>
        </w:rPr>
        <w:t>院</w:t>
      </w:r>
      <w:r>
        <w:rPr>
          <w:spacing w:val="-104"/>
        </w:rPr>
        <w:t xml:space="preserve"> </w:t>
      </w:r>
      <w:r>
        <w:rPr>
          <w:spacing w:val="-1"/>
        </w:rPr>
        <w:t>杨</w:t>
      </w:r>
      <w:r>
        <w:rPr>
          <w:spacing w:val="-98"/>
        </w:rPr>
        <w:t xml:space="preserve"> </w:t>
      </w:r>
      <w:r>
        <w:rPr>
          <w:spacing w:val="-1"/>
        </w:rPr>
        <w:t>家</w:t>
      </w:r>
      <w:r>
        <w:rPr>
          <w:spacing w:val="-94"/>
        </w:rPr>
        <w:t xml:space="preserve"> </w:t>
      </w:r>
      <w:r>
        <w:rPr>
          <w:spacing w:val="-1"/>
        </w:rPr>
        <w:t>坡</w:t>
      </w:r>
      <w:r>
        <w:rPr>
          <w:spacing w:val="-99"/>
        </w:rPr>
        <w:t xml:space="preserve"> </w:t>
      </w:r>
      <w:r>
        <w:rPr>
          <w:spacing w:val="-1"/>
        </w:rPr>
        <w:t>分</w:t>
      </w:r>
      <w:r>
        <w:rPr>
          <w:spacing w:val="-76"/>
        </w:rPr>
        <w:t xml:space="preserve"> </w:t>
      </w:r>
      <w:r>
        <w:rPr>
          <w:spacing w:val="-1"/>
        </w:rPr>
        <w:t>院</w:t>
      </w:r>
    </w:p>
    <w:p>
      <w:pPr>
        <w:spacing w:line="382"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兴县蔡家崖乡卫生院杨家坡分院机构设置及人员编制情况</w:t>
      </w:r>
    </w:p>
    <w:p>
      <w:pPr>
        <w:ind w:left="1528" w:right="1474"/>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兴县蔡家崖乡卫生院杨家坡分院是兴县医疗医疗集团下属的独</w:t>
      </w:r>
      <w:r>
        <w:rPr>
          <w:rFonts w:ascii="FangSong" w:hAnsi="FangSong" w:eastAsia="FangSong" w:cs="FangSong"/>
          <w:sz w:val="31"/>
          <w:szCs w:val="31"/>
          <w:spacing w:val="12"/>
        </w:rPr>
        <w:t xml:space="preserve"> </w:t>
      </w:r>
      <w:r>
        <w:rPr>
          <w:rFonts w:ascii="FangSong" w:hAnsi="FangSong" w:eastAsia="FangSong" w:cs="FangSong"/>
          <w:sz w:val="31"/>
          <w:szCs w:val="31"/>
          <w:spacing w:val="6"/>
        </w:rPr>
        <w:t>立核算的二级事业单位。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人员构成：设院长1名，工作人员6名。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部门名称：兴县蔡家崖乡卫生院杨家坡分院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4"/>
              <w:spacing w:before="129" w:line="238" w:lineRule="auto"/>
              <w:jc w:val="right"/>
              <w:rPr/>
            </w:pPr>
            <w:r>
              <w:rPr>
                <w:color w:val="212529"/>
                <w:spacing w:val="-3"/>
              </w:rPr>
              <w:t>173.87</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3"/>
              <w:spacing w:before="133" w:line="238" w:lineRule="auto"/>
              <w:jc w:val="right"/>
              <w:rPr/>
            </w:pPr>
            <w:r>
              <w:rPr>
                <w:color w:val="212529"/>
                <w:spacing w:val="-4"/>
              </w:rPr>
              <w:t>1.93</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8.48</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9.73</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6"/>
              <w:spacing w:before="137" w:line="238" w:lineRule="auto"/>
              <w:jc w:val="right"/>
              <w:rPr/>
            </w:pPr>
            <w:r>
              <w:rPr>
                <w:color w:val="212529"/>
                <w:spacing w:val="-3"/>
              </w:rPr>
              <w:t>164.42</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8"/>
              <w:spacing w:before="139" w:line="238" w:lineRule="auto"/>
              <w:jc w:val="right"/>
              <w:rPr/>
            </w:pPr>
            <w:r>
              <w:rPr>
                <w:color w:val="212529"/>
                <w:spacing w:val="-2"/>
              </w:rPr>
              <w:t>9.95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19"/>
              <w:spacing w:before="135" w:line="172" w:lineRule="auto"/>
              <w:rPr>
                <w:rFonts w:ascii="Arial" w:hAnsi="Arial" w:eastAsia="Arial" w:cs="Arial"/>
                <w:sz w:val="16"/>
                <w:szCs w:val="16"/>
              </w:rPr>
            </w:pPr>
            <w:r>
              <w:rPr>
                <w:rFonts w:ascii="Arial" w:hAnsi="Arial" w:eastAsia="Arial" w:cs="Arial"/>
                <w:sz w:val="16"/>
                <w:szCs w:val="16"/>
                <w:color w:val="212529"/>
                <w:spacing w:val="4"/>
              </w:rPr>
              <w:t>184.27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65"/>
              <w:spacing w:before="135" w:line="212" w:lineRule="auto"/>
              <w:rPr>
                <w:rFonts w:ascii="Arial" w:hAnsi="Arial" w:eastAsia="Arial" w:cs="Arial"/>
                <w:sz w:val="13"/>
                <w:szCs w:val="13"/>
              </w:rPr>
            </w:pPr>
            <w:r>
              <w:rPr>
                <w:rFonts w:ascii="Arial" w:hAnsi="Arial" w:eastAsia="Arial" w:cs="Arial"/>
                <w:sz w:val="13"/>
                <w:szCs w:val="13"/>
                <w:color w:val="212529"/>
                <w:spacing w:val="10"/>
              </w:rPr>
              <w:t>184.</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10</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0.01</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2.58</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2.75</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19"/>
              <w:spacing w:before="141" w:line="212" w:lineRule="auto"/>
              <w:rPr>
                <w:rFonts w:ascii="Arial" w:hAnsi="Arial" w:eastAsia="Arial" w:cs="Arial"/>
                <w:sz w:val="13"/>
                <w:szCs w:val="13"/>
              </w:rPr>
            </w:pPr>
            <w:r>
              <w:rPr>
                <w:rFonts w:ascii="Arial" w:hAnsi="Arial" w:eastAsia="Arial" w:cs="Arial"/>
                <w:sz w:val="13"/>
                <w:szCs w:val="13"/>
                <w:color w:val="212529"/>
                <w:spacing w:val="11"/>
              </w:rPr>
              <w:t>186.</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86</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65"/>
              <w:spacing w:before="141" w:line="172" w:lineRule="auto"/>
              <w:rPr>
                <w:rFonts w:ascii="Arial" w:hAnsi="Arial" w:eastAsia="Arial" w:cs="Arial"/>
                <w:sz w:val="16"/>
                <w:szCs w:val="16"/>
              </w:rPr>
            </w:pPr>
            <w:r>
              <w:rPr>
                <w:rFonts w:ascii="Arial" w:hAnsi="Arial" w:eastAsia="Arial" w:cs="Arial"/>
                <w:sz w:val="16"/>
                <w:szCs w:val="16"/>
                <w:color w:val="212529"/>
                <w:spacing w:val="4"/>
              </w:rPr>
              <w:t>186.86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23" w:right="170" w:hanging="9"/>
              <w:spacing w:before="5" w:line="207" w:lineRule="auto"/>
              <w:rPr/>
            </w:pPr>
            <w:r>
              <w:rPr>
                <w:color w:val="212529"/>
                <w:spacing w:val="-1"/>
              </w:rPr>
              <w:t>部门名称：兴县蔡家崖乡卫生院杨家坡分</w:t>
            </w:r>
            <w:r>
              <w:rPr>
                <w:color w:val="212529"/>
                <w:spacing w:val="7"/>
              </w:rPr>
              <w:t xml:space="preserve"> </w:t>
            </w:r>
            <w:r>
              <w:rPr>
                <w:color w:val="212529"/>
              </w:rPr>
              <w:t>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2"/>
                <w:position w:val="1"/>
              </w:rPr>
              <w:t>184.27</w:t>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173.87</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position w:val="1"/>
              </w:rPr>
              <w:t>1.93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8.48</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5"/>
              <w:spacing w:before="115" w:line="238" w:lineRule="auto"/>
              <w:jc w:val="right"/>
              <w:rPr/>
            </w:pPr>
            <w:r>
              <w:rPr>
                <w:color w:val="212529"/>
                <w:spacing w:val="-2"/>
              </w:rPr>
              <w:t>9.73</w:t>
            </w:r>
          </w:p>
        </w:tc>
        <w:tc>
          <w:tcPr>
            <w:tcW w:w="988" w:type="dxa"/>
            <w:vAlign w:val="top"/>
          </w:tcPr>
          <w:p>
            <w:pPr>
              <w:pStyle w:val="TableText"/>
              <w:ind w:right="23"/>
              <w:spacing w:before="115" w:line="238" w:lineRule="auto"/>
              <w:jc w:val="right"/>
              <w:rPr/>
            </w:pPr>
            <w:r>
              <w:rPr>
                <w:color w:val="212529"/>
                <w:spacing w:val="-2"/>
              </w:rPr>
              <w:t>9.73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5"/>
              <w:spacing w:before="116" w:line="238" w:lineRule="auto"/>
              <w:jc w:val="right"/>
              <w:rPr/>
            </w:pPr>
            <w:r>
              <w:rPr>
                <w:color w:val="212529"/>
                <w:spacing w:val="-2"/>
              </w:rPr>
              <w:t>9.73</w:t>
            </w:r>
          </w:p>
        </w:tc>
        <w:tc>
          <w:tcPr>
            <w:tcW w:w="988" w:type="dxa"/>
            <w:vAlign w:val="top"/>
          </w:tcPr>
          <w:p>
            <w:pPr>
              <w:pStyle w:val="TableText"/>
              <w:ind w:right="23"/>
              <w:spacing w:before="116" w:line="238" w:lineRule="auto"/>
              <w:jc w:val="right"/>
              <w:rPr/>
            </w:pPr>
            <w:r>
              <w:rPr>
                <w:color w:val="212529"/>
                <w:spacing w:val="-2"/>
              </w:rPr>
              <w:t>9.73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5"/>
              <w:spacing w:before="117" w:line="238" w:lineRule="auto"/>
              <w:jc w:val="right"/>
              <w:rPr/>
            </w:pPr>
            <w:r>
              <w:rPr>
                <w:color w:val="212529"/>
                <w:spacing w:val="-2"/>
              </w:rPr>
              <w:t>9.73</w:t>
            </w:r>
          </w:p>
        </w:tc>
        <w:tc>
          <w:tcPr>
            <w:tcW w:w="988" w:type="dxa"/>
            <w:vAlign w:val="top"/>
          </w:tcPr>
          <w:p>
            <w:pPr>
              <w:pStyle w:val="TableText"/>
              <w:ind w:right="23"/>
              <w:spacing w:before="117" w:line="238" w:lineRule="auto"/>
              <w:jc w:val="right"/>
              <w:rPr/>
            </w:pPr>
            <w:r>
              <w:rPr>
                <w:color w:val="212529"/>
                <w:spacing w:val="-2"/>
              </w:rPr>
              <w:t>9.73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4"/>
              <w:spacing w:before="118" w:line="238" w:lineRule="auto"/>
              <w:jc w:val="right"/>
              <w:rPr/>
            </w:pPr>
            <w:r>
              <w:rPr>
                <w:color w:val="212529"/>
                <w:spacing w:val="-3"/>
              </w:rPr>
              <w:t>164.59</w:t>
            </w:r>
          </w:p>
        </w:tc>
        <w:tc>
          <w:tcPr>
            <w:tcW w:w="988" w:type="dxa"/>
            <w:vAlign w:val="top"/>
          </w:tcPr>
          <w:p>
            <w:pPr>
              <w:pStyle w:val="TableText"/>
              <w:ind w:right="21"/>
              <w:spacing w:before="118" w:line="238" w:lineRule="auto"/>
              <w:jc w:val="right"/>
              <w:rPr/>
            </w:pPr>
            <w:r>
              <w:rPr>
                <w:color w:val="212529"/>
                <w:spacing w:val="-3"/>
              </w:rPr>
              <w:t>154.19</w:t>
            </w:r>
          </w:p>
        </w:tc>
        <w:tc>
          <w:tcPr>
            <w:tcW w:w="913" w:type="dxa"/>
            <w:vAlign w:val="top"/>
          </w:tcPr>
          <w:p>
            <w:pPr>
              <w:rPr>
                <w:rFonts w:ascii="Arial"/>
                <w:sz w:val="21"/>
              </w:rPr>
            </w:pPr>
            <w:r/>
          </w:p>
        </w:tc>
        <w:tc>
          <w:tcPr>
            <w:tcW w:w="914" w:type="dxa"/>
            <w:vAlign w:val="top"/>
          </w:tcPr>
          <w:p>
            <w:pPr>
              <w:pStyle w:val="TableText"/>
              <w:ind w:right="25"/>
              <w:spacing w:before="118" w:line="238" w:lineRule="auto"/>
              <w:jc w:val="right"/>
              <w:rPr/>
            </w:pPr>
            <w:r>
              <w:rPr>
                <w:color w:val="212529"/>
                <w:spacing w:val="-4"/>
              </w:rPr>
              <w:t>1.93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8" w:line="238" w:lineRule="auto"/>
              <w:jc w:val="right"/>
              <w:rPr/>
            </w:pPr>
            <w:r>
              <w:rPr>
                <w:color w:val="212529"/>
                <w:spacing w:val="-2"/>
              </w:rPr>
              <w:t>8.48</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4"/>
              <w:spacing w:before="119" w:line="238" w:lineRule="auto"/>
              <w:jc w:val="right"/>
              <w:rPr/>
            </w:pPr>
            <w:r>
              <w:rPr>
                <w:color w:val="212529"/>
                <w:spacing w:val="-3"/>
              </w:rPr>
              <w:t>115.90</w:t>
            </w:r>
          </w:p>
        </w:tc>
        <w:tc>
          <w:tcPr>
            <w:tcW w:w="988" w:type="dxa"/>
            <w:vAlign w:val="top"/>
          </w:tcPr>
          <w:p>
            <w:pPr>
              <w:pStyle w:val="TableText"/>
              <w:ind w:right="21"/>
              <w:spacing w:before="119" w:line="238" w:lineRule="auto"/>
              <w:jc w:val="right"/>
              <w:rPr/>
            </w:pPr>
            <w:r>
              <w:rPr>
                <w:color w:val="212529"/>
                <w:spacing w:val="-3"/>
              </w:rPr>
              <w:t>105.49</w:t>
            </w:r>
          </w:p>
        </w:tc>
        <w:tc>
          <w:tcPr>
            <w:tcW w:w="913" w:type="dxa"/>
            <w:vAlign w:val="top"/>
          </w:tcPr>
          <w:p>
            <w:pPr>
              <w:rPr>
                <w:rFonts w:ascii="Arial"/>
                <w:sz w:val="21"/>
              </w:rPr>
            </w:pPr>
            <w:r/>
          </w:p>
        </w:tc>
        <w:tc>
          <w:tcPr>
            <w:tcW w:w="914" w:type="dxa"/>
            <w:vAlign w:val="top"/>
          </w:tcPr>
          <w:p>
            <w:pPr>
              <w:pStyle w:val="TableText"/>
              <w:ind w:right="25"/>
              <w:spacing w:before="119" w:line="238" w:lineRule="auto"/>
              <w:jc w:val="right"/>
              <w:rPr/>
            </w:pPr>
            <w:r>
              <w:rPr>
                <w:color w:val="212529"/>
                <w:spacing w:val="-4"/>
              </w:rPr>
              <w:t>1.93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9" w:line="238" w:lineRule="auto"/>
              <w:jc w:val="right"/>
              <w:rPr/>
            </w:pPr>
            <w:r>
              <w:rPr>
                <w:color w:val="212529"/>
                <w:spacing w:val="-2"/>
              </w:rPr>
              <w:t>8.48</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5"/>
              <w:spacing w:before="120" w:line="238" w:lineRule="auto"/>
              <w:jc w:val="right"/>
              <w:rPr/>
            </w:pPr>
            <w:r>
              <w:rPr>
                <w:color w:val="212529"/>
                <w:spacing w:val="-2"/>
              </w:rPr>
              <w:t>92.69</w:t>
            </w:r>
          </w:p>
        </w:tc>
        <w:tc>
          <w:tcPr>
            <w:tcW w:w="988" w:type="dxa"/>
            <w:vAlign w:val="top"/>
          </w:tcPr>
          <w:p>
            <w:pPr>
              <w:pStyle w:val="TableText"/>
              <w:ind w:right="23"/>
              <w:spacing w:before="120" w:line="238" w:lineRule="auto"/>
              <w:jc w:val="right"/>
              <w:rPr/>
            </w:pPr>
            <w:r>
              <w:rPr>
                <w:color w:val="212529"/>
                <w:spacing w:val="-2"/>
              </w:rPr>
              <w:t>82.29</w:t>
            </w:r>
          </w:p>
        </w:tc>
        <w:tc>
          <w:tcPr>
            <w:tcW w:w="913" w:type="dxa"/>
            <w:vAlign w:val="top"/>
          </w:tcPr>
          <w:p>
            <w:pPr>
              <w:rPr>
                <w:rFonts w:ascii="Arial"/>
                <w:sz w:val="21"/>
              </w:rPr>
            </w:pPr>
            <w:r/>
          </w:p>
        </w:tc>
        <w:tc>
          <w:tcPr>
            <w:tcW w:w="914" w:type="dxa"/>
            <w:vAlign w:val="top"/>
          </w:tcPr>
          <w:p>
            <w:pPr>
              <w:pStyle w:val="TableText"/>
              <w:ind w:right="25"/>
              <w:spacing w:before="120" w:line="238" w:lineRule="auto"/>
              <w:jc w:val="right"/>
              <w:rPr/>
            </w:pPr>
            <w:r>
              <w:rPr>
                <w:color w:val="212529"/>
                <w:spacing w:val="-4"/>
              </w:rPr>
              <w:t>1.93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20" w:line="238" w:lineRule="auto"/>
              <w:jc w:val="right"/>
              <w:rPr/>
            </w:pPr>
            <w:r>
              <w:rPr>
                <w:color w:val="212529"/>
                <w:spacing w:val="-2"/>
              </w:rPr>
              <w:t>8.48</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5"/>
              <w:spacing w:before="121" w:line="238" w:lineRule="auto"/>
              <w:jc w:val="right"/>
              <w:rPr/>
            </w:pPr>
            <w:r>
              <w:rPr>
                <w:color w:val="212529"/>
                <w:spacing w:val="-2"/>
              </w:rPr>
              <w:t>23.20</w:t>
            </w:r>
          </w:p>
        </w:tc>
        <w:tc>
          <w:tcPr>
            <w:tcW w:w="988" w:type="dxa"/>
            <w:vAlign w:val="top"/>
          </w:tcPr>
          <w:p>
            <w:pPr>
              <w:pStyle w:val="TableText"/>
              <w:ind w:right="23"/>
              <w:spacing w:before="121" w:line="238" w:lineRule="auto"/>
              <w:jc w:val="right"/>
              <w:rPr/>
            </w:pPr>
            <w:r>
              <w:rPr>
                <w:color w:val="212529"/>
                <w:spacing w:val="-2"/>
              </w:rPr>
              <w:t>23.20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6"/>
              <w:spacing w:before="122" w:line="238" w:lineRule="auto"/>
              <w:jc w:val="right"/>
              <w:rPr/>
            </w:pPr>
            <w:r>
              <w:rPr>
                <w:color w:val="212529"/>
                <w:spacing w:val="-2"/>
              </w:rPr>
              <w:t>44.89</w:t>
            </w:r>
          </w:p>
        </w:tc>
        <w:tc>
          <w:tcPr>
            <w:tcW w:w="988" w:type="dxa"/>
            <w:vAlign w:val="top"/>
          </w:tcPr>
          <w:p>
            <w:pPr>
              <w:pStyle w:val="TableText"/>
              <w:ind w:right="23"/>
              <w:spacing w:before="122" w:line="238" w:lineRule="auto"/>
              <w:jc w:val="right"/>
              <w:rPr/>
            </w:pPr>
            <w:r>
              <w:rPr>
                <w:color w:val="212529"/>
                <w:spacing w:val="-2"/>
              </w:rPr>
              <w:t>44.89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0.04</w:t>
            </w:r>
          </w:p>
        </w:tc>
        <w:tc>
          <w:tcPr>
            <w:tcW w:w="988" w:type="dxa"/>
            <w:vAlign w:val="top"/>
          </w:tcPr>
          <w:p>
            <w:pPr>
              <w:pStyle w:val="TableText"/>
              <w:ind w:right="22"/>
              <w:spacing w:before="123" w:line="238" w:lineRule="auto"/>
              <w:jc w:val="right"/>
              <w:rPr/>
            </w:pPr>
            <w:r>
              <w:rPr>
                <w:color w:val="212529"/>
                <w:spacing w:val="-2"/>
              </w:rPr>
              <w:t>0.04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6"/>
              <w:spacing w:before="124" w:line="238" w:lineRule="auto"/>
              <w:jc w:val="right"/>
              <w:rPr/>
            </w:pPr>
            <w:r>
              <w:rPr>
                <w:color w:val="212529"/>
                <w:spacing w:val="-2"/>
              </w:rPr>
              <w:t>44.85</w:t>
            </w:r>
          </w:p>
        </w:tc>
        <w:tc>
          <w:tcPr>
            <w:tcW w:w="988" w:type="dxa"/>
            <w:vAlign w:val="top"/>
          </w:tcPr>
          <w:p>
            <w:pPr>
              <w:pStyle w:val="TableText"/>
              <w:ind w:right="23"/>
              <w:spacing w:before="124" w:line="238" w:lineRule="auto"/>
              <w:jc w:val="right"/>
              <w:rPr/>
            </w:pPr>
            <w:r>
              <w:rPr>
                <w:color w:val="212529"/>
                <w:spacing w:val="-2"/>
              </w:rPr>
              <w:t>44.85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4"/>
              <w:spacing w:before="124" w:line="238" w:lineRule="auto"/>
              <w:jc w:val="right"/>
              <w:rPr/>
            </w:pPr>
            <w:r>
              <w:rPr>
                <w:color w:val="212529"/>
                <w:spacing w:val="-2"/>
              </w:rPr>
              <w:t>3.81</w:t>
            </w:r>
          </w:p>
        </w:tc>
        <w:tc>
          <w:tcPr>
            <w:tcW w:w="988" w:type="dxa"/>
            <w:vAlign w:val="top"/>
          </w:tcPr>
          <w:p>
            <w:pPr>
              <w:pStyle w:val="TableText"/>
              <w:ind w:right="22"/>
              <w:spacing w:before="124" w:line="238" w:lineRule="auto"/>
              <w:jc w:val="right"/>
              <w:rPr/>
            </w:pPr>
            <w:r>
              <w:rPr>
                <w:color w:val="212529"/>
                <w:spacing w:val="-2"/>
              </w:rPr>
              <w:t>3.81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4"/>
              <w:spacing w:before="124" w:line="238" w:lineRule="auto"/>
              <w:jc w:val="right"/>
              <w:rPr/>
            </w:pPr>
            <w:r>
              <w:rPr>
                <w:color w:val="212529"/>
                <w:spacing w:val="-2"/>
              </w:rPr>
              <w:t>3.81</w:t>
            </w:r>
          </w:p>
        </w:tc>
        <w:tc>
          <w:tcPr>
            <w:tcW w:w="988" w:type="dxa"/>
            <w:vAlign w:val="top"/>
          </w:tcPr>
          <w:p>
            <w:pPr>
              <w:pStyle w:val="TableText"/>
              <w:ind w:right="22"/>
              <w:spacing w:before="124" w:line="238" w:lineRule="auto"/>
              <w:jc w:val="right"/>
              <w:rPr/>
            </w:pPr>
            <w:r>
              <w:rPr>
                <w:color w:val="212529"/>
                <w:spacing w:val="-2"/>
              </w:rPr>
              <w:t>3.81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5"/>
              <w:spacing w:before="124" w:line="238" w:lineRule="auto"/>
              <w:jc w:val="right"/>
              <w:rPr/>
            </w:pPr>
            <w:r>
              <w:rPr>
                <w:color w:val="212529"/>
                <w:spacing w:val="-2"/>
              </w:rPr>
              <w:t>9.95</w:t>
            </w:r>
          </w:p>
        </w:tc>
        <w:tc>
          <w:tcPr>
            <w:tcW w:w="988" w:type="dxa"/>
            <w:vAlign w:val="top"/>
          </w:tcPr>
          <w:p>
            <w:pPr>
              <w:pStyle w:val="TableText"/>
              <w:ind w:right="23"/>
              <w:spacing w:before="124" w:line="238" w:lineRule="auto"/>
              <w:jc w:val="right"/>
              <w:rPr/>
            </w:pPr>
            <w:r>
              <w:rPr>
                <w:color w:val="212529"/>
                <w:spacing w:val="-2"/>
              </w:rPr>
              <w:t>9.95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5"/>
              <w:spacing w:before="124" w:line="238" w:lineRule="auto"/>
              <w:jc w:val="right"/>
              <w:rPr/>
            </w:pPr>
            <w:r>
              <w:rPr>
                <w:color w:val="212529"/>
                <w:spacing w:val="-2"/>
              </w:rPr>
              <w:t>9.95</w:t>
            </w:r>
          </w:p>
        </w:tc>
        <w:tc>
          <w:tcPr>
            <w:tcW w:w="988" w:type="dxa"/>
            <w:vAlign w:val="top"/>
          </w:tcPr>
          <w:p>
            <w:pPr>
              <w:pStyle w:val="TableText"/>
              <w:ind w:right="23"/>
              <w:spacing w:before="124" w:line="238" w:lineRule="auto"/>
              <w:jc w:val="right"/>
              <w:rPr/>
            </w:pPr>
            <w:r>
              <w:rPr>
                <w:color w:val="212529"/>
                <w:spacing w:val="-2"/>
              </w:rPr>
              <w:t>9.95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5"/>
              <w:spacing w:before="124" w:line="238" w:lineRule="auto"/>
              <w:jc w:val="right"/>
              <w:rPr/>
            </w:pPr>
            <w:r>
              <w:rPr>
                <w:color w:val="212529"/>
                <w:spacing w:val="-2"/>
              </w:rPr>
              <w:t>9.95</w:t>
            </w:r>
          </w:p>
        </w:tc>
        <w:tc>
          <w:tcPr>
            <w:tcW w:w="988" w:type="dxa"/>
            <w:vAlign w:val="top"/>
          </w:tcPr>
          <w:p>
            <w:pPr>
              <w:pStyle w:val="TableText"/>
              <w:ind w:right="23"/>
              <w:spacing w:before="124" w:line="238" w:lineRule="auto"/>
              <w:jc w:val="right"/>
              <w:rPr/>
            </w:pPr>
            <w:r>
              <w:rPr>
                <w:color w:val="212529"/>
                <w:spacing w:val="-2"/>
              </w:rPr>
              <w:t>9.95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部门名称：兴县蔡家崖乡卫生院杨家坡分院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40"/>
              <w:spacing w:before="135" w:line="212" w:lineRule="auto"/>
              <w:rPr>
                <w:rFonts w:ascii="Arial" w:hAnsi="Arial" w:eastAsia="Arial" w:cs="Arial"/>
                <w:sz w:val="13"/>
                <w:szCs w:val="13"/>
              </w:rPr>
            </w:pPr>
            <w:r>
              <w:rPr>
                <w:rFonts w:ascii="Arial" w:hAnsi="Arial" w:eastAsia="Arial" w:cs="Arial"/>
                <w:sz w:val="13"/>
                <w:szCs w:val="13"/>
                <w:color w:val="212529"/>
                <w:spacing w:val="10"/>
              </w:rPr>
              <w:t>184.</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10</w:t>
            </w:r>
          </w:p>
        </w:tc>
        <w:tc>
          <w:tcPr>
            <w:tcW w:w="1108" w:type="dxa"/>
            <w:vAlign w:val="top"/>
          </w:tcPr>
          <w:p>
            <w:pPr>
              <w:ind w:left="547"/>
              <w:spacing w:before="135" w:line="212" w:lineRule="auto"/>
              <w:rPr>
                <w:rFonts w:ascii="Arial" w:hAnsi="Arial" w:eastAsia="Arial" w:cs="Arial"/>
                <w:sz w:val="13"/>
                <w:szCs w:val="13"/>
              </w:rPr>
            </w:pPr>
            <w:r>
              <w:rPr>
                <w:rFonts w:ascii="Arial" w:hAnsi="Arial" w:eastAsia="Arial" w:cs="Arial"/>
                <w:sz w:val="13"/>
                <w:szCs w:val="13"/>
                <w:color w:val="212529"/>
                <w:spacing w:val="10"/>
              </w:rPr>
              <w:t>101.</w:t>
            </w:r>
            <w:r>
              <w:rPr>
                <w:rFonts w:ascii="Arial" w:hAnsi="Arial" w:eastAsia="Arial" w:cs="Arial"/>
                <w:sz w:val="13"/>
                <w:szCs w:val="13"/>
                <w:color w:val="212529"/>
                <w:spacing w:val="21"/>
              </w:rPr>
              <w:t xml:space="preserve"> </w:t>
            </w:r>
            <w:r>
              <w:rPr>
                <w:rFonts w:ascii="Arial" w:hAnsi="Arial" w:eastAsia="Arial" w:cs="Arial"/>
                <w:sz w:val="13"/>
                <w:szCs w:val="13"/>
                <w:color w:val="212529"/>
                <w:spacing w:val="10"/>
              </w:rPr>
              <w:t>73</w:t>
            </w:r>
          </w:p>
        </w:tc>
        <w:tc>
          <w:tcPr>
            <w:tcW w:w="1123" w:type="dxa"/>
            <w:vAlign w:val="top"/>
          </w:tcPr>
          <w:p>
            <w:pPr>
              <w:ind w:left="631"/>
              <w:spacing w:before="135" w:line="183" w:lineRule="auto"/>
              <w:rPr>
                <w:rFonts w:ascii="Arial" w:hAnsi="Arial" w:eastAsia="Arial" w:cs="Arial"/>
                <w:sz w:val="15"/>
                <w:szCs w:val="15"/>
              </w:rPr>
            </w:pPr>
            <w:r>
              <w:rPr>
                <w:rFonts w:ascii="Arial" w:hAnsi="Arial" w:eastAsia="Arial" w:cs="Arial"/>
                <w:sz w:val="15"/>
                <w:szCs w:val="15"/>
                <w:color w:val="212529"/>
                <w:spacing w:val="3"/>
              </w:rPr>
              <w:t>82.</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9.73</w:t>
            </w:r>
          </w:p>
        </w:tc>
        <w:tc>
          <w:tcPr>
            <w:tcW w:w="1108" w:type="dxa"/>
            <w:vAlign w:val="top"/>
          </w:tcPr>
          <w:p>
            <w:pPr>
              <w:pStyle w:val="TableText"/>
              <w:ind w:right="23"/>
              <w:spacing w:before="115" w:line="238" w:lineRule="auto"/>
              <w:jc w:val="right"/>
              <w:rPr/>
            </w:pPr>
            <w:r>
              <w:rPr>
                <w:color w:val="212529"/>
                <w:spacing w:val="-2"/>
              </w:rPr>
              <w:t>9.73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9.73</w:t>
            </w:r>
          </w:p>
        </w:tc>
        <w:tc>
          <w:tcPr>
            <w:tcW w:w="1108" w:type="dxa"/>
            <w:vAlign w:val="top"/>
          </w:tcPr>
          <w:p>
            <w:pPr>
              <w:pStyle w:val="TableText"/>
              <w:ind w:right="23"/>
              <w:spacing w:before="116" w:line="238" w:lineRule="auto"/>
              <w:jc w:val="right"/>
              <w:rPr/>
            </w:pPr>
            <w:r>
              <w:rPr>
                <w:color w:val="212529"/>
                <w:spacing w:val="-2"/>
              </w:rPr>
              <w:t>9.73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7" w:line="238" w:lineRule="auto"/>
              <w:jc w:val="right"/>
              <w:rPr/>
            </w:pPr>
            <w:r>
              <w:rPr>
                <w:color w:val="212529"/>
                <w:spacing w:val="-2"/>
              </w:rPr>
              <w:t>9.73</w:t>
            </w:r>
          </w:p>
        </w:tc>
        <w:tc>
          <w:tcPr>
            <w:tcW w:w="1108" w:type="dxa"/>
            <w:vAlign w:val="top"/>
          </w:tcPr>
          <w:p>
            <w:pPr>
              <w:pStyle w:val="TableText"/>
              <w:ind w:right="23"/>
              <w:spacing w:before="117" w:line="238" w:lineRule="auto"/>
              <w:jc w:val="right"/>
              <w:rPr/>
            </w:pPr>
            <w:r>
              <w:rPr>
                <w:color w:val="212529"/>
                <w:spacing w:val="-2"/>
              </w:rPr>
              <w:t>9.73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29"/>
              <w:spacing w:before="118" w:line="238" w:lineRule="auto"/>
              <w:jc w:val="right"/>
              <w:rPr/>
            </w:pPr>
            <w:r>
              <w:rPr>
                <w:color w:val="212529"/>
                <w:spacing w:val="-3"/>
              </w:rPr>
              <w:t>164.42</w:t>
            </w:r>
          </w:p>
        </w:tc>
        <w:tc>
          <w:tcPr>
            <w:tcW w:w="1108" w:type="dxa"/>
            <w:vAlign w:val="top"/>
          </w:tcPr>
          <w:p>
            <w:pPr>
              <w:pStyle w:val="TableText"/>
              <w:ind w:right="24"/>
              <w:spacing w:before="118" w:line="238" w:lineRule="auto"/>
              <w:jc w:val="right"/>
              <w:rPr/>
            </w:pPr>
            <w:r>
              <w:rPr>
                <w:color w:val="212529"/>
                <w:spacing w:val="-2"/>
              </w:rPr>
              <w:t>82.05</w:t>
            </w:r>
          </w:p>
        </w:tc>
        <w:tc>
          <w:tcPr>
            <w:tcW w:w="1123" w:type="dxa"/>
            <w:vAlign w:val="top"/>
          </w:tcPr>
          <w:p>
            <w:pPr>
              <w:pStyle w:val="TableText"/>
              <w:ind w:right="32"/>
              <w:spacing w:before="118" w:line="238" w:lineRule="auto"/>
              <w:jc w:val="right"/>
              <w:rPr/>
            </w:pPr>
            <w:r>
              <w:rPr>
                <w:color w:val="212529"/>
                <w:spacing w:val="-2"/>
              </w:rPr>
              <w:t>82.37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115.73</w:t>
            </w:r>
          </w:p>
        </w:tc>
        <w:tc>
          <w:tcPr>
            <w:tcW w:w="1108" w:type="dxa"/>
            <w:vAlign w:val="top"/>
          </w:tcPr>
          <w:p>
            <w:pPr>
              <w:pStyle w:val="TableText"/>
              <w:ind w:right="23"/>
              <w:spacing w:before="119" w:line="238" w:lineRule="auto"/>
              <w:jc w:val="right"/>
              <w:rPr/>
            </w:pPr>
            <w:r>
              <w:rPr>
                <w:color w:val="212529"/>
                <w:spacing w:val="-2"/>
              </w:rPr>
              <w:t>78.24</w:t>
            </w:r>
          </w:p>
        </w:tc>
        <w:tc>
          <w:tcPr>
            <w:tcW w:w="1123" w:type="dxa"/>
            <w:vAlign w:val="top"/>
          </w:tcPr>
          <w:p>
            <w:pPr>
              <w:pStyle w:val="TableText"/>
              <w:ind w:right="31"/>
              <w:spacing w:before="119" w:line="238" w:lineRule="auto"/>
              <w:jc w:val="right"/>
              <w:rPr/>
            </w:pPr>
            <w:r>
              <w:rPr>
                <w:color w:val="212529"/>
                <w:spacing w:val="-2"/>
              </w:rPr>
              <w:t>37.49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30"/>
              <w:spacing w:before="120" w:line="238" w:lineRule="auto"/>
              <w:jc w:val="right"/>
              <w:rPr/>
            </w:pPr>
            <w:r>
              <w:rPr>
                <w:color w:val="212529"/>
                <w:spacing w:val="-2"/>
              </w:rPr>
              <w:t>92.52</w:t>
            </w:r>
          </w:p>
        </w:tc>
        <w:tc>
          <w:tcPr>
            <w:tcW w:w="1108" w:type="dxa"/>
            <w:vAlign w:val="top"/>
          </w:tcPr>
          <w:p>
            <w:pPr>
              <w:pStyle w:val="TableText"/>
              <w:ind w:right="23"/>
              <w:spacing w:before="120" w:line="238" w:lineRule="auto"/>
              <w:jc w:val="right"/>
              <w:rPr/>
            </w:pPr>
            <w:r>
              <w:rPr>
                <w:color w:val="212529"/>
                <w:spacing w:val="-2"/>
              </w:rPr>
              <w:t>78.24</w:t>
            </w:r>
          </w:p>
        </w:tc>
        <w:tc>
          <w:tcPr>
            <w:tcW w:w="1123" w:type="dxa"/>
            <w:vAlign w:val="top"/>
          </w:tcPr>
          <w:p>
            <w:pPr>
              <w:pStyle w:val="TableText"/>
              <w:ind w:right="29"/>
              <w:spacing w:before="120" w:line="238" w:lineRule="auto"/>
              <w:jc w:val="right"/>
              <w:rPr/>
            </w:pPr>
            <w:r>
              <w:rPr>
                <w:color w:val="212529"/>
                <w:spacing w:val="-4"/>
              </w:rPr>
              <w:t>14.28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1" w:line="238" w:lineRule="auto"/>
              <w:jc w:val="right"/>
              <w:rPr/>
            </w:pPr>
            <w:r>
              <w:rPr>
                <w:color w:val="212529"/>
                <w:spacing w:val="-2"/>
              </w:rPr>
              <w:t>23.20</w:t>
            </w:r>
          </w:p>
        </w:tc>
        <w:tc>
          <w:tcPr>
            <w:tcW w:w="1108" w:type="dxa"/>
            <w:vAlign w:val="top"/>
          </w:tcPr>
          <w:p>
            <w:pPr>
              <w:rPr>
                <w:rFonts w:ascii="Arial"/>
                <w:sz w:val="21"/>
              </w:rPr>
            </w:pPr>
            <w:r/>
          </w:p>
        </w:tc>
        <w:tc>
          <w:tcPr>
            <w:tcW w:w="1123" w:type="dxa"/>
            <w:vAlign w:val="top"/>
          </w:tcPr>
          <w:p>
            <w:pPr>
              <w:pStyle w:val="TableText"/>
              <w:ind w:right="32"/>
              <w:spacing w:before="121" w:line="238" w:lineRule="auto"/>
              <w:jc w:val="right"/>
              <w:rPr/>
            </w:pPr>
            <w:r>
              <w:rPr>
                <w:color w:val="212529"/>
                <w:spacing w:val="-2"/>
              </w:rPr>
              <w:t>23.20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1"/>
              <w:spacing w:before="122" w:line="238" w:lineRule="auto"/>
              <w:jc w:val="right"/>
              <w:rPr/>
            </w:pPr>
            <w:r>
              <w:rPr>
                <w:color w:val="212529"/>
                <w:spacing w:val="-2"/>
              </w:rPr>
              <w:t>44.89</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44.89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0.04</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0.04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1"/>
              <w:spacing w:before="124" w:line="238" w:lineRule="auto"/>
              <w:jc w:val="right"/>
              <w:rPr/>
            </w:pPr>
            <w:r>
              <w:rPr>
                <w:color w:val="212529"/>
                <w:spacing w:val="-2"/>
              </w:rPr>
              <w:t>44.85</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44.85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2"/>
              </w:rPr>
              <w:t>3.81</w:t>
            </w:r>
          </w:p>
        </w:tc>
        <w:tc>
          <w:tcPr>
            <w:tcW w:w="1108" w:type="dxa"/>
            <w:vAlign w:val="top"/>
          </w:tcPr>
          <w:p>
            <w:pPr>
              <w:pStyle w:val="TableText"/>
              <w:ind w:right="23"/>
              <w:spacing w:before="124" w:line="238" w:lineRule="auto"/>
              <w:jc w:val="right"/>
              <w:rPr/>
            </w:pPr>
            <w:r>
              <w:rPr>
                <w:color w:val="212529"/>
                <w:spacing w:val="-2"/>
              </w:rPr>
              <w:t>3.81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9"/>
              <w:spacing w:before="124" w:line="238" w:lineRule="auto"/>
              <w:jc w:val="right"/>
              <w:rPr/>
            </w:pPr>
            <w:r>
              <w:rPr>
                <w:color w:val="212529"/>
                <w:spacing w:val="-2"/>
              </w:rPr>
              <w:t>3.81</w:t>
            </w:r>
          </w:p>
        </w:tc>
        <w:tc>
          <w:tcPr>
            <w:tcW w:w="1108" w:type="dxa"/>
            <w:vAlign w:val="top"/>
          </w:tcPr>
          <w:p>
            <w:pPr>
              <w:pStyle w:val="TableText"/>
              <w:ind w:right="23"/>
              <w:spacing w:before="124" w:line="238" w:lineRule="auto"/>
              <w:jc w:val="right"/>
              <w:rPr/>
            </w:pPr>
            <w:r>
              <w:rPr>
                <w:color w:val="212529"/>
                <w:spacing w:val="-2"/>
              </w:rPr>
              <w:t>3.81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9.95</w:t>
            </w:r>
          </w:p>
        </w:tc>
        <w:tc>
          <w:tcPr>
            <w:tcW w:w="1108" w:type="dxa"/>
            <w:vAlign w:val="top"/>
          </w:tcPr>
          <w:p>
            <w:pPr>
              <w:pStyle w:val="TableText"/>
              <w:ind w:right="23"/>
              <w:spacing w:before="124" w:line="238" w:lineRule="auto"/>
              <w:jc w:val="right"/>
              <w:rPr/>
            </w:pPr>
            <w:r>
              <w:rPr>
                <w:color w:val="212529"/>
                <w:spacing w:val="-2"/>
              </w:rPr>
              <w:t>9.95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9.95</w:t>
            </w:r>
          </w:p>
        </w:tc>
        <w:tc>
          <w:tcPr>
            <w:tcW w:w="1108" w:type="dxa"/>
            <w:vAlign w:val="top"/>
          </w:tcPr>
          <w:p>
            <w:pPr>
              <w:pStyle w:val="TableText"/>
              <w:ind w:right="23"/>
              <w:spacing w:before="124" w:line="238" w:lineRule="auto"/>
              <w:jc w:val="right"/>
              <w:rPr/>
            </w:pPr>
            <w:r>
              <w:rPr>
                <w:color w:val="212529"/>
                <w:spacing w:val="-2"/>
              </w:rPr>
              <w:t>9.95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9.95</w:t>
            </w:r>
          </w:p>
        </w:tc>
        <w:tc>
          <w:tcPr>
            <w:tcW w:w="1108" w:type="dxa"/>
            <w:vAlign w:val="top"/>
          </w:tcPr>
          <w:p>
            <w:pPr>
              <w:pStyle w:val="TableText"/>
              <w:ind w:right="23"/>
              <w:spacing w:before="124" w:line="238" w:lineRule="auto"/>
              <w:jc w:val="right"/>
              <w:rPr/>
            </w:pPr>
            <w:r>
              <w:rPr>
                <w:color w:val="212529"/>
                <w:spacing w:val="-2"/>
              </w:rPr>
              <w:t>9.95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headerReference w:type="default" r:id="rId3"/>
          <w:footerReference w:type="default" r:id="rId11"/>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2" w:right="66" w:firstLine="2"/>
              <w:spacing w:before="64" w:line="218" w:lineRule="auto"/>
              <w:rPr/>
            </w:pPr>
            <w:r>
              <w:rPr>
                <w:color w:val="212529"/>
                <w:spacing w:val="-1"/>
              </w:rPr>
              <w:t>部门名称：兴县蔡家崖乡卫生院杨家</w:t>
            </w:r>
            <w:r>
              <w:rPr>
                <w:color w:val="212529"/>
                <w:spacing w:val="5"/>
              </w:rPr>
              <w:t xml:space="preserve"> </w:t>
            </w:r>
            <w:r>
              <w:rPr>
                <w:color w:val="212529"/>
                <w:spacing w:val="-2"/>
              </w:rPr>
              <w:t>坡分院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3"/>
              </w:rPr>
              <w:t>173.87</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9.73</w:t>
            </w:r>
          </w:p>
        </w:tc>
        <w:tc>
          <w:tcPr>
            <w:tcW w:w="1003" w:type="dxa"/>
            <w:vAlign w:val="top"/>
          </w:tcPr>
          <w:p>
            <w:pPr>
              <w:pStyle w:val="TableText"/>
              <w:ind w:right="20"/>
              <w:spacing w:before="181" w:line="238" w:lineRule="auto"/>
              <w:jc w:val="right"/>
              <w:rPr/>
            </w:pPr>
            <w:r>
              <w:rPr>
                <w:color w:val="212529"/>
                <w:spacing w:val="-2"/>
              </w:rPr>
              <w:t>9.73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154.19</w:t>
            </w:r>
          </w:p>
        </w:tc>
        <w:tc>
          <w:tcPr>
            <w:tcW w:w="1003" w:type="dxa"/>
            <w:vAlign w:val="top"/>
          </w:tcPr>
          <w:p>
            <w:pPr>
              <w:pStyle w:val="TableText"/>
              <w:ind w:right="19"/>
              <w:spacing w:before="182" w:line="238" w:lineRule="auto"/>
              <w:jc w:val="right"/>
              <w:rPr/>
            </w:pPr>
            <w:r>
              <w:rPr>
                <w:color w:val="212529"/>
                <w:spacing w:val="-3"/>
              </w:rPr>
              <w:t>154.19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9.95</w:t>
            </w:r>
          </w:p>
        </w:tc>
        <w:tc>
          <w:tcPr>
            <w:tcW w:w="1003" w:type="dxa"/>
            <w:vAlign w:val="top"/>
          </w:tcPr>
          <w:p>
            <w:pPr>
              <w:pStyle w:val="TableText"/>
              <w:ind w:right="20"/>
              <w:spacing w:before="184" w:line="238" w:lineRule="auto"/>
              <w:jc w:val="right"/>
              <w:rPr/>
            </w:pPr>
            <w:r>
              <w:rPr>
                <w:color w:val="212529"/>
                <w:spacing w:val="-2"/>
              </w:rPr>
              <w:t>9.95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12"/>
          <w:footerReference w:type="default" r:id="rId13"/>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31"/>
              <w:spacing w:before="181" w:line="184" w:lineRule="auto"/>
              <w:rPr>
                <w:rFonts w:ascii="Arial" w:hAnsi="Arial" w:eastAsia="Arial" w:cs="Arial"/>
                <w:sz w:val="15"/>
                <w:szCs w:val="15"/>
              </w:rPr>
            </w:pPr>
            <w:r>
              <w:rPr>
                <w:rFonts w:ascii="Arial" w:hAnsi="Arial" w:eastAsia="Arial" w:cs="Arial"/>
                <w:sz w:val="15"/>
                <w:szCs w:val="15"/>
                <w:color w:val="212529"/>
                <w:spacing w:val="2"/>
              </w:rPr>
              <w:t>173.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87</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52"/>
              <w:spacing w:before="181" w:line="172" w:lineRule="auto"/>
              <w:rPr>
                <w:rFonts w:ascii="Arial" w:hAnsi="Arial" w:eastAsia="Arial" w:cs="Arial"/>
                <w:sz w:val="16"/>
                <w:szCs w:val="16"/>
              </w:rPr>
            </w:pPr>
            <w:r>
              <w:rPr>
                <w:rFonts w:ascii="Arial" w:hAnsi="Arial" w:eastAsia="Arial" w:cs="Arial"/>
                <w:sz w:val="16"/>
                <w:szCs w:val="16"/>
                <w:color w:val="212529"/>
                <w:spacing w:val="4"/>
              </w:rPr>
              <w:t>173.87</w:t>
            </w:r>
          </w:p>
        </w:tc>
        <w:tc>
          <w:tcPr>
            <w:tcW w:w="1003" w:type="dxa"/>
            <w:vAlign w:val="top"/>
          </w:tcPr>
          <w:p>
            <w:pPr>
              <w:ind w:left="445"/>
              <w:spacing w:before="181" w:line="184" w:lineRule="auto"/>
              <w:rPr>
                <w:rFonts w:ascii="Arial" w:hAnsi="Arial" w:eastAsia="Arial" w:cs="Arial"/>
                <w:sz w:val="15"/>
                <w:szCs w:val="15"/>
              </w:rPr>
            </w:pPr>
            <w:r>
              <w:rPr>
                <w:rFonts w:ascii="Arial" w:hAnsi="Arial" w:eastAsia="Arial" w:cs="Arial"/>
                <w:sz w:val="15"/>
                <w:szCs w:val="15"/>
                <w:color w:val="212529"/>
                <w:spacing w:val="2"/>
              </w:rPr>
              <w:t>173.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87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31"/>
              <w:spacing w:before="186" w:line="184" w:lineRule="auto"/>
              <w:rPr>
                <w:rFonts w:ascii="Arial" w:hAnsi="Arial" w:eastAsia="Arial" w:cs="Arial"/>
                <w:sz w:val="15"/>
                <w:szCs w:val="15"/>
              </w:rPr>
            </w:pPr>
            <w:r>
              <w:rPr>
                <w:rFonts w:ascii="Arial" w:hAnsi="Arial" w:eastAsia="Arial" w:cs="Arial"/>
                <w:sz w:val="15"/>
                <w:szCs w:val="15"/>
                <w:color w:val="212529"/>
                <w:spacing w:val="2"/>
              </w:rPr>
              <w:t>173.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87</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173.87</w:t>
            </w:r>
          </w:p>
        </w:tc>
        <w:tc>
          <w:tcPr>
            <w:tcW w:w="1003"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173.87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14"/>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19"/>
        <w:gridCol w:w="2366"/>
        <w:gridCol w:w="1587"/>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1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6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8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部门名称：兴县蔡家崖乡卫生院杨家坡分院</w:t>
            </w:r>
          </w:p>
        </w:tc>
        <w:tc>
          <w:tcPr>
            <w:tcW w:w="1587" w:type="dxa"/>
            <w:vAlign w:val="top"/>
            <w:tcBorders>
              <w:top w:val="single" w:color="FFFFFF" w:sz="6" w:space="0"/>
              <w:left w:val="single" w:color="FFFFFF" w:sz="2" w:space="0"/>
              <w:right w:val="single" w:color="FFFFFF" w:sz="2" w:space="0"/>
            </w:tcBorders>
          </w:tcPr>
          <w:p>
            <w:pPr>
              <w:pStyle w:val="TableText"/>
              <w:ind w:left="427"/>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185" w:type="dxa"/>
            <w:vAlign w:val="top"/>
            <w:gridSpan w:val="2"/>
          </w:tcPr>
          <w:p>
            <w:pPr>
              <w:ind w:left="185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65" w:type="dxa"/>
            <w:vAlign w:val="top"/>
            <w:gridSpan w:val="3"/>
          </w:tcPr>
          <w:p>
            <w:pPr>
              <w:ind w:left="173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19" w:type="dxa"/>
            <w:vAlign w:val="top"/>
          </w:tcPr>
          <w:p>
            <w:pPr>
              <w:ind w:left="45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66" w:type="dxa"/>
            <w:vAlign w:val="top"/>
          </w:tcPr>
          <w:p>
            <w:pPr>
              <w:ind w:left="7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85" w:type="dxa"/>
            <w:vAlign w:val="top"/>
            <w:gridSpan w:val="2"/>
          </w:tcPr>
          <w:p>
            <w:pPr>
              <w:ind w:left="186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85" w:type="dxa"/>
            <w:vAlign w:val="top"/>
            <w:gridSpan w:val="2"/>
          </w:tcPr>
          <w:p>
            <w:pPr>
              <w:ind w:left="185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6"/>
              <w:spacing w:before="79" w:line="281" w:lineRule="exact"/>
              <w:jc w:val="right"/>
              <w:rPr>
                <w:sz w:val="21"/>
                <w:szCs w:val="21"/>
              </w:rPr>
            </w:pPr>
            <w:r>
              <w:rPr>
                <w:sz w:val="21"/>
                <w:szCs w:val="21"/>
                <w:color w:val="212529"/>
                <w:spacing w:val="2"/>
                <w:position w:val="1"/>
              </w:rPr>
              <w:t>173.87</w:t>
            </w:r>
          </w:p>
        </w:tc>
        <w:tc>
          <w:tcPr>
            <w:tcW w:w="1363" w:type="dxa"/>
            <w:vAlign w:val="top"/>
          </w:tcPr>
          <w:p>
            <w:pPr>
              <w:pStyle w:val="TableText"/>
              <w:ind w:right="32"/>
              <w:spacing w:before="79" w:line="281" w:lineRule="exact"/>
              <w:jc w:val="right"/>
              <w:rPr>
                <w:sz w:val="21"/>
                <w:szCs w:val="21"/>
              </w:rPr>
            </w:pPr>
            <w:r>
              <w:rPr>
                <w:sz w:val="21"/>
                <w:szCs w:val="21"/>
                <w:color w:val="212529"/>
                <w:spacing w:val="5"/>
                <w:position w:val="1"/>
              </w:rPr>
              <w:t>91.50</w:t>
            </w:r>
          </w:p>
        </w:tc>
        <w:tc>
          <w:tcPr>
            <w:tcW w:w="1415" w:type="dxa"/>
            <w:vAlign w:val="top"/>
          </w:tcPr>
          <w:p>
            <w:pPr>
              <w:pStyle w:val="TableText"/>
              <w:ind w:right="32"/>
              <w:spacing w:before="79" w:line="281" w:lineRule="exact"/>
              <w:jc w:val="right"/>
              <w:rPr>
                <w:sz w:val="21"/>
                <w:szCs w:val="21"/>
              </w:rPr>
            </w:pPr>
            <w:r>
              <w:rPr>
                <w:sz w:val="21"/>
                <w:szCs w:val="21"/>
                <w:color w:val="212529"/>
                <w:spacing w:val="5"/>
                <w:position w:val="1"/>
              </w:rPr>
              <w:t>82.37</w:t>
            </w:r>
          </w:p>
        </w:tc>
      </w:tr>
      <w:tr>
        <w:trPr>
          <w:trHeight w:val="374" w:hRule="atLeast"/>
        </w:trPr>
        <w:tc>
          <w:tcPr>
            <w:tcW w:w="181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66" w:type="dxa"/>
            <w:vAlign w:val="top"/>
          </w:tcPr>
          <w:p>
            <w:pPr>
              <w:pStyle w:val="TableText"/>
              <w:spacing w:before="80" w:line="227" w:lineRule="auto"/>
              <w:rPr>
                <w:sz w:val="21"/>
                <w:szCs w:val="21"/>
              </w:rPr>
            </w:pPr>
            <w:r>
              <w:rPr>
                <w:sz w:val="21"/>
                <w:szCs w:val="21"/>
                <w:color w:val="212529"/>
                <w:spacing w:val="13"/>
              </w:rPr>
              <w:t>社会保障和就业支出</w:t>
            </w:r>
          </w:p>
        </w:tc>
        <w:tc>
          <w:tcPr>
            <w:tcW w:w="1587" w:type="dxa"/>
            <w:vAlign w:val="top"/>
          </w:tcPr>
          <w:p>
            <w:pPr>
              <w:pStyle w:val="TableText"/>
              <w:ind w:right="26"/>
              <w:spacing w:before="80" w:line="281" w:lineRule="exact"/>
              <w:jc w:val="right"/>
              <w:rPr>
                <w:sz w:val="21"/>
                <w:szCs w:val="21"/>
              </w:rPr>
            </w:pPr>
            <w:r>
              <w:rPr>
                <w:sz w:val="21"/>
                <w:szCs w:val="21"/>
                <w:color w:val="212529"/>
                <w:spacing w:val="4"/>
                <w:position w:val="1"/>
              </w:rPr>
              <w:t>9.73</w:t>
            </w:r>
          </w:p>
        </w:tc>
        <w:tc>
          <w:tcPr>
            <w:tcW w:w="1363" w:type="dxa"/>
            <w:vAlign w:val="top"/>
          </w:tcPr>
          <w:p>
            <w:pPr>
              <w:pStyle w:val="TableText"/>
              <w:ind w:right="32"/>
              <w:spacing w:before="80" w:line="281" w:lineRule="exact"/>
              <w:jc w:val="right"/>
              <w:rPr>
                <w:sz w:val="21"/>
                <w:szCs w:val="21"/>
              </w:rPr>
            </w:pPr>
            <w:r>
              <w:rPr>
                <w:sz w:val="21"/>
                <w:szCs w:val="21"/>
                <w:color w:val="212529"/>
                <w:spacing w:val="4"/>
                <w:position w:val="1"/>
              </w:rPr>
              <w:t>9.73</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66" w:type="dxa"/>
            <w:vAlign w:val="top"/>
          </w:tcPr>
          <w:p>
            <w:pPr>
              <w:pStyle w:val="TableText"/>
              <w:spacing w:before="82" w:line="227" w:lineRule="auto"/>
              <w:rPr>
                <w:sz w:val="21"/>
                <w:szCs w:val="21"/>
              </w:rPr>
            </w:pPr>
            <w:r>
              <w:rPr>
                <w:sz w:val="21"/>
                <w:szCs w:val="21"/>
                <w:color w:val="212529"/>
                <w:spacing w:val="13"/>
              </w:rPr>
              <w:t>行政事业单位养老支出</w:t>
            </w:r>
          </w:p>
        </w:tc>
        <w:tc>
          <w:tcPr>
            <w:tcW w:w="1587" w:type="dxa"/>
            <w:vAlign w:val="top"/>
          </w:tcPr>
          <w:p>
            <w:pPr>
              <w:pStyle w:val="TableText"/>
              <w:ind w:right="26"/>
              <w:spacing w:before="81" w:line="281" w:lineRule="exact"/>
              <w:jc w:val="right"/>
              <w:rPr>
                <w:sz w:val="21"/>
                <w:szCs w:val="21"/>
              </w:rPr>
            </w:pPr>
            <w:r>
              <w:rPr>
                <w:sz w:val="21"/>
                <w:szCs w:val="21"/>
                <w:color w:val="212529"/>
                <w:spacing w:val="4"/>
                <w:position w:val="1"/>
              </w:rPr>
              <w:t>9.73</w:t>
            </w:r>
          </w:p>
        </w:tc>
        <w:tc>
          <w:tcPr>
            <w:tcW w:w="1363" w:type="dxa"/>
            <w:vAlign w:val="top"/>
          </w:tcPr>
          <w:p>
            <w:pPr>
              <w:pStyle w:val="TableText"/>
              <w:ind w:right="32"/>
              <w:spacing w:before="81" w:line="281" w:lineRule="exact"/>
              <w:jc w:val="right"/>
              <w:rPr>
                <w:sz w:val="21"/>
                <w:szCs w:val="21"/>
              </w:rPr>
            </w:pPr>
            <w:r>
              <w:rPr>
                <w:sz w:val="21"/>
                <w:szCs w:val="21"/>
                <w:color w:val="212529"/>
                <w:spacing w:val="4"/>
                <w:position w:val="1"/>
              </w:rPr>
              <w:t>9.73</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66" w:type="dxa"/>
            <w:vAlign w:val="top"/>
          </w:tcPr>
          <w:p>
            <w:pPr>
              <w:pStyle w:val="TableText"/>
              <w:ind w:right="115"/>
              <w:spacing w:before="23" w:line="209" w:lineRule="auto"/>
              <w:rPr>
                <w:sz w:val="21"/>
                <w:szCs w:val="21"/>
              </w:rPr>
            </w:pPr>
            <w:r>
              <w:rPr>
                <w:sz w:val="21"/>
                <w:szCs w:val="21"/>
                <w:color w:val="212529"/>
                <w:spacing w:val="13"/>
              </w:rPr>
              <w:t>机关事业单位基本养老</w:t>
            </w:r>
            <w:r>
              <w:rPr>
                <w:sz w:val="21"/>
                <w:szCs w:val="21"/>
                <w:color w:val="212529"/>
                <w:spacing w:val="4"/>
              </w:rPr>
              <w:t xml:space="preserve"> </w:t>
            </w:r>
            <w:r>
              <w:rPr>
                <w:sz w:val="21"/>
                <w:szCs w:val="21"/>
                <w:color w:val="212529"/>
                <w:spacing w:val="12"/>
              </w:rPr>
              <w:t>保险缴费支出</w:t>
            </w:r>
          </w:p>
        </w:tc>
        <w:tc>
          <w:tcPr>
            <w:tcW w:w="1587" w:type="dxa"/>
            <w:vAlign w:val="top"/>
          </w:tcPr>
          <w:p>
            <w:pPr>
              <w:pStyle w:val="TableText"/>
              <w:ind w:right="26"/>
              <w:spacing w:before="157" w:line="281" w:lineRule="exact"/>
              <w:jc w:val="right"/>
              <w:rPr>
                <w:sz w:val="21"/>
                <w:szCs w:val="21"/>
              </w:rPr>
            </w:pPr>
            <w:r>
              <w:rPr>
                <w:sz w:val="21"/>
                <w:szCs w:val="21"/>
                <w:color w:val="212529"/>
                <w:spacing w:val="4"/>
                <w:position w:val="1"/>
              </w:rPr>
              <w:t>9.73</w:t>
            </w:r>
          </w:p>
        </w:tc>
        <w:tc>
          <w:tcPr>
            <w:tcW w:w="1363" w:type="dxa"/>
            <w:vAlign w:val="top"/>
          </w:tcPr>
          <w:p>
            <w:pPr>
              <w:pStyle w:val="TableText"/>
              <w:ind w:right="32"/>
              <w:spacing w:before="157" w:line="281" w:lineRule="exact"/>
              <w:jc w:val="right"/>
              <w:rPr>
                <w:sz w:val="21"/>
                <w:szCs w:val="21"/>
              </w:rPr>
            </w:pPr>
            <w:r>
              <w:rPr>
                <w:sz w:val="21"/>
                <w:szCs w:val="21"/>
                <w:color w:val="212529"/>
                <w:spacing w:val="4"/>
                <w:position w:val="1"/>
              </w:rPr>
              <w:t>9.73</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66" w:type="dxa"/>
            <w:vAlign w:val="top"/>
          </w:tcPr>
          <w:p>
            <w:pPr>
              <w:pStyle w:val="TableText"/>
              <w:spacing w:before="84" w:line="227" w:lineRule="auto"/>
              <w:rPr>
                <w:sz w:val="21"/>
                <w:szCs w:val="21"/>
              </w:rPr>
            </w:pPr>
            <w:r>
              <w:rPr>
                <w:sz w:val="21"/>
                <w:szCs w:val="21"/>
                <w:color w:val="212529"/>
                <w:spacing w:val="12"/>
              </w:rPr>
              <w:t>卫生健康支出</w:t>
            </w:r>
          </w:p>
        </w:tc>
        <w:tc>
          <w:tcPr>
            <w:tcW w:w="1587" w:type="dxa"/>
            <w:vAlign w:val="top"/>
          </w:tcPr>
          <w:p>
            <w:pPr>
              <w:pStyle w:val="TableText"/>
              <w:ind w:right="26"/>
              <w:spacing w:before="83" w:line="281" w:lineRule="exact"/>
              <w:jc w:val="right"/>
              <w:rPr>
                <w:sz w:val="21"/>
                <w:szCs w:val="21"/>
              </w:rPr>
            </w:pPr>
            <w:r>
              <w:rPr>
                <w:sz w:val="21"/>
                <w:szCs w:val="21"/>
                <w:color w:val="212529"/>
                <w:spacing w:val="2"/>
                <w:position w:val="1"/>
              </w:rPr>
              <w:t>154.19</w:t>
            </w:r>
          </w:p>
        </w:tc>
        <w:tc>
          <w:tcPr>
            <w:tcW w:w="1363" w:type="dxa"/>
            <w:vAlign w:val="top"/>
          </w:tcPr>
          <w:p>
            <w:pPr>
              <w:pStyle w:val="TableText"/>
              <w:ind w:right="32"/>
              <w:spacing w:before="83" w:line="281" w:lineRule="exact"/>
              <w:jc w:val="right"/>
              <w:rPr>
                <w:sz w:val="21"/>
                <w:szCs w:val="21"/>
              </w:rPr>
            </w:pPr>
            <w:r>
              <w:rPr>
                <w:sz w:val="21"/>
                <w:szCs w:val="21"/>
                <w:color w:val="212529"/>
                <w:spacing w:val="4"/>
                <w:position w:val="1"/>
              </w:rPr>
              <w:t>71.82</w:t>
            </w:r>
          </w:p>
        </w:tc>
        <w:tc>
          <w:tcPr>
            <w:tcW w:w="1415" w:type="dxa"/>
            <w:vAlign w:val="top"/>
          </w:tcPr>
          <w:p>
            <w:pPr>
              <w:pStyle w:val="TableText"/>
              <w:ind w:right="32"/>
              <w:spacing w:before="83" w:line="281" w:lineRule="exact"/>
              <w:jc w:val="right"/>
              <w:rPr>
                <w:sz w:val="21"/>
                <w:szCs w:val="21"/>
              </w:rPr>
            </w:pPr>
            <w:r>
              <w:rPr>
                <w:sz w:val="21"/>
                <w:szCs w:val="21"/>
                <w:color w:val="212529"/>
                <w:spacing w:val="5"/>
                <w:position w:val="1"/>
              </w:rPr>
              <w:t>82.37</w:t>
            </w:r>
          </w:p>
        </w:tc>
      </w:tr>
      <w:tr>
        <w:trPr>
          <w:trHeight w:val="374" w:hRule="atLeast"/>
        </w:trPr>
        <w:tc>
          <w:tcPr>
            <w:tcW w:w="181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66" w:type="dxa"/>
            <w:vAlign w:val="top"/>
          </w:tcPr>
          <w:p>
            <w:pPr>
              <w:pStyle w:val="TableText"/>
              <w:spacing w:before="84" w:line="227" w:lineRule="auto"/>
              <w:rPr>
                <w:sz w:val="21"/>
                <w:szCs w:val="21"/>
              </w:rPr>
            </w:pPr>
            <w:r>
              <w:rPr>
                <w:sz w:val="21"/>
                <w:szCs w:val="21"/>
                <w:color w:val="212529"/>
                <w:spacing w:val="13"/>
              </w:rPr>
              <w:t>基层医疗卫生机构</w:t>
            </w:r>
          </w:p>
        </w:tc>
        <w:tc>
          <w:tcPr>
            <w:tcW w:w="1587" w:type="dxa"/>
            <w:vAlign w:val="top"/>
          </w:tcPr>
          <w:p>
            <w:pPr>
              <w:pStyle w:val="TableText"/>
              <w:ind w:right="26"/>
              <w:spacing w:before="84" w:line="280" w:lineRule="exact"/>
              <w:jc w:val="right"/>
              <w:rPr>
                <w:sz w:val="21"/>
                <w:szCs w:val="21"/>
              </w:rPr>
            </w:pPr>
            <w:r>
              <w:rPr>
                <w:sz w:val="21"/>
                <w:szCs w:val="21"/>
                <w:color w:val="212529"/>
                <w:spacing w:val="2"/>
                <w:position w:val="1"/>
              </w:rPr>
              <w:t>105.49</w:t>
            </w:r>
          </w:p>
        </w:tc>
        <w:tc>
          <w:tcPr>
            <w:tcW w:w="1363" w:type="dxa"/>
            <w:vAlign w:val="top"/>
          </w:tcPr>
          <w:p>
            <w:pPr>
              <w:pStyle w:val="TableText"/>
              <w:ind w:right="32"/>
              <w:spacing w:before="84" w:line="280" w:lineRule="exact"/>
              <w:jc w:val="right"/>
              <w:rPr>
                <w:sz w:val="21"/>
                <w:szCs w:val="21"/>
              </w:rPr>
            </w:pPr>
            <w:r>
              <w:rPr>
                <w:sz w:val="21"/>
                <w:szCs w:val="21"/>
                <w:color w:val="212529"/>
                <w:spacing w:val="4"/>
                <w:position w:val="1"/>
              </w:rPr>
              <w:t>68.01</w:t>
            </w:r>
          </w:p>
        </w:tc>
        <w:tc>
          <w:tcPr>
            <w:tcW w:w="1415" w:type="dxa"/>
            <w:vAlign w:val="top"/>
          </w:tcPr>
          <w:p>
            <w:pPr>
              <w:pStyle w:val="TableText"/>
              <w:ind w:right="32"/>
              <w:spacing w:before="84" w:line="280" w:lineRule="exact"/>
              <w:jc w:val="right"/>
              <w:rPr>
                <w:sz w:val="21"/>
                <w:szCs w:val="21"/>
              </w:rPr>
            </w:pPr>
            <w:r>
              <w:rPr>
                <w:sz w:val="21"/>
                <w:szCs w:val="21"/>
                <w:color w:val="212529"/>
                <w:spacing w:val="4"/>
                <w:position w:val="1"/>
              </w:rPr>
              <w:t>37.49</w:t>
            </w:r>
          </w:p>
        </w:tc>
      </w:tr>
      <w:tr>
        <w:trPr>
          <w:trHeight w:val="374" w:hRule="atLeast"/>
        </w:trPr>
        <w:tc>
          <w:tcPr>
            <w:tcW w:w="181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66" w:type="dxa"/>
            <w:vAlign w:val="top"/>
          </w:tcPr>
          <w:p>
            <w:pPr>
              <w:pStyle w:val="TableText"/>
              <w:ind w:left="8"/>
              <w:spacing w:before="86" w:line="227" w:lineRule="auto"/>
              <w:rPr>
                <w:sz w:val="21"/>
                <w:szCs w:val="21"/>
              </w:rPr>
            </w:pPr>
            <w:r>
              <w:rPr>
                <w:sz w:val="21"/>
                <w:szCs w:val="21"/>
                <w:color w:val="212529"/>
                <w:spacing w:val="10"/>
              </w:rPr>
              <w:t>乡镇卫生院</w:t>
            </w:r>
          </w:p>
        </w:tc>
        <w:tc>
          <w:tcPr>
            <w:tcW w:w="1587" w:type="dxa"/>
            <w:vAlign w:val="top"/>
          </w:tcPr>
          <w:p>
            <w:pPr>
              <w:pStyle w:val="TableText"/>
              <w:ind w:right="26"/>
              <w:spacing w:before="85" w:line="279" w:lineRule="exact"/>
              <w:jc w:val="right"/>
              <w:rPr>
                <w:sz w:val="21"/>
                <w:szCs w:val="21"/>
              </w:rPr>
            </w:pPr>
            <w:r>
              <w:rPr>
                <w:sz w:val="21"/>
                <w:szCs w:val="21"/>
                <w:color w:val="212529"/>
                <w:spacing w:val="5"/>
                <w:position w:val="1"/>
              </w:rPr>
              <w:t>82.29</w:t>
            </w:r>
          </w:p>
        </w:tc>
        <w:tc>
          <w:tcPr>
            <w:tcW w:w="1363" w:type="dxa"/>
            <w:vAlign w:val="top"/>
          </w:tcPr>
          <w:p>
            <w:pPr>
              <w:pStyle w:val="TableText"/>
              <w:ind w:right="32"/>
              <w:spacing w:before="85" w:line="279" w:lineRule="exact"/>
              <w:jc w:val="right"/>
              <w:rPr>
                <w:sz w:val="21"/>
                <w:szCs w:val="21"/>
              </w:rPr>
            </w:pPr>
            <w:r>
              <w:rPr>
                <w:sz w:val="21"/>
                <w:szCs w:val="21"/>
                <w:color w:val="212529"/>
                <w:spacing w:val="4"/>
                <w:position w:val="1"/>
              </w:rPr>
              <w:t>68.01</w:t>
            </w:r>
          </w:p>
        </w:tc>
        <w:tc>
          <w:tcPr>
            <w:tcW w:w="1415" w:type="dxa"/>
            <w:vAlign w:val="top"/>
          </w:tcPr>
          <w:p>
            <w:pPr>
              <w:pStyle w:val="TableText"/>
              <w:ind w:right="32"/>
              <w:spacing w:before="85" w:line="279" w:lineRule="exact"/>
              <w:jc w:val="right"/>
              <w:rPr>
                <w:sz w:val="21"/>
                <w:szCs w:val="21"/>
              </w:rPr>
            </w:pPr>
            <w:r>
              <w:rPr>
                <w:sz w:val="21"/>
                <w:szCs w:val="21"/>
                <w:color w:val="212529"/>
                <w:spacing w:val="2"/>
                <w:position w:val="1"/>
              </w:rPr>
              <w:t>14.28</w:t>
            </w:r>
          </w:p>
        </w:tc>
      </w:tr>
      <w:tr>
        <w:trPr>
          <w:trHeight w:val="509" w:hRule="atLeast"/>
        </w:trPr>
        <w:tc>
          <w:tcPr>
            <w:tcW w:w="181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66" w:type="dxa"/>
            <w:vAlign w:val="top"/>
          </w:tcPr>
          <w:p>
            <w:pPr>
              <w:pStyle w:val="TableText"/>
              <w:ind w:left="1" w:right="115" w:hanging="1"/>
              <w:spacing w:before="28" w:line="207" w:lineRule="auto"/>
              <w:rPr>
                <w:sz w:val="21"/>
                <w:szCs w:val="21"/>
              </w:rPr>
            </w:pPr>
            <w:r>
              <w:rPr>
                <w:sz w:val="21"/>
                <w:szCs w:val="21"/>
                <w:color w:val="212529"/>
                <w:spacing w:val="13"/>
              </w:rPr>
              <w:t>其他基层医疗卫生机构</w:t>
            </w:r>
            <w:r>
              <w:rPr>
                <w:sz w:val="21"/>
                <w:szCs w:val="21"/>
                <w:color w:val="212529"/>
                <w:spacing w:val="4"/>
              </w:rPr>
              <w:t xml:space="preserve"> </w:t>
            </w:r>
            <w:r>
              <w:rPr>
                <w:sz w:val="21"/>
                <w:szCs w:val="21"/>
                <w:color w:val="212529"/>
                <w:spacing w:val="7"/>
              </w:rPr>
              <w:t>支出</w:t>
            </w:r>
          </w:p>
        </w:tc>
        <w:tc>
          <w:tcPr>
            <w:tcW w:w="1587" w:type="dxa"/>
            <w:vAlign w:val="top"/>
          </w:tcPr>
          <w:p>
            <w:pPr>
              <w:pStyle w:val="TableText"/>
              <w:ind w:right="26"/>
              <w:spacing w:before="161" w:line="281" w:lineRule="exact"/>
              <w:jc w:val="right"/>
              <w:rPr>
                <w:sz w:val="21"/>
                <w:szCs w:val="21"/>
              </w:rPr>
            </w:pPr>
            <w:r>
              <w:rPr>
                <w:sz w:val="21"/>
                <w:szCs w:val="21"/>
                <w:color w:val="212529"/>
                <w:spacing w:val="4"/>
                <w:position w:val="1"/>
              </w:rPr>
              <w:t>23.20</w:t>
            </w:r>
          </w:p>
        </w:tc>
        <w:tc>
          <w:tcPr>
            <w:tcW w:w="1363" w:type="dxa"/>
            <w:vAlign w:val="top"/>
          </w:tcPr>
          <w:p>
            <w:pPr>
              <w:rPr>
                <w:rFonts w:ascii="Arial"/>
                <w:sz w:val="21"/>
              </w:rPr>
            </w:pPr>
            <w:r/>
          </w:p>
        </w:tc>
        <w:tc>
          <w:tcPr>
            <w:tcW w:w="1415" w:type="dxa"/>
            <w:vAlign w:val="top"/>
          </w:tcPr>
          <w:p>
            <w:pPr>
              <w:pStyle w:val="TableText"/>
              <w:ind w:right="32"/>
              <w:spacing w:before="161" w:line="281" w:lineRule="exact"/>
              <w:jc w:val="right"/>
              <w:rPr>
                <w:sz w:val="21"/>
                <w:szCs w:val="21"/>
              </w:rPr>
            </w:pPr>
            <w:r>
              <w:rPr>
                <w:sz w:val="21"/>
                <w:szCs w:val="21"/>
                <w:color w:val="212529"/>
                <w:spacing w:val="4"/>
                <w:position w:val="1"/>
              </w:rPr>
              <w:t>23.20</w:t>
            </w:r>
          </w:p>
        </w:tc>
      </w:tr>
      <w:tr>
        <w:trPr>
          <w:trHeight w:val="374" w:hRule="atLeast"/>
        </w:trPr>
        <w:tc>
          <w:tcPr>
            <w:tcW w:w="181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66" w:type="dxa"/>
            <w:vAlign w:val="top"/>
          </w:tcPr>
          <w:p>
            <w:pPr>
              <w:pStyle w:val="TableText"/>
              <w:ind w:left="5"/>
              <w:spacing w:before="88" w:line="227" w:lineRule="auto"/>
              <w:rPr>
                <w:sz w:val="21"/>
                <w:szCs w:val="21"/>
              </w:rPr>
            </w:pPr>
            <w:r>
              <w:rPr>
                <w:sz w:val="21"/>
                <w:szCs w:val="21"/>
                <w:color w:val="212529"/>
                <w:spacing w:val="9"/>
              </w:rPr>
              <w:t>公共卫生</w:t>
            </w:r>
          </w:p>
        </w:tc>
        <w:tc>
          <w:tcPr>
            <w:tcW w:w="1587" w:type="dxa"/>
            <w:vAlign w:val="top"/>
          </w:tcPr>
          <w:p>
            <w:pPr>
              <w:pStyle w:val="TableText"/>
              <w:ind w:right="26"/>
              <w:spacing w:before="87" w:line="277" w:lineRule="exact"/>
              <w:jc w:val="right"/>
              <w:rPr>
                <w:sz w:val="21"/>
                <w:szCs w:val="21"/>
              </w:rPr>
            </w:pPr>
            <w:r>
              <w:rPr>
                <w:sz w:val="21"/>
                <w:szCs w:val="21"/>
                <w:color w:val="212529"/>
                <w:spacing w:val="5"/>
                <w:position w:val="1"/>
              </w:rPr>
              <w:t>44.89</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5"/>
                <w:position w:val="1"/>
              </w:rPr>
              <w:t>44.89</w:t>
            </w:r>
          </w:p>
        </w:tc>
      </w:tr>
      <w:tr>
        <w:trPr>
          <w:trHeight w:val="374" w:hRule="atLeast"/>
        </w:trPr>
        <w:tc>
          <w:tcPr>
            <w:tcW w:w="1819" w:type="dxa"/>
            <w:vAlign w:val="top"/>
          </w:tcPr>
          <w:p>
            <w:pPr>
              <w:pStyle w:val="TableText"/>
              <w:ind w:left="11"/>
              <w:spacing w:before="88" w:line="242" w:lineRule="auto"/>
              <w:rPr>
                <w:sz w:val="21"/>
                <w:szCs w:val="21"/>
              </w:rPr>
            </w:pPr>
            <w:r>
              <w:rPr>
                <w:sz w:val="21"/>
                <w:szCs w:val="21"/>
                <w:color w:val="212529"/>
                <w:spacing w:val="5"/>
              </w:rPr>
              <w:t>2100401</w:t>
            </w:r>
          </w:p>
        </w:tc>
        <w:tc>
          <w:tcPr>
            <w:tcW w:w="2366" w:type="dxa"/>
            <w:vAlign w:val="top"/>
          </w:tcPr>
          <w:p>
            <w:pPr>
              <w:pStyle w:val="TableText"/>
              <w:spacing w:before="88" w:line="227" w:lineRule="auto"/>
              <w:rPr>
                <w:sz w:val="21"/>
                <w:szCs w:val="21"/>
              </w:rPr>
            </w:pPr>
            <w:r>
              <w:rPr>
                <w:sz w:val="21"/>
                <w:szCs w:val="21"/>
                <w:color w:val="212529"/>
                <w:spacing w:val="13"/>
              </w:rPr>
              <w:t>疾病预防控制机构</w:t>
            </w:r>
          </w:p>
        </w:tc>
        <w:tc>
          <w:tcPr>
            <w:tcW w:w="1587" w:type="dxa"/>
            <w:vAlign w:val="top"/>
          </w:tcPr>
          <w:p>
            <w:pPr>
              <w:pStyle w:val="TableText"/>
              <w:ind w:right="26"/>
              <w:spacing w:before="88" w:line="242" w:lineRule="auto"/>
              <w:jc w:val="right"/>
              <w:rPr>
                <w:sz w:val="21"/>
                <w:szCs w:val="21"/>
              </w:rPr>
            </w:pPr>
            <w:r>
              <w:rPr>
                <w:sz w:val="21"/>
                <w:szCs w:val="21"/>
                <w:color w:val="212529"/>
                <w:spacing w:val="4"/>
              </w:rPr>
              <w:t>0.04</w:t>
            </w:r>
          </w:p>
        </w:tc>
        <w:tc>
          <w:tcPr>
            <w:tcW w:w="1363" w:type="dxa"/>
            <w:vAlign w:val="top"/>
          </w:tcPr>
          <w:p>
            <w:pPr>
              <w:rPr>
                <w:rFonts w:ascii="Arial"/>
                <w:sz w:val="21"/>
              </w:rPr>
            </w:pPr>
            <w:r/>
          </w:p>
        </w:tc>
        <w:tc>
          <w:tcPr>
            <w:tcW w:w="1415" w:type="dxa"/>
            <w:vAlign w:val="top"/>
          </w:tcPr>
          <w:p>
            <w:pPr>
              <w:pStyle w:val="TableText"/>
              <w:ind w:right="32"/>
              <w:spacing w:before="88" w:line="242" w:lineRule="auto"/>
              <w:jc w:val="right"/>
              <w:rPr>
                <w:sz w:val="21"/>
                <w:szCs w:val="21"/>
              </w:rPr>
            </w:pPr>
            <w:r>
              <w:rPr>
                <w:sz w:val="21"/>
                <w:szCs w:val="21"/>
                <w:color w:val="212529"/>
                <w:spacing w:val="4"/>
              </w:rPr>
              <w:t>0.04</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2100408</w:t>
            </w:r>
          </w:p>
        </w:tc>
        <w:tc>
          <w:tcPr>
            <w:tcW w:w="2366" w:type="dxa"/>
            <w:vAlign w:val="top"/>
          </w:tcPr>
          <w:p>
            <w:pPr>
              <w:pStyle w:val="TableText"/>
              <w:spacing w:before="89" w:line="227" w:lineRule="auto"/>
              <w:rPr>
                <w:sz w:val="21"/>
                <w:szCs w:val="21"/>
              </w:rPr>
            </w:pPr>
            <w:r>
              <w:rPr>
                <w:sz w:val="21"/>
                <w:szCs w:val="21"/>
                <w:color w:val="212529"/>
                <w:spacing w:val="13"/>
              </w:rPr>
              <w:t>基本公共卫生服务</w:t>
            </w:r>
          </w:p>
        </w:tc>
        <w:tc>
          <w:tcPr>
            <w:tcW w:w="1587" w:type="dxa"/>
            <w:vAlign w:val="top"/>
          </w:tcPr>
          <w:p>
            <w:pPr>
              <w:pStyle w:val="TableText"/>
              <w:ind w:right="26"/>
              <w:spacing w:before="89" w:line="242" w:lineRule="auto"/>
              <w:jc w:val="right"/>
              <w:rPr>
                <w:sz w:val="21"/>
                <w:szCs w:val="21"/>
              </w:rPr>
            </w:pPr>
            <w:r>
              <w:rPr>
                <w:sz w:val="21"/>
                <w:szCs w:val="21"/>
                <w:color w:val="212529"/>
                <w:spacing w:val="5"/>
              </w:rPr>
              <w:t>44.85</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5"/>
              </w:rPr>
              <w:t>44.85</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21011</w:t>
            </w:r>
          </w:p>
        </w:tc>
        <w:tc>
          <w:tcPr>
            <w:tcW w:w="2366" w:type="dxa"/>
            <w:vAlign w:val="top"/>
          </w:tcPr>
          <w:p>
            <w:pPr>
              <w:pStyle w:val="TableText"/>
              <w:spacing w:before="89" w:line="228" w:lineRule="auto"/>
              <w:rPr>
                <w:sz w:val="21"/>
                <w:szCs w:val="21"/>
              </w:rPr>
            </w:pPr>
            <w:r>
              <w:rPr>
                <w:sz w:val="21"/>
                <w:szCs w:val="21"/>
                <w:color w:val="212529"/>
                <w:spacing w:val="13"/>
              </w:rPr>
              <w:t>行政事业单位医疗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3"/>
              </w:rPr>
              <w:t>3.81</w:t>
            </w:r>
          </w:p>
        </w:tc>
        <w:tc>
          <w:tcPr>
            <w:tcW w:w="1363" w:type="dxa"/>
            <w:vAlign w:val="top"/>
          </w:tcPr>
          <w:p>
            <w:pPr>
              <w:pStyle w:val="TableText"/>
              <w:ind w:right="32"/>
              <w:spacing w:before="89" w:line="242" w:lineRule="auto"/>
              <w:jc w:val="right"/>
              <w:rPr>
                <w:sz w:val="21"/>
                <w:szCs w:val="21"/>
              </w:rPr>
            </w:pPr>
            <w:r>
              <w:rPr>
                <w:sz w:val="21"/>
                <w:szCs w:val="21"/>
                <w:color w:val="212529"/>
                <w:spacing w:val="3"/>
              </w:rPr>
              <w:t>3.81</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2101102</w:t>
            </w:r>
          </w:p>
        </w:tc>
        <w:tc>
          <w:tcPr>
            <w:tcW w:w="2366" w:type="dxa"/>
            <w:vAlign w:val="top"/>
          </w:tcPr>
          <w:p>
            <w:pPr>
              <w:pStyle w:val="TableText"/>
              <w:spacing w:before="89" w:line="228" w:lineRule="auto"/>
              <w:rPr>
                <w:sz w:val="21"/>
                <w:szCs w:val="21"/>
              </w:rPr>
            </w:pPr>
            <w:r>
              <w:rPr>
                <w:sz w:val="21"/>
                <w:szCs w:val="21"/>
                <w:color w:val="212529"/>
                <w:spacing w:val="12"/>
              </w:rPr>
              <w:t>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3"/>
              </w:rPr>
              <w:t>3.81</w:t>
            </w:r>
          </w:p>
        </w:tc>
        <w:tc>
          <w:tcPr>
            <w:tcW w:w="1363" w:type="dxa"/>
            <w:vAlign w:val="top"/>
          </w:tcPr>
          <w:p>
            <w:pPr>
              <w:pStyle w:val="TableText"/>
              <w:ind w:right="32"/>
              <w:spacing w:before="89" w:line="242" w:lineRule="auto"/>
              <w:jc w:val="right"/>
              <w:rPr>
                <w:sz w:val="21"/>
                <w:szCs w:val="21"/>
              </w:rPr>
            </w:pPr>
            <w:r>
              <w:rPr>
                <w:sz w:val="21"/>
                <w:szCs w:val="21"/>
                <w:color w:val="212529"/>
                <w:spacing w:val="3"/>
              </w:rPr>
              <w:t>3.81</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2"/>
              </w:rPr>
              <w:t>221</w:t>
            </w:r>
          </w:p>
        </w:tc>
        <w:tc>
          <w:tcPr>
            <w:tcW w:w="2366" w:type="dxa"/>
            <w:vAlign w:val="top"/>
          </w:tcPr>
          <w:p>
            <w:pPr>
              <w:pStyle w:val="TableText"/>
              <w:spacing w:before="90" w:line="227" w:lineRule="auto"/>
              <w:rPr>
                <w:sz w:val="21"/>
                <w:szCs w:val="21"/>
              </w:rPr>
            </w:pPr>
            <w:r>
              <w:rPr>
                <w:sz w:val="21"/>
                <w:szCs w:val="21"/>
                <w:color w:val="212529"/>
                <w:spacing w:val="12"/>
              </w:rPr>
              <w:t>住房保障支出</w:t>
            </w:r>
          </w:p>
        </w:tc>
        <w:tc>
          <w:tcPr>
            <w:tcW w:w="1587" w:type="dxa"/>
            <w:vAlign w:val="top"/>
          </w:tcPr>
          <w:p>
            <w:pPr>
              <w:pStyle w:val="TableText"/>
              <w:ind w:right="26"/>
              <w:spacing w:before="89" w:line="242" w:lineRule="auto"/>
              <w:jc w:val="right"/>
              <w:rPr>
                <w:sz w:val="21"/>
                <w:szCs w:val="21"/>
              </w:rPr>
            </w:pPr>
            <w:r>
              <w:rPr>
                <w:sz w:val="21"/>
                <w:szCs w:val="21"/>
                <w:color w:val="212529"/>
                <w:spacing w:val="4"/>
              </w:rPr>
              <w:t>9.95</w:t>
            </w:r>
          </w:p>
        </w:tc>
        <w:tc>
          <w:tcPr>
            <w:tcW w:w="1363" w:type="dxa"/>
            <w:vAlign w:val="top"/>
          </w:tcPr>
          <w:p>
            <w:pPr>
              <w:pStyle w:val="TableText"/>
              <w:ind w:right="32"/>
              <w:spacing w:before="89" w:line="242" w:lineRule="auto"/>
              <w:jc w:val="right"/>
              <w:rPr>
                <w:sz w:val="21"/>
                <w:szCs w:val="21"/>
              </w:rPr>
            </w:pPr>
            <w:r>
              <w:rPr>
                <w:sz w:val="21"/>
                <w:szCs w:val="21"/>
                <w:color w:val="212529"/>
                <w:spacing w:val="4"/>
              </w:rPr>
              <w:t>9.95</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22102</w:t>
            </w:r>
          </w:p>
        </w:tc>
        <w:tc>
          <w:tcPr>
            <w:tcW w:w="2366" w:type="dxa"/>
            <w:vAlign w:val="top"/>
          </w:tcPr>
          <w:p>
            <w:pPr>
              <w:pStyle w:val="TableText"/>
              <w:spacing w:before="90" w:line="227" w:lineRule="auto"/>
              <w:rPr>
                <w:sz w:val="21"/>
                <w:szCs w:val="21"/>
              </w:rPr>
            </w:pPr>
            <w:r>
              <w:rPr>
                <w:sz w:val="21"/>
                <w:szCs w:val="21"/>
                <w:color w:val="212529"/>
                <w:spacing w:val="12"/>
              </w:rPr>
              <w:t>住房改革支出</w:t>
            </w:r>
          </w:p>
        </w:tc>
        <w:tc>
          <w:tcPr>
            <w:tcW w:w="1587" w:type="dxa"/>
            <w:vAlign w:val="top"/>
          </w:tcPr>
          <w:p>
            <w:pPr>
              <w:pStyle w:val="TableText"/>
              <w:ind w:right="26"/>
              <w:spacing w:before="89" w:line="242" w:lineRule="auto"/>
              <w:jc w:val="right"/>
              <w:rPr>
                <w:sz w:val="21"/>
                <w:szCs w:val="21"/>
              </w:rPr>
            </w:pPr>
            <w:r>
              <w:rPr>
                <w:sz w:val="21"/>
                <w:szCs w:val="21"/>
                <w:color w:val="212529"/>
                <w:spacing w:val="4"/>
              </w:rPr>
              <w:t>9.95</w:t>
            </w:r>
          </w:p>
        </w:tc>
        <w:tc>
          <w:tcPr>
            <w:tcW w:w="1363" w:type="dxa"/>
            <w:vAlign w:val="top"/>
          </w:tcPr>
          <w:p>
            <w:pPr>
              <w:pStyle w:val="TableText"/>
              <w:ind w:right="32"/>
              <w:spacing w:before="89" w:line="242" w:lineRule="auto"/>
              <w:jc w:val="right"/>
              <w:rPr>
                <w:sz w:val="21"/>
                <w:szCs w:val="21"/>
              </w:rPr>
            </w:pPr>
            <w:r>
              <w:rPr>
                <w:sz w:val="21"/>
                <w:szCs w:val="21"/>
                <w:color w:val="212529"/>
                <w:spacing w:val="4"/>
              </w:rPr>
              <w:t>9.95</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2210201</w:t>
            </w:r>
          </w:p>
        </w:tc>
        <w:tc>
          <w:tcPr>
            <w:tcW w:w="2366" w:type="dxa"/>
            <w:vAlign w:val="top"/>
          </w:tcPr>
          <w:p>
            <w:pPr>
              <w:pStyle w:val="TableText"/>
              <w:spacing w:before="89" w:line="228" w:lineRule="auto"/>
              <w:rPr>
                <w:sz w:val="21"/>
                <w:szCs w:val="21"/>
              </w:rPr>
            </w:pPr>
            <w:r>
              <w:rPr>
                <w:sz w:val="21"/>
                <w:szCs w:val="21"/>
                <w:color w:val="212529"/>
                <w:spacing w:val="12"/>
              </w:rPr>
              <w:t>住房公积金</w:t>
            </w:r>
          </w:p>
        </w:tc>
        <w:tc>
          <w:tcPr>
            <w:tcW w:w="1587" w:type="dxa"/>
            <w:vAlign w:val="top"/>
          </w:tcPr>
          <w:p>
            <w:pPr>
              <w:pStyle w:val="TableText"/>
              <w:ind w:right="26"/>
              <w:spacing w:before="89" w:line="242" w:lineRule="auto"/>
              <w:jc w:val="right"/>
              <w:rPr>
                <w:sz w:val="21"/>
                <w:szCs w:val="21"/>
              </w:rPr>
            </w:pPr>
            <w:r>
              <w:rPr>
                <w:sz w:val="21"/>
                <w:szCs w:val="21"/>
                <w:color w:val="212529"/>
                <w:spacing w:val="4"/>
              </w:rPr>
              <w:t>9.95</w:t>
            </w:r>
          </w:p>
        </w:tc>
        <w:tc>
          <w:tcPr>
            <w:tcW w:w="1363" w:type="dxa"/>
            <w:vAlign w:val="top"/>
          </w:tcPr>
          <w:p>
            <w:pPr>
              <w:pStyle w:val="TableText"/>
              <w:ind w:right="32"/>
              <w:spacing w:before="89" w:line="242" w:lineRule="auto"/>
              <w:jc w:val="right"/>
              <w:rPr>
                <w:sz w:val="21"/>
                <w:szCs w:val="21"/>
              </w:rPr>
            </w:pPr>
            <w:r>
              <w:rPr>
                <w:sz w:val="21"/>
                <w:szCs w:val="21"/>
                <w:color w:val="212529"/>
                <w:spacing w:val="4"/>
              </w:rPr>
              <w:t>9.95</w:t>
            </w:r>
          </w:p>
        </w:tc>
        <w:tc>
          <w:tcPr>
            <w:tcW w:w="141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3"/>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部门名称：兴县蔡家崖乡卫生院杨家坡分院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88.95</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2.55</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33.62</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3"/>
              <w:spacing w:before="175" w:line="238" w:lineRule="auto"/>
              <w:jc w:val="right"/>
              <w:rPr/>
            </w:pPr>
            <w:r>
              <w:rPr>
                <w:color w:val="212529"/>
                <w:spacing w:val="-4"/>
              </w:rPr>
              <w:t>13.04</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3"/>
              <w:spacing w:before="178" w:line="238" w:lineRule="auto"/>
              <w:jc w:val="right"/>
              <w:rPr/>
            </w:pPr>
            <w:r>
              <w:rPr>
                <w:color w:val="212529"/>
                <w:spacing w:val="-4"/>
              </w:rPr>
              <w:t>18.62</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9.73</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4"/>
              <w:spacing w:before="181" w:line="238" w:lineRule="auto"/>
              <w:jc w:val="right"/>
              <w:rPr/>
            </w:pPr>
            <w:r>
              <w:rPr>
                <w:color w:val="212529"/>
                <w:spacing w:val="-2"/>
              </w:rPr>
              <w:t>3.77</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1"/>
              <w:spacing w:before="181" w:line="238" w:lineRule="auto"/>
              <w:jc w:val="right"/>
              <w:rPr/>
            </w:pPr>
            <w:r>
              <w:rPr>
                <w:color w:val="212529"/>
                <w:spacing w:val="-2"/>
              </w:rPr>
              <w:t>2.25</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0.22</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5"/>
              <w:spacing w:before="184" w:line="238" w:lineRule="auto"/>
              <w:jc w:val="right"/>
              <w:rPr/>
            </w:pPr>
            <w:r>
              <w:rPr>
                <w:color w:val="212529"/>
                <w:spacing w:val="-2"/>
              </w:rPr>
              <w:t>9.95</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rPr>
                <w:rFonts w:ascii="Arial"/>
                <w:sz w:val="21"/>
              </w:rPr>
            </w:pPr>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rPr>
                <w:rFonts w:ascii="Arial"/>
                <w:sz w:val="21"/>
              </w:rPr>
            </w:pPr>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0.30</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88.95</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2.55</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部门名称：兴县蔡家崖乡卫生院杨家坡分院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9"/>
          <w:footerReference w:type="default" r:id="rId20"/>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部门名称：兴县蔡家崖乡卫生院杨家坡分院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7"/>
          <w:footerReference w:type="default" r:id="rId21"/>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部门名称：兴县蔡家崖乡卫生</w:t>
            </w:r>
            <w:r>
              <w:rPr>
                <w:color w:val="212529"/>
                <w:spacing w:val="2"/>
              </w:rPr>
              <w:t xml:space="preserve"> </w:t>
            </w:r>
            <w:r>
              <w:rPr>
                <w:color w:val="212529"/>
                <w:spacing w:val="-3"/>
              </w:rPr>
              <w:t>院杨家坡分院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5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单位名称：兴县蔡家崖乡卫生院杨家坡分院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9"/>
          <w:footerReference w:type="default" r:id="rId23"/>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2024年度收入总计186.86万元，支出总计186.86万元。与上年相比，收入总计减少28.80</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万元，下降13.35%，支出总计减少28.80万元，下降13.35%。主要原因是公共卫生资金减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2024年度收入合计184.27万元，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财政拨款收入173.87万元，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占比94.35%；</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事业收入1.93万元，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占比1.05%；</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其他收入8.48万元，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占比4.60%。</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2024年度支出合计184.10万元，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基本支出101.73万元，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占比55.26%；</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项目支出82.37万元，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占比44.74%。</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2024年度财政拨款收入总计173.87万元，支出总计173</w:t>
      </w:r>
      <w:r>
        <w:rPr>
          <w:rFonts w:ascii="FangSong" w:hAnsi="FangSong" w:eastAsia="FangSong" w:cs="FangSong"/>
          <w:sz w:val="23"/>
          <w:szCs w:val="23"/>
          <w:spacing w:val="4"/>
        </w:rPr>
        <w:t>.87万元。与上年相比，财政拨款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收入总计减少21.10万元，下降10.82%；财政拨款支出总计减少21.10万元，下降10.82%。主</w:t>
      </w:r>
      <w:r>
        <w:rPr>
          <w:rFonts w:ascii="FangSong" w:hAnsi="FangSong" w:eastAsia="FangSong" w:cs="FangSong"/>
          <w:sz w:val="23"/>
          <w:szCs w:val="23"/>
          <w:spacing w:val="2"/>
        </w:rPr>
        <w:t xml:space="preserve"> </w:t>
      </w:r>
      <w:r>
        <w:rPr>
          <w:rFonts w:ascii="FangSong" w:hAnsi="FangSong" w:eastAsia="FangSong" w:cs="FangSong"/>
          <w:sz w:val="23"/>
          <w:szCs w:val="23"/>
          <w:spacing w:val="-1"/>
        </w:rPr>
        <w:t>要原因是公共卫生资金减少，基本药物补助资金减少。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2024年一般公共预算财政拨款决算支出173.87万元，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占本年支出合计的94.44%。与上年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相比，一般公共预算财政拨款支出减少21.10万元，下降10.82%。主要原因是公共卫生资金减</w:t>
      </w:r>
      <w:r>
        <w:rPr>
          <w:rFonts w:ascii="FangSong" w:hAnsi="FangSong" w:eastAsia="FangSong" w:cs="FangSong"/>
          <w:sz w:val="23"/>
          <w:szCs w:val="23"/>
          <w:spacing w:val="4"/>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2024年度一般公共预算财政拨款支出173.87万元，主要用于以下方面：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社会保障和就业支出(类)9.73万元，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5.60%；</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卫生健康支出(类)154.19万元，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占比88.68%；</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住房保障支出(类)9.95万元，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占比5.72%。</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2024年度一般公共预算财政拨款支出年初预算173.88万元</w:t>
      </w:r>
      <w:r>
        <w:rPr>
          <w:rFonts w:ascii="FangSong" w:hAnsi="FangSong" w:eastAsia="FangSong" w:cs="FangSong"/>
          <w:sz w:val="23"/>
          <w:szCs w:val="23"/>
          <w:spacing w:val="4"/>
        </w:rPr>
        <w:t>，支出决算173.87万元，完成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年初预算的99.99%。其中：</w:t>
      </w:r>
    </w:p>
    <w:p>
      <w:pPr>
        <w:ind w:left="1263" w:right="1223" w:firstLine="461"/>
        <w:spacing w:before="1" w:line="325" w:lineRule="auto"/>
        <w:jc w:val="both"/>
        <w:rPr>
          <w:rFonts w:ascii="FangSong" w:hAnsi="FangSong" w:eastAsia="FangSong" w:cs="FangSong"/>
          <w:sz w:val="23"/>
          <w:szCs w:val="23"/>
        </w:rPr>
      </w:pPr>
      <w:r>
        <w:rPr>
          <w:rFonts w:ascii="FangSong" w:hAnsi="FangSong" w:eastAsia="FangSong" w:cs="FangSong"/>
          <w:sz w:val="23"/>
          <w:szCs w:val="23"/>
          <w:spacing w:val="2"/>
        </w:rPr>
        <w:t>社会保障和就业支出年初预算9.73万元，支出决算9.73万元，完成年初预算的100.00%，</w:t>
      </w:r>
      <w:r>
        <w:rPr>
          <w:rFonts w:ascii="FangSong" w:hAnsi="FangSong" w:eastAsia="FangSong" w:cs="FangSong"/>
          <w:sz w:val="23"/>
          <w:szCs w:val="23"/>
          <w:spacing w:val="3"/>
        </w:rPr>
        <w:t xml:space="preserve"> </w:t>
      </w:r>
      <w:r>
        <w:rPr>
          <w:rFonts w:ascii="FangSong" w:hAnsi="FangSong" w:eastAsia="FangSong" w:cs="FangSong"/>
          <w:sz w:val="23"/>
          <w:szCs w:val="23"/>
          <w:spacing w:val="5"/>
        </w:rPr>
        <w:t>用于缴纳在职人员，退休人员养老金等社保。较上年决算减少3.18</w:t>
      </w:r>
      <w:r>
        <w:rPr>
          <w:rFonts w:ascii="FangSong" w:hAnsi="FangSong" w:eastAsia="FangSong" w:cs="FangSong"/>
          <w:sz w:val="23"/>
          <w:szCs w:val="23"/>
          <w:spacing w:val="4"/>
        </w:rPr>
        <w:t>万元，下降24.63%，主要</w:t>
      </w:r>
      <w:r>
        <w:rPr>
          <w:rFonts w:ascii="FangSong" w:hAnsi="FangSong" w:eastAsia="FangSong" w:cs="FangSong"/>
          <w:sz w:val="23"/>
          <w:szCs w:val="23"/>
        </w:rPr>
        <w:t xml:space="preserve"> </w:t>
      </w:r>
      <w:r>
        <w:rPr>
          <w:rFonts w:ascii="FangSong" w:hAnsi="FangSong" w:eastAsia="FangSong" w:cs="FangSong"/>
          <w:sz w:val="23"/>
          <w:szCs w:val="23"/>
          <w:spacing w:val="-1"/>
        </w:rPr>
        <w:t>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卫生健康支出年初预算154.20万元，支出决算154.19万元，完成年初预算的99.99%，用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于公共卫生支出、基本药物补助支出。较上年决算减少17.80万元，下降10.35%，主要原因是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住房保障支出年初预算9.95万元，支出决算9.95万元，完成年初预算的100.00%，用于缴</w:t>
      </w:r>
      <w:r>
        <w:rPr>
          <w:rFonts w:ascii="FangSong" w:hAnsi="FangSong" w:eastAsia="FangSong" w:cs="FangSong"/>
          <w:sz w:val="23"/>
          <w:szCs w:val="23"/>
          <w:spacing w:val="3"/>
        </w:rPr>
        <w:t xml:space="preserve"> </w:t>
      </w:r>
      <w:r>
        <w:rPr>
          <w:rFonts w:ascii="FangSong" w:hAnsi="FangSong" w:eastAsia="FangSong" w:cs="FangSong"/>
          <w:sz w:val="23"/>
          <w:szCs w:val="23"/>
          <w:spacing w:val="2"/>
        </w:rPr>
        <w:t>纳在职人员住房公积金。较上年决算减少0.12万元，下降1.19%，主要原因是本年度住房公积</w:t>
      </w:r>
      <w:r>
        <w:rPr>
          <w:rFonts w:ascii="FangSong" w:hAnsi="FangSong" w:eastAsia="FangSong" w:cs="FangSong"/>
          <w:sz w:val="23"/>
          <w:szCs w:val="23"/>
          <w:spacing w:val="6"/>
        </w:rPr>
        <w:t xml:space="preserve"> </w:t>
      </w:r>
      <w:r>
        <w:rPr>
          <w:rFonts w:ascii="FangSong" w:hAnsi="FangSong" w:eastAsia="FangSong" w:cs="FangSong"/>
          <w:sz w:val="23"/>
          <w:szCs w:val="23"/>
          <w:spacing w:val="-3"/>
        </w:rPr>
        <w:t>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2024年度财政拨款基本支出91.50万元，其中：</w:t>
      </w:r>
    </w:p>
    <w:p>
      <w:pPr>
        <w:ind w:left="1496" w:right="5001"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人员经费88.95万元，主要包括基本工资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33.62万元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13.04万元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4"/>
        </w:rPr>
        <w:t>绩效工资</w:t>
      </w:r>
      <w:r>
        <w:rPr>
          <w:rFonts w:ascii="FangSong" w:hAnsi="FangSong" w:eastAsia="FangSong" w:cs="FangSong"/>
          <w:sz w:val="23"/>
          <w:szCs w:val="23"/>
          <w:spacing w:val="29"/>
        </w:rPr>
        <w:t xml:space="preserve"> </w:t>
      </w:r>
      <w:r>
        <w:rPr>
          <w:rFonts w:ascii="FangSong" w:hAnsi="FangSong" w:eastAsia="FangSong" w:cs="FangSong"/>
          <w:sz w:val="23"/>
          <w:szCs w:val="23"/>
          <w:spacing w:val="-4"/>
        </w:rPr>
        <w:t>18.62万元</w:t>
      </w:r>
    </w:p>
    <w:p>
      <w:pPr>
        <w:ind w:left="1493" w:right="6154"/>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9.73万元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3.77万元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0.22万元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9.95万元；</w:t>
      </w:r>
    </w:p>
    <w:p>
      <w:pPr>
        <w:ind w:left="1500" w:right="5463" w:firstLine="229"/>
        <w:spacing w:before="2" w:line="322" w:lineRule="auto"/>
        <w:rPr>
          <w:rFonts w:ascii="FangSong" w:hAnsi="FangSong" w:eastAsia="FangSong" w:cs="FangSong"/>
          <w:sz w:val="23"/>
          <w:szCs w:val="23"/>
        </w:rPr>
      </w:pPr>
      <w:r>
        <w:rPr>
          <w:rFonts w:ascii="FangSong" w:hAnsi="FangSong" w:eastAsia="FangSong" w:cs="FangSong"/>
          <w:sz w:val="23"/>
          <w:szCs w:val="23"/>
          <w:spacing w:val="-1"/>
        </w:rPr>
        <w:t>公用经费2.55万元，主要包括取暖费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2.25万元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0.30万元。</w:t>
      </w:r>
    </w:p>
    <w:p>
      <w:pPr>
        <w:ind w:left="1716"/>
        <w:spacing w:before="3" w:line="229"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27" w:line="325"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1"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spacing w:line="271"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1268" w:right="1223"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36"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34"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资金63.13万元：7个项目自评等级为“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2"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7"/>
          <w:footerReference w:type="default" r:id="rId28"/>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04" style="position:absolute;margin-left:312.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638.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745" w:lineRule="exact"/>
        <w:rPr/>
      </w:pPr>
      <w:r>
        <w:pict>
          <v:shape id="_x0000_s208" style="position:absolute;margin-left:86.92pt;margin-top:228.073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10"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981825" cy="5553075"/>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6981825" cy="5553075"/>
                    </a:xfrm>
                    <a:prstGeom prst="rect">
                      <a:avLst/>
                    </a:prstGeom>
                  </pic:spPr>
                </pic:pic>
              </a:graphicData>
            </a:graphic>
          </wp:inline>
        </w:drawing>
      </w:r>
    </w:p>
    <w:p>
      <w:pPr>
        <w:spacing w:line="8745" w:lineRule="exact"/>
        <w:sectPr>
          <w:headerReference w:type="default" r:id="rId30"/>
          <w:footerReference w:type="default" r:id="rId31"/>
          <w:pgSz w:w="16840" w:h="11900"/>
          <w:pgMar w:top="642" w:right="0" w:bottom="340" w:left="0" w:header="326" w:footer="111" w:gutter="0"/>
        </w:sectPr>
        <w:rPr/>
      </w:pPr>
    </w:p>
    <w:p>
      <w:pPr>
        <w:spacing w:line="267" w:lineRule="auto"/>
        <w:rPr>
          <w:rFonts w:ascii="Arial"/>
          <w:sz w:val="21"/>
        </w:rPr>
      </w:pPr>
      <w:r>
        <w:pict>
          <v:shape id="_x0000_s212" style="position:absolute;margin-left:312.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790" w:lineRule="exact"/>
        <w:rPr/>
      </w:pPr>
      <w:r>
        <w:pict>
          <v:shape id="_x0000_s216"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18" style="position:absolute;margin-left:-45.0434pt;margin-top:347.362pt;mso-position-vertical-relative:text;mso-position-horizontal-relative:text;width:609.35pt;height:22.25pt;z-index:251669504;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6981825" cy="5581650"/>
            <wp:effectExtent l="0" t="0" r="0" b="0"/>
            <wp:docPr id="4" name="IM 4"/>
            <wp:cNvGraphicFramePr/>
            <a:graphic>
              <a:graphicData uri="http://schemas.openxmlformats.org/drawingml/2006/picture">
                <pic:pic>
                  <pic:nvPicPr>
                    <pic:cNvPr id="4" name="IM 4"/>
                    <pic:cNvPicPr/>
                  </pic:nvPicPr>
                  <pic:blipFill>
                    <a:blip r:embed="rId34"/>
                    <a:stretch>
                      <a:fillRect/>
                    </a:stretch>
                  </pic:blipFill>
                  <pic:spPr>
                    <a:xfrm rot="0">
                      <a:off x="0" y="0"/>
                      <a:ext cx="6981825" cy="5581650"/>
                    </a:xfrm>
                    <a:prstGeom prst="rect">
                      <a:avLst/>
                    </a:prstGeom>
                  </pic:spPr>
                </pic:pic>
              </a:graphicData>
            </a:graphic>
          </wp:inline>
        </w:drawing>
      </w:r>
    </w:p>
    <w:p>
      <w:pPr>
        <w:spacing w:line="8790" w:lineRule="exact"/>
        <w:sectPr>
          <w:footerReference w:type="default" r:id="rId33"/>
          <w:pgSz w:w="16840" w:h="11900"/>
          <w:pgMar w:top="642" w:right="0" w:bottom="340" w:left="0" w:header="326" w:footer="111" w:gutter="0"/>
        </w:sectPr>
        <w:rPr/>
      </w:pPr>
    </w:p>
    <w:p>
      <w:pPr>
        <w:spacing w:line="267" w:lineRule="auto"/>
        <w:rPr>
          <w:rFonts w:ascii="Arial"/>
          <w:sz w:val="21"/>
        </w:rPr>
      </w:pPr>
      <w:r>
        <w:pict>
          <v:shape id="_x0000_s220" style="position:absolute;margin-left:638.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12.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715" w:lineRule="exact"/>
        <w:rPr/>
      </w:pPr>
      <w:r>
        <w:pict>
          <v:shape id="_x0000_s224" style="position:absolute;margin-left:-45.0434pt;margin-top:347.362pt;mso-position-vertical-relative:text;mso-position-horizontal-relative:text;width:609.35pt;height:22.25pt;z-index:251672576;rotation:330;" fillcolor="#404040" filled="true" stroked="false" type="#_x0000_t136">
            <v:fill opacity="0.400000"/>
            <v:textpath style="font-family:&quot;SimSun&quot;;font-size:20;v-text-kern:t;mso-text-shadow:auto" string="仅供内部审核                                     仅供内部审核"/>
          </v:shape>
        </w:pict>
      </w:r>
      <w:r>
        <w:pict>
          <v:shape id="_x0000_s226" style="position:absolute;margin-left:86.92pt;margin-top:228.073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981825" cy="5534025"/>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6981825" cy="5534025"/>
                    </a:xfrm>
                    <a:prstGeom prst="rect">
                      <a:avLst/>
                    </a:prstGeom>
                  </pic:spPr>
                </pic:pic>
              </a:graphicData>
            </a:graphic>
          </wp:inline>
        </w:drawing>
      </w:r>
    </w:p>
    <w:p>
      <w:pPr>
        <w:spacing w:line="8715" w:lineRule="exact"/>
        <w:sectPr>
          <w:footerReference w:type="default" r:id="rId35"/>
          <w:pgSz w:w="16840" w:h="11900"/>
          <w:pgMar w:top="642" w:right="0" w:bottom="340" w:left="0" w:header="326" w:footer="110" w:gutter="0"/>
        </w:sectPr>
        <w:rPr/>
      </w:pPr>
    </w:p>
    <w:p>
      <w:pPr>
        <w:spacing w:line="267" w:lineRule="auto"/>
        <w:rPr>
          <w:rFonts w:ascii="Arial"/>
          <w:sz w:val="21"/>
        </w:rPr>
      </w:pPr>
      <w:r>
        <w:pict>
          <v:shape id="_x0000_s232"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34" style="position:absolute;margin-left:638.92pt;margin-top:45.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895" w:lineRule="exact"/>
        <w:rPr/>
      </w:pPr>
      <w:r>
        <w:pict>
          <v:shape id="_x0000_s236" style="position:absolute;margin-left:638.92pt;margin-top:470.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38" style="position:absolute;margin-left:86.92pt;margin-top:228.073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40" style="position:absolute;margin-left:280.957pt;margin-top:347.362pt;mso-position-vertical-relative:text;mso-position-horizontal-relative:text;width:609.35pt;height:22.25pt;z-index:251680768;rotation:330;" fillcolor="#404040" filled="true" stroked="false" type="#_x0000_t136">
            <v:fill opacity="0.400000"/>
            <v:textpath style="font-family:&quot;SimSun&quot;;font-size:20;v-text-kern:t;mso-text-shadow:auto" string="仅供内部审核                                     仅供内部审核"/>
          </v:shape>
        </w:pict>
      </w:r>
      <w:r>
        <w:pict>
          <v:shape id="_x0000_s242" style="position:absolute;margin-left:-45.0434pt;margin-top:347.362pt;mso-position-vertical-relative:text;mso-position-horizontal-relative:text;width:609.35pt;height:22.25pt;z-index:251681792;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981825" cy="5648325"/>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981825" cy="5648325"/>
                    </a:xfrm>
                    <a:prstGeom prst="rect">
                      <a:avLst/>
                    </a:prstGeom>
                  </pic:spPr>
                </pic:pic>
              </a:graphicData>
            </a:graphic>
          </wp:inline>
        </w:drawing>
      </w:r>
    </w:p>
    <w:p>
      <w:pPr>
        <w:spacing w:line="8895" w:lineRule="exact"/>
        <w:sectPr>
          <w:headerReference w:type="default" r:id="rId37"/>
          <w:footerReference w:type="default" r:id="rId38"/>
          <w:pgSz w:w="16840" w:h="11900"/>
          <w:pgMar w:top="642" w:right="0" w:bottom="340" w:left="0" w:header="326" w:footer="110" w:gutter="0"/>
        </w:sectPr>
        <w:rPr/>
      </w:pPr>
    </w:p>
    <w:p>
      <w:pPr>
        <w:spacing w:line="267" w:lineRule="auto"/>
        <w:rPr>
          <w:rFonts w:ascii="Arial"/>
          <w:sz w:val="21"/>
        </w:rPr>
      </w:pPr>
      <w:r>
        <w:pict>
          <v:shape id="_x0000_s244" style="position:absolute;margin-left:638.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312.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6225" w:lineRule="exact"/>
        <w:rPr/>
      </w:pPr>
      <w:r>
        <w:pict>
          <v:shape id="_x0000_s248" style="position:absolute;margin-left:-45.0434pt;margin-top:347.362pt;mso-position-vertical-relative:text;mso-position-horizontal-relative:text;width:609.35pt;height:22.25pt;z-index:251682816;rotation:330;" fillcolor="#404040" filled="true" stroked="false" type="#_x0000_t136">
            <v:fill opacity="0.400000"/>
            <v:textpath style="font-family:&quot;SimSun&quot;;font-size:20;v-text-kern:t;mso-text-shadow:auto" string="仅供内部审核                                     仅供内部审核"/>
          </v:shape>
        </w:pict>
      </w:r>
      <w:r>
        <w:pict>
          <v:shape id="_x0000_s250" style="position:absolute;margin-left:86.92pt;margin-top:228.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124"/>
        </w:rPr>
        <w:drawing>
          <wp:inline distT="0" distB="0" distL="0" distR="0">
            <wp:extent cx="6981825" cy="395287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981825" cy="3952875"/>
                    </a:xfrm>
                    <a:prstGeom prst="rect">
                      <a:avLst/>
                    </a:prstGeom>
                  </pic:spPr>
                </pic:pic>
              </a:graphicData>
            </a:graphic>
          </wp:inline>
        </w:drawing>
      </w:r>
    </w:p>
    <w:p>
      <w:pPr>
        <w:spacing w:line="6225" w:lineRule="exact"/>
        <w:sectPr>
          <w:headerReference w:type="default" r:id="rId30"/>
          <w:footerReference w:type="default" r:id="rId40"/>
          <w:pgSz w:w="16840" w:h="11900"/>
          <w:pgMar w:top="642" w:right="0" w:bottom="340" w:left="0" w:header="326" w:footer="111" w:gutter="0"/>
        </w:sectPr>
        <w:rPr/>
      </w:pPr>
    </w:p>
    <w:p>
      <w:pPr>
        <w:spacing w:line="267" w:lineRule="auto"/>
        <w:rPr>
          <w:rFonts w:ascii="Arial"/>
          <w:sz w:val="21"/>
        </w:rPr>
      </w:pPr>
      <w:r>
        <w:pict>
          <v:shape id="_x0000_s252" style="position:absolute;margin-left:312.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638.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5370" w:lineRule="exact"/>
        <w:rPr/>
      </w:pPr>
      <w:r>
        <w:pict>
          <v:shape id="_x0000_s256" style="position:absolute;margin-left:86.92pt;margin-top:228.07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58" style="position:absolute;margin-left:-45.0434pt;margin-top:347.362pt;mso-position-vertical-relative:text;mso-position-horizontal-relative:text;width:609.35pt;height:22.25pt;z-index:251692032;rotation:330;" fillcolor="#404040" filled="true" stroked="false" type="#_x0000_t136">
            <v:fill opacity="0.400000"/>
            <v:textpath style="font-family:&quot;SimSun&quot;;font-size:20;v-text-kern:t;mso-text-shadow:auto" string="仅供内部审核                                     仅供内部审核"/>
          </v:shape>
        </w:pict>
      </w:r>
      <w:r>
        <w:rPr>
          <w:position w:val="-107"/>
        </w:rPr>
        <w:drawing>
          <wp:inline distT="0" distB="0" distL="0" distR="0">
            <wp:extent cx="6981825" cy="3409950"/>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981825" cy="3409950"/>
                    </a:xfrm>
                    <a:prstGeom prst="rect">
                      <a:avLst/>
                    </a:prstGeom>
                  </pic:spPr>
                </pic:pic>
              </a:graphicData>
            </a:graphic>
          </wp:inline>
        </w:drawing>
      </w:r>
    </w:p>
    <w:p>
      <w:pPr>
        <w:spacing w:line="5370"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60" style="position:absolute;margin-left:638.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312.92pt;margin-top:45.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835" w:lineRule="exact"/>
        <w:rPr/>
      </w:pPr>
      <w:r>
        <w:pict>
          <v:shape id="_x0000_s264" style="position:absolute;margin-left:86.92pt;margin-top:228.073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66" style="position:absolute;margin-left:-45.0434pt;margin-top:347.362pt;mso-position-vertical-relative:text;mso-position-horizontal-relative:text;width:609.35pt;height:22.25pt;z-index:251696128;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981825" cy="561022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981825" cy="5610225"/>
                    </a:xfrm>
                    <a:prstGeom prst="rect">
                      <a:avLst/>
                    </a:prstGeom>
                  </pic:spPr>
                </pic:pic>
              </a:graphicData>
            </a:graphic>
          </wp:inline>
        </w:drawing>
      </w:r>
    </w:p>
    <w:p>
      <w:pPr>
        <w:spacing w:line="8835"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68" style="position:absolute;margin-left:312.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638.92pt;margin-top:45.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805" w:lineRule="exact"/>
        <w:rPr/>
      </w:pPr>
      <w:r>
        <w:pict>
          <v:shape id="_x0000_s272" style="position:absolute;margin-left:-45.0434pt;margin-top:347.362pt;mso-position-vertical-relative:text;mso-position-horizontal-relative:text;width:609.35pt;height:22.25pt;z-index:251701248;rotation:330;" fillcolor="#404040" filled="true" stroked="false" type="#_x0000_t136">
            <v:fill opacity="0.400000"/>
            <v:textpath style="font-family:&quot;SimSun&quot;;font-size:20;v-text-kern:t;mso-text-shadow:auto" string="仅供内部审核                                     仅供内部审核"/>
          </v:shape>
        </w:pict>
      </w:r>
      <w:r>
        <w:pict>
          <v:shape id="_x0000_s274" style="position:absolute;margin-left:86.92pt;margin-top:228.073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176"/>
        </w:rPr>
        <w:drawing>
          <wp:inline distT="0" distB="0" distL="0" distR="0">
            <wp:extent cx="6981825" cy="5591175"/>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981825" cy="5591175"/>
                    </a:xfrm>
                    <a:prstGeom prst="rect">
                      <a:avLst/>
                    </a:prstGeom>
                  </pic:spPr>
                </pic:pic>
              </a:graphicData>
            </a:graphic>
          </wp:inline>
        </w:drawing>
      </w:r>
    </w:p>
    <w:p>
      <w:pPr>
        <w:spacing w:line="8805" w:lineRule="exact"/>
        <w:sectPr>
          <w:footerReference w:type="default" r:id="rId46"/>
          <w:pgSz w:w="16840" w:h="11900"/>
          <w:pgMar w:top="642" w:right="0" w:bottom="340" w:left="0" w:header="326" w:footer="111" w:gutter="0"/>
        </w:sectPr>
        <w:rPr/>
      </w:pPr>
    </w:p>
    <w:p>
      <w:pPr>
        <w:spacing w:line="267" w:lineRule="auto"/>
        <w:rPr>
          <w:rFonts w:ascii="Arial"/>
          <w:sz w:val="21"/>
        </w:rPr>
      </w:pPr>
      <w:r>
        <w:pict>
          <v:shape id="_x0000_s276" style="position:absolute;margin-left:312.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638.92pt;margin-top:45.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625" w:lineRule="exact"/>
        <w:rPr/>
      </w:pPr>
      <w:r>
        <w:pict>
          <v:shape id="_x0000_s280"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282" style="position:absolute;margin-left:86.92pt;margin-top:228.07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172"/>
        </w:rPr>
        <w:drawing>
          <wp:inline distT="0" distB="0" distL="0" distR="0">
            <wp:extent cx="6981825" cy="5476875"/>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981825" cy="5476875"/>
                    </a:xfrm>
                    <a:prstGeom prst="rect">
                      <a:avLst/>
                    </a:prstGeom>
                  </pic:spPr>
                </pic:pic>
              </a:graphicData>
            </a:graphic>
          </wp:inline>
        </w:drawing>
      </w:r>
    </w:p>
    <w:p>
      <w:pPr>
        <w:spacing w:line="8625" w:lineRule="exact"/>
        <w:sectPr>
          <w:footerReference w:type="default" r:id="rId48"/>
          <w:pgSz w:w="16840" w:h="11900"/>
          <w:pgMar w:top="642" w:right="0" w:bottom="340" w:left="0" w:header="326" w:footer="111" w:gutter="0"/>
        </w:sectPr>
        <w:rPr/>
      </w:pPr>
    </w:p>
    <w:p>
      <w:pPr>
        <w:spacing w:line="267" w:lineRule="auto"/>
        <w:rPr>
          <w:rFonts w:ascii="Arial"/>
          <w:sz w:val="21"/>
        </w:rPr>
      </w:pPr>
      <w:r>
        <w:pict>
          <v:shape id="_x0000_s284" style="position:absolute;margin-left:638.92pt;margin-top:45.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12.92pt;margin-top:45.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685" w:lineRule="exact"/>
        <w:rPr/>
      </w:pPr>
      <w:r>
        <w:pict>
          <v:shape id="_x0000_s288" style="position:absolute;margin-left:86.92pt;margin-top:228.07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290" style="position:absolute;margin-left:-45.0434pt;margin-top:347.362pt;mso-position-vertical-relative:text;mso-position-horizontal-relative:text;width:609.35pt;height:22.25pt;z-index:251715584;rotation:330;" fillcolor="#404040" filled="true" stroked="false" type="#_x0000_t136">
            <v:fill opacity="0.400000"/>
            <v:textpath style="font-family:&quot;SimSun&quot;;font-size:20;v-text-kern:t;mso-text-shadow:auto" string="仅供内部审核                                     仅供内部审核"/>
          </v:shape>
        </w:pict>
      </w:r>
      <w:r>
        <w:rPr>
          <w:position w:val="-173"/>
        </w:rPr>
        <w:drawing>
          <wp:inline distT="0" distB="0" distL="0" distR="0">
            <wp:extent cx="6981825" cy="5514975"/>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981825" cy="5514975"/>
                    </a:xfrm>
                    <a:prstGeom prst="rect">
                      <a:avLst/>
                    </a:prstGeom>
                  </pic:spPr>
                </pic:pic>
              </a:graphicData>
            </a:graphic>
          </wp:inline>
        </w:drawing>
      </w:r>
    </w:p>
    <w:p>
      <w:pPr>
        <w:spacing w:line="8685" w:lineRule="exact"/>
        <w:sectPr>
          <w:footerReference w:type="default" r:id="rId50"/>
          <w:pgSz w:w="16840" w:h="11900"/>
          <w:pgMar w:top="642" w:right="0" w:bottom="340" w:left="0" w:header="326" w:footer="111" w:gutter="0"/>
        </w:sectPr>
        <w:rPr/>
      </w:pPr>
    </w:p>
    <w:p>
      <w:pPr>
        <w:spacing w:line="267" w:lineRule="auto"/>
        <w:rPr>
          <w:rFonts w:ascii="Arial"/>
          <w:sz w:val="21"/>
        </w:rPr>
      </w:pPr>
      <w:r>
        <w:pict>
          <v:shape id="_x0000_s292" style="position:absolute;margin-left:638.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12.92pt;margin-top:45.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895" w:lineRule="exact"/>
        <w:rPr/>
      </w:pPr>
      <w:r>
        <w:pict>
          <v:shape id="_x0000_s296" style="position:absolute;margin-left:280.957pt;margin-top:347.362pt;mso-position-vertical-relative:text;mso-position-horizontal-relative:text;width:609.35pt;height:22.25pt;z-index:251719680;rotation:330;" fillcolor="#404040" filled="true" stroked="false" type="#_x0000_t136">
            <v:fill opacity="0.400000"/>
            <v:textpath style="font-family:&quot;SimSun&quot;;font-size:20;v-text-kern:t;mso-text-shadow:auto" string="仅供内部审核                                     仅供内部审核"/>
          </v:shape>
        </w:pict>
      </w:r>
      <w:r>
        <w:pict>
          <v:shape id="_x0000_s298" style="position:absolute;margin-left:638.92pt;margin-top:470.073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722752;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86.92pt;margin-top:228.073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981825" cy="5648325"/>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981825" cy="5648325"/>
                    </a:xfrm>
                    <a:prstGeom prst="rect">
                      <a:avLst/>
                    </a:prstGeom>
                  </pic:spPr>
                </pic:pic>
              </a:graphicData>
            </a:graphic>
          </wp:inline>
        </w:drawing>
      </w:r>
    </w:p>
    <w:p>
      <w:pPr>
        <w:spacing w:line="8895" w:lineRule="exact"/>
        <w:sectPr>
          <w:headerReference w:type="default" r:id="rId37"/>
          <w:footerReference w:type="default" r:id="rId52"/>
          <w:pgSz w:w="16840" w:h="11900"/>
          <w:pgMar w:top="642" w:right="0" w:bottom="340" w:left="0" w:header="326" w:footer="111" w:gutter="0"/>
        </w:sectPr>
        <w:rPr/>
      </w:pPr>
    </w:p>
    <w:p>
      <w:pPr>
        <w:spacing w:line="267" w:lineRule="auto"/>
        <w:rPr>
          <w:rFonts w:ascii="Arial"/>
          <w:sz w:val="21"/>
        </w:rPr>
      </w:pPr>
      <w:r>
        <w:pict>
          <v:shape id="_x0000_s304" style="position:absolute;margin-left:638.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06" style="position:absolute;margin-left:312.92pt;margin-top:45.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7875" w:lineRule="exact"/>
        <w:rPr/>
      </w:pPr>
      <w:r>
        <w:pict>
          <v:shape id="_x0000_s308" style="position:absolute;margin-left:86.92pt;margin-top:228.07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10" style="position:absolute;margin-left:-45.0434pt;margin-top:347.362pt;mso-position-vertical-relative:text;mso-position-horizontal-relative:text;width:609.35pt;height:22.25pt;z-index:251728896;rotation:330;" fillcolor="#404040" filled="true" stroked="false" type="#_x0000_t136">
            <v:fill opacity="0.400000"/>
            <v:textpath style="font-family:&quot;SimSun&quot;;font-size:20;v-text-kern:t;mso-text-shadow:auto" string="仅供内部审核                                     仅供内部审核"/>
          </v:shape>
        </w:pict>
      </w:r>
      <w:r>
        <w:rPr>
          <w:position w:val="-157"/>
        </w:rPr>
        <w:drawing>
          <wp:inline distT="0" distB="0" distL="0" distR="0">
            <wp:extent cx="6981825" cy="500062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981825" cy="5000625"/>
                    </a:xfrm>
                    <a:prstGeom prst="rect">
                      <a:avLst/>
                    </a:prstGeom>
                  </pic:spPr>
                </pic:pic>
              </a:graphicData>
            </a:graphic>
          </wp:inline>
        </w:drawing>
      </w:r>
    </w:p>
    <w:p>
      <w:pPr>
        <w:spacing w:line="7875" w:lineRule="exact"/>
        <w:sectPr>
          <w:headerReference w:type="default" r:id="rId30"/>
          <w:footerReference w:type="default" r:id="rId54"/>
          <w:pgSz w:w="16840" w:h="11900"/>
          <w:pgMar w:top="642" w:right="0" w:bottom="340" w:left="0" w:header="326" w:footer="111" w:gutter="0"/>
        </w:sectPr>
        <w:rPr/>
      </w:pPr>
    </w:p>
    <w:p>
      <w:pPr>
        <w:spacing w:line="267" w:lineRule="auto"/>
        <w:rPr>
          <w:rFonts w:ascii="Arial"/>
          <w:sz w:val="21"/>
        </w:rPr>
      </w:pPr>
      <w:r>
        <w:pict>
          <v:shape id="_x0000_s312" style="position:absolute;margin-left:638.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12.92pt;margin-top:45.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8730" w:lineRule="exact"/>
        <w:rPr/>
      </w:pPr>
      <w:r>
        <w:pict>
          <v:shape id="_x0000_s316" style="position:absolute;margin-left:-45.0434pt;margin-top:347.362pt;mso-position-vertical-relative:text;mso-position-horizontal-relative:text;width:609.35pt;height:22.25pt;z-index:251732992;rotation:330;" fillcolor="#404040" filled="true" stroked="false" type="#_x0000_t136">
            <v:fill opacity="0.400000"/>
            <v:textpath style="font-family:&quot;SimSun&quot;;font-size:20;v-text-kern:t;mso-text-shadow:auto" string="仅供内部审核                                     仅供内部审核"/>
          </v:shape>
        </w:pict>
      </w:r>
      <w:r>
        <w:pict>
          <v:shape id="_x0000_s318" style="position:absolute;margin-left:86.92pt;margin-top:228.07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981825" cy="554355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6981825" cy="5543550"/>
                    </a:xfrm>
                    <a:prstGeom prst="rect">
                      <a:avLst/>
                    </a:prstGeom>
                  </pic:spPr>
                </pic:pic>
              </a:graphicData>
            </a:graphic>
          </wp:inline>
        </w:drawing>
      </w:r>
    </w:p>
    <w:p>
      <w:pPr>
        <w:spacing w:line="8730" w:lineRule="exact"/>
        <w:sectPr>
          <w:footerReference w:type="default" r:id="rId56"/>
          <w:pgSz w:w="16840" w:h="11900"/>
          <w:pgMar w:top="642" w:right="0" w:bottom="340" w:left="0" w:header="326" w:footer="111" w:gutter="0"/>
        </w:sectPr>
        <w:rPr/>
      </w:pPr>
    </w:p>
    <w:p>
      <w:pPr>
        <w:spacing w:line="267" w:lineRule="auto"/>
        <w:rPr>
          <w:rFonts w:ascii="Arial"/>
          <w:sz w:val="21"/>
        </w:rPr>
      </w:pPr>
      <w:r>
        <w:pict>
          <v:shape id="_x0000_s332" style="position:absolute;margin-left:638.92pt;margin-top:45.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ict>
          <v:shape id="_x0000_s334" style="position:absolute;margin-left:312.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925"/>
        <w:spacing w:line="1215" w:lineRule="exact"/>
        <w:rPr/>
      </w:pPr>
      <w:r>
        <w:rPr>
          <w:position w:val="-24"/>
        </w:rPr>
        <w:drawing>
          <wp:inline distT="0" distB="0" distL="0" distR="0">
            <wp:extent cx="6981825" cy="771525"/>
            <wp:effectExtent l="0" t="0" r="0" b="0"/>
            <wp:docPr id="28" name="IM 28"/>
            <wp:cNvGraphicFramePr/>
            <a:graphic>
              <a:graphicData uri="http://schemas.openxmlformats.org/drawingml/2006/picture">
                <pic:pic>
                  <pic:nvPicPr>
                    <pic:cNvPr id="28" name="IM 28"/>
                    <pic:cNvPicPr/>
                  </pic:nvPicPr>
                  <pic:blipFill>
                    <a:blip r:embed="rId60"/>
                    <a:stretch>
                      <a:fillRect/>
                    </a:stretch>
                  </pic:blipFill>
                  <pic:spPr>
                    <a:xfrm rot="0">
                      <a:off x="0" y="0"/>
                      <a:ext cx="6981825" cy="771525"/>
                    </a:xfrm>
                    <a:prstGeom prst="rect">
                      <a:avLst/>
                    </a:prstGeom>
                  </pic:spPr>
                </pic:pic>
              </a:graphicData>
            </a:graphic>
          </wp:inline>
        </w:drawing>
      </w:r>
    </w:p>
    <w:sectPr>
      <w:headerReference w:type="default" r:id="rId58"/>
      <w:footerReference w:type="default" r:id="rId59"/>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6" style="position:absolute;margin-left:-13.08pt;margin-top:28.7633pt;mso-position-vertical-relative:text;mso-position-horizontal-relative:text;width:119.4pt;height:18.85pt;z-index:-25155686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280.957pt;margin-top:406.395pt;mso-position-vertical-relative:page;mso-position-horizontal-relative:page;width:609.35pt;height:22.25pt;z-index:-2515589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0" style="position:absolute;margin-left:638.92pt;margin-top:529.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_x0000_s202" style="position:absolute;margin-left:30pt;margin-top:29.5pt;mso-position-vertical-relative:page;mso-position-horizontal-relative:page;width:782pt;height:1pt;z-index:-251557888;" o:allowincell="f" filled="false" strokecolor="#646464" strokeweight="1.00pt" coordsize="15640,20" coordorigin="0,0" path="m0,10l1564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28" style="position:absolute;margin-left:-13.08pt;margin-top:28.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_x0000_s230" style="position:absolute;margin-left:30pt;margin-top:29.5pt;mso-position-vertical-relative:page;mso-position-horizontal-relative:page;width:782pt;height:1pt;z-index:-251555840;" o:allowincell="f" filled="false" strokecolor="#646464" strokeweight="1.00pt" coordsize="15640,20" coordorigin="0,0" path="m0,10l1564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0" style="position:absolute;margin-left:-13.08pt;margin-top:28.7633pt;mso-position-vertical-relative:text;mso-position-horizontal-relative:text;width:119.4pt;height:18.85pt;z-index:-251548672;rotation:330;" fillcolor="#404040" filled="true" stroked="false" type="#_x0000_t136">
          <v:fill opacity="0.400000"/>
          <v:textpath style="font-family:&quot;SimSun&quot;;font-size:20;v-text-kern:t;mso-text-shadow:auto" string="仅供内部审核"/>
        </v:shape>
      </w:pict>
    </w:r>
    <w:r>
      <w:pict>
        <v:shape id="PowerPlusWaterMarkObject322" style="position:absolute;margin-left:86.92pt;margin-top:287.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26" style="position:absolute;margin-left:280.957pt;margin-top:406.395pt;mso-position-vertical-relative:page;mso-position-horizontal-relative:page;width:609.35pt;height:22.25pt;z-index:-2515517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28" style="position:absolute;margin-left:638.92pt;margin-top:529.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30pt;margin-top:29.5pt;mso-position-vertical-relative:page;mso-position-horizontal-relative:page;width:782pt;height:1pt;z-index:-251549696;" o:allowincell="f" filled="false" strokecolor="#646464" strokeweight="1.00pt" coordsize="15640,20" coordorigin="0,0" path="m0,10l1564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1"/>
        <w:position w:val="1"/>
      </w:rPr>
      <w:t>兴县蔡家崖乡卫生院杨家坡分院2024年单</w:t>
    </w:r>
    <w:r>
      <w:rPr>
        <w:sz w:val="16"/>
        <w:szCs w:val="16"/>
        <w:spacing w:val="-2"/>
        <w:position w:val="1"/>
      </w:rPr>
      <w:t>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3" Type="http://schemas.openxmlformats.org/officeDocument/2006/relationships/fontTable" Target="fontTable.xml"/><Relationship Id="rId62" Type="http://schemas.openxmlformats.org/officeDocument/2006/relationships/styles" Target="styles.xml"/><Relationship Id="rId61" Type="http://schemas.openxmlformats.org/officeDocument/2006/relationships/settings" Target="settings.xml"/><Relationship Id="rId60" Type="http://schemas.openxmlformats.org/officeDocument/2006/relationships/image" Target="media/image14.png"/><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header" Target="header14.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header" Target="header13.xml"/><Relationship Id="rId36" Type="http://schemas.openxmlformats.org/officeDocument/2006/relationships/image" Target="media/image3.png"/><Relationship Id="rId35" Type="http://schemas.openxmlformats.org/officeDocument/2006/relationships/footer" Target="footer21.xml"/><Relationship Id="rId34" Type="http://schemas.openxmlformats.org/officeDocument/2006/relationships/image" Target="media/image2.png"/><Relationship Id="rId33" Type="http://schemas.openxmlformats.org/officeDocument/2006/relationships/footer" Target="footer20.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2025-09-25T17:51:52Z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2025-09-25T20:27:42</vt:filetime>
  </property>
</Properties>
</file>