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812"/>
        <w:spacing w:before="140" w:line="218" w:lineRule="auto"/>
        <w:rPr/>
      </w:pPr>
      <w:r>
        <w:rPr>
          <w:spacing w:val="-1"/>
        </w:rPr>
        <w:t>兴</w:t>
      </w:r>
      <w:r>
        <w:rPr>
          <w:spacing w:val="-99"/>
        </w:rPr>
        <w:t xml:space="preserve"> </w:t>
      </w:r>
      <w:r>
        <w:rPr>
          <w:spacing w:val="-1"/>
        </w:rPr>
        <w:t>县</w:t>
      </w:r>
      <w:r>
        <w:rPr>
          <w:spacing w:val="-58"/>
        </w:rPr>
        <w:t xml:space="preserve"> </w:t>
      </w:r>
      <w:r>
        <w:rPr>
          <w:spacing w:val="-1"/>
        </w:rPr>
        <w:t>固</w:t>
      </w:r>
      <w:r>
        <w:rPr>
          <w:spacing w:val="-82"/>
        </w:rPr>
        <w:t xml:space="preserve"> </w:t>
      </w:r>
      <w:r>
        <w:rPr>
          <w:spacing w:val="-1"/>
        </w:rPr>
        <w:t>贤</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p>
    <w:p>
      <w:pPr>
        <w:spacing w:line="379" w:lineRule="auto"/>
        <w:rPr>
          <w:rFonts w:ascii="Arial"/>
          <w:sz w:val="21"/>
        </w:rPr>
      </w:pPr>
      <w:r/>
    </w:p>
    <w:p>
      <w:pPr>
        <w:pStyle w:val="BodyText"/>
        <w:ind w:left="3079"/>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33</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64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64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人员构成：设院长1名，工作人员12名。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3"/>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20" w:lineRule="auto"/>
              <w:rPr>
                <w:rFonts w:ascii="SimSun" w:hAnsi="SimSun" w:eastAsia="SimSun" w:cs="SimSun"/>
                <w:sz w:val="18"/>
                <w:szCs w:val="18"/>
              </w:rPr>
            </w:pPr>
            <w:r>
              <w:rPr>
                <w:rFonts w:ascii="SimSun" w:hAnsi="SimSun" w:eastAsia="SimSun" w:cs="SimSun"/>
                <w:sz w:val="18"/>
                <w:szCs w:val="18"/>
                <w:color w:val="212529"/>
                <w:spacing w:val="-1"/>
              </w:rPr>
              <w:t>单位名称：兴县固贤乡卫生院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160.17</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137.05</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137.05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9"/>
              </w:rPr>
              <w:t>160.</w:t>
            </w:r>
            <w:r>
              <w:rPr>
                <w:sz w:val="13"/>
                <w:szCs w:val="13"/>
                <w:color w:val="212529"/>
                <w:spacing w:val="27"/>
                <w:w w:val="102"/>
              </w:rPr>
              <w:t xml:space="preserve"> </w:t>
            </w:r>
            <w:r>
              <w:rPr>
                <w:sz w:val="13"/>
                <w:szCs w:val="13"/>
                <w:color w:val="212529"/>
                <w:spacing w:val="9"/>
              </w:rPr>
              <w:t>17</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212" w:lineRule="auto"/>
              <w:rPr>
                <w:sz w:val="13"/>
                <w:szCs w:val="13"/>
              </w:rPr>
            </w:pPr>
            <w:r>
              <w:rPr>
                <w:sz w:val="13"/>
                <w:szCs w:val="13"/>
                <w:color w:val="212529"/>
                <w:spacing w:val="10"/>
              </w:rPr>
              <w:t>160.</w:t>
            </w:r>
            <w:r>
              <w:rPr>
                <w:sz w:val="13"/>
                <w:szCs w:val="13"/>
                <w:color w:val="212529"/>
                <w:spacing w:val="21"/>
                <w:w w:val="102"/>
              </w:rPr>
              <w:t xml:space="preserve"> </w:t>
            </w:r>
            <w:r>
              <w:rPr>
                <w:sz w:val="13"/>
                <w:szCs w:val="13"/>
                <w:color w:val="212529"/>
                <w:spacing w:val="10"/>
              </w:rPr>
              <w:t>17</w:t>
            </w:r>
          </w:p>
        </w:tc>
        <w:tc>
          <w:tcPr>
            <w:tcW w:w="1153" w:type="dxa"/>
            <w:vAlign w:val="top"/>
          </w:tcPr>
          <w:p>
            <w:pPr>
              <w:pStyle w:val="TableText"/>
              <w:ind w:left="588"/>
              <w:spacing w:before="186" w:line="212" w:lineRule="auto"/>
              <w:rPr>
                <w:sz w:val="13"/>
                <w:szCs w:val="13"/>
              </w:rPr>
            </w:pPr>
            <w:r>
              <w:rPr>
                <w:sz w:val="13"/>
                <w:szCs w:val="13"/>
                <w:color w:val="212529"/>
                <w:spacing w:val="10"/>
              </w:rPr>
              <w:t>160.</w:t>
            </w:r>
            <w:r>
              <w:rPr>
                <w:sz w:val="13"/>
                <w:szCs w:val="13"/>
                <w:color w:val="212529"/>
                <w:spacing w:val="21"/>
                <w:w w:val="102"/>
              </w:rPr>
              <w:t xml:space="preserve"> </w:t>
            </w:r>
            <w:r>
              <w:rPr>
                <w:sz w:val="13"/>
                <w:szCs w:val="13"/>
                <w:color w:val="212529"/>
                <w:spacing w:val="10"/>
              </w:rPr>
              <w:t>17</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9"/>
              </w:rPr>
              <w:t>160.</w:t>
            </w:r>
            <w:r>
              <w:rPr>
                <w:sz w:val="13"/>
                <w:szCs w:val="13"/>
                <w:color w:val="212529"/>
                <w:spacing w:val="27"/>
                <w:w w:val="102"/>
              </w:rPr>
              <w:t xml:space="preserve"> </w:t>
            </w:r>
            <w:r>
              <w:rPr>
                <w:sz w:val="13"/>
                <w:szCs w:val="13"/>
                <w:color w:val="212529"/>
                <w:spacing w:val="9"/>
              </w:rPr>
              <w:t>17</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212" w:lineRule="auto"/>
              <w:rPr>
                <w:sz w:val="13"/>
                <w:szCs w:val="13"/>
              </w:rPr>
            </w:pPr>
            <w:r>
              <w:rPr>
                <w:sz w:val="13"/>
                <w:szCs w:val="13"/>
                <w:color w:val="212529"/>
                <w:spacing w:val="10"/>
              </w:rPr>
              <w:t>160.</w:t>
            </w:r>
            <w:r>
              <w:rPr>
                <w:sz w:val="13"/>
                <w:szCs w:val="13"/>
                <w:color w:val="212529"/>
                <w:spacing w:val="21"/>
                <w:w w:val="102"/>
              </w:rPr>
              <w:t xml:space="preserve"> </w:t>
            </w:r>
            <w:r>
              <w:rPr>
                <w:sz w:val="13"/>
                <w:szCs w:val="13"/>
                <w:color w:val="212529"/>
                <w:spacing w:val="10"/>
              </w:rPr>
              <w:t>17</w:t>
            </w:r>
          </w:p>
        </w:tc>
        <w:tc>
          <w:tcPr>
            <w:tcW w:w="1153" w:type="dxa"/>
            <w:vAlign w:val="top"/>
          </w:tcPr>
          <w:p>
            <w:pPr>
              <w:pStyle w:val="TableText"/>
              <w:ind w:left="588"/>
              <w:spacing w:before="188" w:line="212" w:lineRule="auto"/>
              <w:rPr>
                <w:sz w:val="13"/>
                <w:szCs w:val="13"/>
              </w:rPr>
            </w:pPr>
            <w:r>
              <w:rPr>
                <w:sz w:val="13"/>
                <w:szCs w:val="13"/>
                <w:color w:val="212529"/>
                <w:spacing w:val="10"/>
              </w:rPr>
              <w:t>160.</w:t>
            </w:r>
            <w:r>
              <w:rPr>
                <w:sz w:val="13"/>
                <w:szCs w:val="13"/>
                <w:color w:val="212529"/>
                <w:spacing w:val="21"/>
                <w:w w:val="102"/>
              </w:rPr>
              <w:t xml:space="preserve"> </w:t>
            </w:r>
            <w:r>
              <w:rPr>
                <w:sz w:val="13"/>
                <w:szCs w:val="13"/>
                <w:color w:val="212529"/>
                <w:spacing w:val="10"/>
              </w:rPr>
              <w:t>17</w:t>
            </w:r>
          </w:p>
        </w:tc>
        <w:tc>
          <w:tcPr>
            <w:tcW w:w="831" w:type="dxa"/>
            <w:vAlign w:val="top"/>
          </w:tcPr>
          <w:p>
            <w:pPr>
              <w:pStyle w:val="TableText"/>
              <w:rPr/>
            </w:pPr>
            <w:r/>
          </w:p>
        </w:tc>
      </w:tr>
    </w:tbl>
    <w:p>
      <w:pPr>
        <w:rPr>
          <w:rFonts w:ascii="Arial"/>
          <w:sz w:val="21"/>
        </w:rPr>
      </w:pPr>
      <w:r/>
    </w:p>
    <w:p>
      <w:pPr>
        <w:sectPr>
          <w:headerReference w:type="default" r:id="rId5"/>
          <w:footerReference w:type="default" r:id="rId9"/>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20" w:lineRule="auto"/>
              <w:rPr>
                <w:rFonts w:ascii="SimSun" w:hAnsi="SimSun" w:eastAsia="SimSun" w:cs="SimSun"/>
                <w:sz w:val="18"/>
                <w:szCs w:val="18"/>
              </w:rPr>
            </w:pPr>
            <w:r>
              <w:rPr>
                <w:rFonts w:ascii="SimSun" w:hAnsi="SimSun" w:eastAsia="SimSun" w:cs="SimSun"/>
                <w:sz w:val="18"/>
                <w:szCs w:val="18"/>
                <w:color w:val="212529"/>
                <w:spacing w:val="-1"/>
              </w:rPr>
              <w:t>单位名称：兴县固贤乡卫生院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9"/>
              </w:rPr>
              <w:t>160.</w:t>
            </w:r>
            <w:r>
              <w:rPr>
                <w:sz w:val="13"/>
                <w:szCs w:val="13"/>
                <w:color w:val="212529"/>
                <w:spacing w:val="27"/>
                <w:w w:val="102"/>
              </w:rPr>
              <w:t xml:space="preserve"> </w:t>
            </w:r>
            <w:r>
              <w:rPr>
                <w:sz w:val="13"/>
                <w:szCs w:val="13"/>
                <w:color w:val="212529"/>
                <w:spacing w:val="9"/>
              </w:rPr>
              <w:t>17</w:t>
            </w:r>
          </w:p>
        </w:tc>
        <w:tc>
          <w:tcPr>
            <w:tcW w:w="1274" w:type="dxa"/>
            <w:vAlign w:val="top"/>
          </w:tcPr>
          <w:p>
            <w:pPr>
              <w:pStyle w:val="TableText"/>
              <w:ind w:left="714"/>
              <w:spacing w:before="149" w:line="212" w:lineRule="auto"/>
              <w:rPr>
                <w:sz w:val="13"/>
                <w:szCs w:val="13"/>
              </w:rPr>
            </w:pPr>
            <w:r>
              <w:rPr>
                <w:sz w:val="13"/>
                <w:szCs w:val="13"/>
                <w:color w:val="212529"/>
                <w:spacing w:val="10"/>
              </w:rPr>
              <w:t>160.</w:t>
            </w:r>
            <w:r>
              <w:rPr>
                <w:sz w:val="13"/>
                <w:szCs w:val="13"/>
                <w:color w:val="212529"/>
                <w:spacing w:val="21"/>
                <w:w w:val="102"/>
              </w:rPr>
              <w:t xml:space="preserve"> </w:t>
            </w:r>
            <w:r>
              <w:rPr>
                <w:sz w:val="13"/>
                <w:szCs w:val="13"/>
                <w:color w:val="212529"/>
                <w:spacing w:val="10"/>
              </w:rPr>
              <w:t>17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12.11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137.05</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137.05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132.07</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132.07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115.73</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115.73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16.35</w:t>
            </w:r>
          </w:p>
        </w:tc>
        <w:tc>
          <w:tcPr>
            <w:tcW w:w="1274"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16.35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0"/>
          <w:footerReference w:type="default" r:id="rId11"/>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1" w:line="234"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1361" w:type="dxa"/>
            <w:vAlign w:val="top"/>
          </w:tcPr>
          <w:p>
            <w:pPr>
              <w:pStyle w:val="TableText"/>
              <w:ind w:left="861"/>
              <w:spacing w:before="98" w:line="162" w:lineRule="auto"/>
              <w:rPr>
                <w:sz w:val="15"/>
                <w:szCs w:val="15"/>
              </w:rPr>
            </w:pPr>
            <w:r>
              <w:rPr>
                <w:sz w:val="15"/>
                <w:szCs w:val="15"/>
                <w:color w:val="212529"/>
              </w:rPr>
              <w:t>143.82</w:t>
            </w:r>
          </w:p>
        </w:tc>
        <w:tc>
          <w:tcPr>
            <w:tcW w:w="1280" w:type="dxa"/>
            <w:vAlign w:val="top"/>
          </w:tcPr>
          <w:p>
            <w:pPr>
              <w:pStyle w:val="TableText"/>
              <w:ind w:left="860"/>
              <w:spacing w:before="99" w:line="186" w:lineRule="auto"/>
              <w:rPr>
                <w:sz w:val="13"/>
                <w:szCs w:val="13"/>
              </w:rPr>
            </w:pPr>
            <w:r>
              <w:rPr>
                <w:sz w:val="13"/>
                <w:szCs w:val="13"/>
                <w:color w:val="212529"/>
                <w:spacing w:val="1"/>
              </w:rPr>
              <w:t>16.</w:t>
            </w:r>
            <w:r>
              <w:rPr>
                <w:sz w:val="13"/>
                <w:szCs w:val="13"/>
                <w:color w:val="212529"/>
                <w:spacing w:val="14"/>
                <w:w w:val="102"/>
              </w:rPr>
              <w:t xml:space="preserve"> </w:t>
            </w:r>
            <w:r>
              <w:rPr>
                <w:sz w:val="13"/>
                <w:szCs w:val="13"/>
                <w:color w:val="212529"/>
                <w:spacing w:val="1"/>
              </w:rPr>
              <w:t>35</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61" w:type="dxa"/>
            <w:vAlign w:val="top"/>
          </w:tcPr>
          <w:p>
            <w:pPr>
              <w:pStyle w:val="TableText"/>
              <w:ind w:left="942"/>
              <w:spacing w:before="99" w:line="220" w:lineRule="auto"/>
              <w:rPr>
                <w:sz w:val="11"/>
                <w:szCs w:val="11"/>
              </w:rPr>
            </w:pPr>
            <w:r>
              <w:rPr>
                <w:sz w:val="11"/>
                <w:szCs w:val="11"/>
                <w:color w:val="212529"/>
                <w:spacing w:val="8"/>
              </w:rPr>
              <w:t>12.</w:t>
            </w:r>
            <w:r>
              <w:rPr>
                <w:sz w:val="11"/>
                <w:szCs w:val="11"/>
                <w:color w:val="212529"/>
                <w:spacing w:val="30"/>
              </w:rPr>
              <w:t xml:space="preserve"> </w:t>
            </w:r>
            <w:r>
              <w:rPr>
                <w:sz w:val="11"/>
                <w:szCs w:val="11"/>
                <w:color w:val="212529"/>
                <w:spacing w:val="8"/>
              </w:rPr>
              <w:t>11</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61" w:type="dxa"/>
            <w:vAlign w:val="top"/>
          </w:tcPr>
          <w:p>
            <w:pPr>
              <w:pStyle w:val="TableText"/>
              <w:ind w:left="942"/>
              <w:spacing w:before="99" w:line="220" w:lineRule="auto"/>
              <w:rPr>
                <w:sz w:val="11"/>
                <w:szCs w:val="11"/>
              </w:rPr>
            </w:pPr>
            <w:r>
              <w:rPr>
                <w:sz w:val="11"/>
                <w:szCs w:val="11"/>
                <w:color w:val="212529"/>
                <w:spacing w:val="8"/>
              </w:rPr>
              <w:t>12.</w:t>
            </w:r>
            <w:r>
              <w:rPr>
                <w:sz w:val="11"/>
                <w:szCs w:val="11"/>
                <w:color w:val="212529"/>
                <w:spacing w:val="30"/>
              </w:rPr>
              <w:t xml:space="preserve"> </w:t>
            </w:r>
            <w:r>
              <w:rPr>
                <w:sz w:val="11"/>
                <w:szCs w:val="11"/>
                <w:color w:val="212529"/>
                <w:spacing w:val="8"/>
              </w:rPr>
              <w:t>11</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137.05</w:t>
            </w:r>
          </w:p>
        </w:tc>
        <w:tc>
          <w:tcPr>
            <w:tcW w:w="1361" w:type="dxa"/>
            <w:vAlign w:val="top"/>
          </w:tcPr>
          <w:p>
            <w:pPr>
              <w:pStyle w:val="TableText"/>
              <w:ind w:left="861"/>
              <w:spacing w:before="101" w:line="187" w:lineRule="auto"/>
              <w:rPr>
                <w:sz w:val="13"/>
                <w:szCs w:val="13"/>
              </w:rPr>
            </w:pPr>
            <w:r>
              <w:rPr>
                <w:sz w:val="13"/>
                <w:szCs w:val="13"/>
                <w:color w:val="212529"/>
                <w:spacing w:val="2"/>
              </w:rPr>
              <w:t>120.</w:t>
            </w:r>
            <w:r>
              <w:rPr>
                <w:sz w:val="13"/>
                <w:szCs w:val="13"/>
                <w:color w:val="212529"/>
                <w:spacing w:val="18"/>
                <w:w w:val="101"/>
              </w:rPr>
              <w:t xml:space="preserve"> </w:t>
            </w:r>
            <w:r>
              <w:rPr>
                <w:sz w:val="13"/>
                <w:szCs w:val="13"/>
                <w:color w:val="212529"/>
                <w:spacing w:val="2"/>
              </w:rPr>
              <w:t>70</w:t>
            </w:r>
          </w:p>
        </w:tc>
        <w:tc>
          <w:tcPr>
            <w:tcW w:w="1280" w:type="dxa"/>
            <w:vAlign w:val="top"/>
          </w:tcPr>
          <w:p>
            <w:pPr>
              <w:pStyle w:val="TableText"/>
              <w:ind w:left="860"/>
              <w:spacing w:before="101" w:line="187" w:lineRule="auto"/>
              <w:rPr>
                <w:sz w:val="13"/>
                <w:szCs w:val="13"/>
              </w:rPr>
            </w:pPr>
            <w:r>
              <w:rPr>
                <w:sz w:val="13"/>
                <w:szCs w:val="13"/>
                <w:color w:val="212529"/>
                <w:spacing w:val="1"/>
              </w:rPr>
              <w:t>16.</w:t>
            </w:r>
            <w:r>
              <w:rPr>
                <w:sz w:val="13"/>
                <w:szCs w:val="13"/>
                <w:color w:val="212529"/>
                <w:spacing w:val="14"/>
                <w:w w:val="102"/>
              </w:rPr>
              <w:t xml:space="preserve"> </w:t>
            </w:r>
            <w:r>
              <w:rPr>
                <w:sz w:val="13"/>
                <w:szCs w:val="13"/>
                <w:color w:val="212529"/>
                <w:spacing w:val="1"/>
              </w:rPr>
              <w:t>35</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132.07</w:t>
            </w:r>
          </w:p>
        </w:tc>
        <w:tc>
          <w:tcPr>
            <w:tcW w:w="1361" w:type="dxa"/>
            <w:vAlign w:val="top"/>
          </w:tcPr>
          <w:p>
            <w:pPr>
              <w:pStyle w:val="TableText"/>
              <w:ind w:left="861"/>
              <w:spacing w:before="101" w:line="187" w:lineRule="auto"/>
              <w:rPr>
                <w:sz w:val="13"/>
                <w:szCs w:val="13"/>
              </w:rPr>
            </w:pPr>
            <w:r>
              <w:rPr>
                <w:sz w:val="13"/>
                <w:szCs w:val="13"/>
                <w:color w:val="212529"/>
                <w:spacing w:val="2"/>
              </w:rPr>
              <w:t>115.</w:t>
            </w:r>
            <w:r>
              <w:rPr>
                <w:sz w:val="13"/>
                <w:szCs w:val="13"/>
                <w:color w:val="212529"/>
                <w:spacing w:val="16"/>
                <w:w w:val="101"/>
              </w:rPr>
              <w:t xml:space="preserve"> </w:t>
            </w:r>
            <w:r>
              <w:rPr>
                <w:sz w:val="13"/>
                <w:szCs w:val="13"/>
                <w:color w:val="212529"/>
                <w:spacing w:val="2"/>
              </w:rPr>
              <w:t>73</w:t>
            </w:r>
          </w:p>
        </w:tc>
        <w:tc>
          <w:tcPr>
            <w:tcW w:w="1280" w:type="dxa"/>
            <w:vAlign w:val="top"/>
          </w:tcPr>
          <w:p>
            <w:pPr>
              <w:pStyle w:val="TableText"/>
              <w:ind w:left="860"/>
              <w:spacing w:before="101" w:line="187" w:lineRule="auto"/>
              <w:rPr>
                <w:sz w:val="13"/>
                <w:szCs w:val="13"/>
              </w:rPr>
            </w:pPr>
            <w:r>
              <w:rPr>
                <w:sz w:val="13"/>
                <w:szCs w:val="13"/>
                <w:color w:val="212529"/>
                <w:spacing w:val="1"/>
              </w:rPr>
              <w:t>16.</w:t>
            </w:r>
            <w:r>
              <w:rPr>
                <w:sz w:val="13"/>
                <w:szCs w:val="13"/>
                <w:color w:val="212529"/>
                <w:spacing w:val="14"/>
                <w:w w:val="102"/>
              </w:rPr>
              <w:t xml:space="preserve"> </w:t>
            </w:r>
            <w:r>
              <w:rPr>
                <w:sz w:val="13"/>
                <w:szCs w:val="13"/>
                <w:color w:val="212529"/>
                <w:spacing w:val="1"/>
              </w:rPr>
              <w:t>35</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115.73</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115.73</w:t>
            </w:r>
          </w:p>
        </w:tc>
        <w:tc>
          <w:tcPr>
            <w:tcW w:w="1280" w:type="dxa"/>
            <w:vAlign w:val="top"/>
          </w:tcPr>
          <w:p>
            <w:pPr>
              <w:pStyle w:val="TableText"/>
              <w:rPr/>
            </w:pPr>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280"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361" w:type="dxa"/>
            <w:vAlign w:val="top"/>
          </w:tcPr>
          <w:p>
            <w:pPr>
              <w:pStyle w:val="TableText"/>
              <w:ind w:left="942"/>
              <w:spacing w:before="103" w:line="162" w:lineRule="auto"/>
              <w:rPr>
                <w:sz w:val="15"/>
                <w:szCs w:val="15"/>
              </w:rPr>
            </w:pPr>
            <w:r>
              <w:rPr>
                <w:sz w:val="15"/>
                <w:szCs w:val="15"/>
                <w:color w:val="212529"/>
                <w:spacing w:val="1"/>
              </w:rPr>
              <w:t>11.00</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361" w:type="dxa"/>
            <w:vAlign w:val="top"/>
          </w:tcPr>
          <w:p>
            <w:pPr>
              <w:pStyle w:val="TableText"/>
              <w:ind w:left="942"/>
              <w:spacing w:before="103" w:line="162" w:lineRule="auto"/>
              <w:rPr>
                <w:sz w:val="15"/>
                <w:szCs w:val="15"/>
              </w:rPr>
            </w:pPr>
            <w:r>
              <w:rPr>
                <w:sz w:val="15"/>
                <w:szCs w:val="15"/>
                <w:color w:val="212529"/>
                <w:spacing w:val="1"/>
              </w:rPr>
              <w:t>11.00</w:t>
            </w:r>
          </w:p>
        </w:tc>
        <w:tc>
          <w:tcPr>
            <w:tcW w:w="1280"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280" w:type="dxa"/>
            <w:vAlign w:val="top"/>
          </w:tcPr>
          <w:p>
            <w:pPr>
              <w:pStyle w:val="TableText"/>
              <w:rPr/>
            </w:pPr>
            <w:r/>
          </w:p>
        </w:tc>
      </w:tr>
    </w:tbl>
    <w:p>
      <w:pPr>
        <w:rPr>
          <w:rFonts w:ascii="Arial"/>
          <w:sz w:val="21"/>
        </w:rPr>
      </w:pPr>
      <w:r/>
    </w:p>
    <w:p>
      <w:pPr>
        <w:sectPr>
          <w:headerReference w:type="default" r:id="rId12"/>
          <w:footerReference w:type="default" r:id="rId1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160.17</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137.05</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137.05</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1069" w:type="dxa"/>
            <w:vAlign w:val="top"/>
          </w:tcPr>
          <w:p>
            <w:pPr>
              <w:pStyle w:val="TableText"/>
              <w:ind w:left="296"/>
              <w:spacing w:before="137"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4"/>
          <w:footerReference w:type="default" r:id="rId15"/>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1069" w:type="dxa"/>
            <w:vAlign w:val="top"/>
          </w:tcPr>
          <w:p>
            <w:pPr>
              <w:pStyle w:val="TableText"/>
              <w:ind w:left="296"/>
              <w:spacing w:before="135" w:line="187"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160.</w:t>
            </w:r>
            <w:r>
              <w:rPr>
                <w:sz w:val="13"/>
                <w:szCs w:val="13"/>
                <w:color w:val="212529"/>
                <w:spacing w:val="17"/>
              </w:rPr>
              <w:t xml:space="preserve"> </w:t>
            </w:r>
            <w:r>
              <w:rPr>
                <w:sz w:val="13"/>
                <w:szCs w:val="13"/>
                <w:color w:val="212529"/>
                <w:spacing w:val="2"/>
              </w:rPr>
              <w:t>17</w:t>
            </w:r>
          </w:p>
        </w:tc>
        <w:tc>
          <w:tcPr>
            <w:tcW w:w="1415" w:type="dxa"/>
            <w:vAlign w:val="top"/>
          </w:tcPr>
          <w:p>
            <w:pPr>
              <w:pStyle w:val="TableText"/>
              <w:ind w:left="914"/>
              <w:spacing w:before="87" w:line="186" w:lineRule="auto"/>
              <w:rPr>
                <w:sz w:val="13"/>
                <w:szCs w:val="13"/>
              </w:rPr>
            </w:pPr>
            <w:r>
              <w:rPr>
                <w:sz w:val="13"/>
                <w:szCs w:val="13"/>
                <w:color w:val="212529"/>
                <w:spacing w:val="3"/>
              </w:rPr>
              <w:t>143.</w:t>
            </w:r>
            <w:r>
              <w:rPr>
                <w:sz w:val="13"/>
                <w:szCs w:val="13"/>
                <w:color w:val="212529"/>
                <w:spacing w:val="11"/>
              </w:rPr>
              <w:t xml:space="preserve"> </w:t>
            </w:r>
            <w:r>
              <w:rPr>
                <w:sz w:val="13"/>
                <w:szCs w:val="13"/>
                <w:color w:val="212529"/>
                <w:spacing w:val="3"/>
              </w:rPr>
              <w:t>82</w:t>
            </w:r>
          </w:p>
        </w:tc>
        <w:tc>
          <w:tcPr>
            <w:tcW w:w="1377" w:type="dxa"/>
            <w:vAlign w:val="top"/>
          </w:tcPr>
          <w:p>
            <w:pPr>
              <w:pStyle w:val="TableText"/>
              <w:ind w:left="957"/>
              <w:spacing w:before="87" w:line="186" w:lineRule="auto"/>
              <w:rPr>
                <w:sz w:val="13"/>
                <w:szCs w:val="13"/>
              </w:rPr>
            </w:pPr>
            <w:r>
              <w:rPr>
                <w:sz w:val="13"/>
                <w:szCs w:val="13"/>
                <w:color w:val="212529"/>
                <w:spacing w:val="1"/>
              </w:rPr>
              <w:t>16.</w:t>
            </w:r>
            <w:r>
              <w:rPr>
                <w:sz w:val="13"/>
                <w:szCs w:val="13"/>
                <w:color w:val="212529"/>
                <w:spacing w:val="14"/>
                <w:w w:val="102"/>
              </w:rPr>
              <w:t xml:space="preserve"> </w:t>
            </w:r>
            <w:r>
              <w:rPr>
                <w:sz w:val="13"/>
                <w:szCs w:val="13"/>
                <w:color w:val="212529"/>
                <w:spacing w:val="1"/>
              </w:rPr>
              <w:t>35</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137.05</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120.70</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132.07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115.73</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115.73</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115.73</w:t>
            </w:r>
          </w:p>
        </w:tc>
        <w:tc>
          <w:tcPr>
            <w:tcW w:w="1377" w:type="dxa"/>
            <w:vAlign w:val="top"/>
          </w:tcPr>
          <w:p>
            <w:pPr>
              <w:pStyle w:val="TableText"/>
              <w:rPr/>
            </w:pPr>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377" w:type="dxa"/>
            <w:vAlign w:val="top"/>
          </w:tcPr>
          <w:p>
            <w:pPr>
              <w:pStyle w:val="TableText"/>
              <w:rPr/>
            </w:pPr>
            <w:r/>
          </w:p>
        </w:tc>
      </w:tr>
      <w:tr>
        <w:trPr>
          <w:trHeight w:val="292" w:hRule="atLeast"/>
        </w:trPr>
        <w:tc>
          <w:tcPr>
            <w:tcW w:w="1679"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415" w:type="dxa"/>
            <w:vAlign w:val="top"/>
          </w:tcPr>
          <w:p>
            <w:pPr>
              <w:ind w:left="1063"/>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4.</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.00</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377" w:type="dxa"/>
            <w:vAlign w:val="top"/>
          </w:tcPr>
          <w:p>
            <w:pPr>
              <w:pStyle w:val="TableText"/>
              <w:rPr/>
            </w:pPr>
            <w:r/>
          </w:p>
        </w:tc>
      </w:tr>
    </w:tbl>
    <w:p>
      <w:pPr>
        <w:rPr>
          <w:rFonts w:ascii="Arial"/>
          <w:sz w:val="21"/>
        </w:rPr>
      </w:pPr>
      <w:r/>
    </w:p>
    <w:p>
      <w:pPr>
        <w:sectPr>
          <w:headerReference w:type="default" r:id="rId18"/>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7" w:line="186" w:lineRule="auto"/>
              <w:rPr>
                <w:sz w:val="13"/>
                <w:szCs w:val="13"/>
              </w:rPr>
            </w:pPr>
            <w:r>
              <w:rPr>
                <w:sz w:val="13"/>
                <w:szCs w:val="13"/>
                <w:color w:val="212529"/>
                <w:spacing w:val="3"/>
              </w:rPr>
              <w:t>143.</w:t>
            </w:r>
            <w:r>
              <w:rPr>
                <w:sz w:val="13"/>
                <w:szCs w:val="13"/>
                <w:color w:val="212529"/>
                <w:spacing w:val="11"/>
              </w:rPr>
              <w:t xml:space="preserve"> </w:t>
            </w:r>
            <w:r>
              <w:rPr>
                <w:sz w:val="13"/>
                <w:szCs w:val="13"/>
                <w:color w:val="212529"/>
                <w:spacing w:val="3"/>
              </w:rPr>
              <w:t>82</w:t>
            </w:r>
          </w:p>
        </w:tc>
        <w:tc>
          <w:tcPr>
            <w:tcW w:w="1188" w:type="dxa"/>
            <w:vAlign w:val="top"/>
          </w:tcPr>
          <w:p>
            <w:pPr>
              <w:pStyle w:val="TableText"/>
              <w:ind w:left="694"/>
              <w:spacing w:before="87" w:line="186" w:lineRule="auto"/>
              <w:rPr>
                <w:sz w:val="13"/>
                <w:szCs w:val="13"/>
              </w:rPr>
            </w:pPr>
            <w:r>
              <w:rPr>
                <w:sz w:val="13"/>
                <w:szCs w:val="13"/>
                <w:color w:val="212529"/>
                <w:spacing w:val="3"/>
              </w:rPr>
              <w:t>132.</w:t>
            </w:r>
            <w:r>
              <w:rPr>
                <w:sz w:val="13"/>
                <w:szCs w:val="13"/>
                <w:color w:val="212529"/>
                <w:spacing w:val="12"/>
                <w:w w:val="101"/>
              </w:rPr>
              <w:t xml:space="preserve"> </w:t>
            </w:r>
            <w:r>
              <w:rPr>
                <w:sz w:val="13"/>
                <w:szCs w:val="13"/>
                <w:color w:val="212529"/>
                <w:spacing w:val="3"/>
              </w:rPr>
              <w:t>16</w:t>
            </w:r>
          </w:p>
        </w:tc>
        <w:tc>
          <w:tcPr>
            <w:tcW w:w="1118" w:type="dxa"/>
            <w:vAlign w:val="top"/>
          </w:tcPr>
          <w:p>
            <w:pPr>
              <w:pStyle w:val="TableText"/>
              <w:ind w:left="699"/>
              <w:spacing w:before="87" w:line="186" w:lineRule="auto"/>
              <w:rPr>
                <w:sz w:val="13"/>
                <w:szCs w:val="13"/>
              </w:rPr>
            </w:pPr>
            <w:r>
              <w:rPr>
                <w:sz w:val="13"/>
                <w:szCs w:val="13"/>
                <w:color w:val="212529"/>
                <w:spacing w:val="2"/>
              </w:rPr>
              <w:t>11.</w:t>
            </w:r>
            <w:r>
              <w:rPr>
                <w:sz w:val="13"/>
                <w:szCs w:val="13"/>
                <w:color w:val="212529"/>
                <w:spacing w:val="11"/>
                <w:w w:val="102"/>
              </w:rPr>
              <w:t xml:space="preserve"> </w:t>
            </w:r>
            <w:r>
              <w:rPr>
                <w:sz w:val="13"/>
                <w:szCs w:val="13"/>
                <w:color w:val="212529"/>
                <w:spacing w:val="2"/>
              </w:rPr>
              <w:t>66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132.16</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132.16</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44.45</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44.45</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20.61</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4.92</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4.92</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9.28</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11.66</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53"/>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1.51</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2.65</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2.65</w:t>
            </w:r>
          </w:p>
        </w:tc>
      </w:tr>
    </w:tbl>
    <w:p>
      <w:pPr>
        <w:rPr>
          <w:rFonts w:ascii="Arial"/>
          <w:sz w:val="21"/>
        </w:rPr>
      </w:pPr>
      <w:r/>
    </w:p>
    <w:p>
      <w:pPr>
        <w:sectPr>
          <w:headerReference w:type="default" r:id="rId20"/>
          <w:footerReference w:type="default" r:id="rId21"/>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2"/>
          <w:footerReference w:type="default" r:id="rId2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4"/>
          <w:footerReference w:type="default" r:id="rId25"/>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6"/>
          <w:footerReference w:type="default" r:id="rId27"/>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8"/>
          <w:footerReference w:type="default" r:id="rId2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30" w:lineRule="auto"/>
              <w:rPr>
                <w:rFonts w:ascii="SimSun" w:hAnsi="SimSun" w:eastAsia="SimSun" w:cs="SimSun"/>
                <w:sz w:val="15"/>
                <w:szCs w:val="15"/>
              </w:rPr>
            </w:pPr>
            <w:r>
              <w:rPr>
                <w:rFonts w:ascii="SimSun" w:hAnsi="SimSun" w:eastAsia="SimSun" w:cs="SimSun"/>
                <w:sz w:val="15"/>
                <w:szCs w:val="15"/>
                <w:color w:val="212529"/>
                <w:spacing w:val="10"/>
              </w:rPr>
              <w:t>兴县固贤乡卫生院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7" w:right="172" w:firstLine="185"/>
              <w:spacing w:before="30" w:line="208"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1.14</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57" w:right="91" w:firstLine="11"/>
              <w:spacing w:before="31" w:line="208" w:lineRule="auto"/>
              <w:rPr>
                <w:rFonts w:ascii="SimSun" w:hAnsi="SimSun" w:eastAsia="SimSun" w:cs="SimSun"/>
                <w:sz w:val="15"/>
                <w:szCs w:val="15"/>
              </w:rPr>
            </w:pPr>
            <w:r>
              <w:rPr>
                <w:rFonts w:ascii="SimSun" w:hAnsi="SimSun" w:eastAsia="SimSun" w:cs="SimSun"/>
                <w:sz w:val="15"/>
                <w:szCs w:val="15"/>
                <w:color w:val="212529"/>
                <w:spacing w:val="10"/>
              </w:rPr>
              <w:t>中央财政基本药物制度（基层医</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构）晋财社[2024]208号</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3.81</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9" w:right="91" w:firstLine="323"/>
              <w:spacing w:before="31" w:line="211" w:lineRule="auto"/>
              <w:rPr>
                <w:rFonts w:ascii="SimSun" w:hAnsi="SimSun" w:eastAsia="SimSun" w:cs="SimSun"/>
                <w:sz w:val="15"/>
                <w:szCs w:val="15"/>
              </w:rPr>
            </w:pPr>
            <w:r>
              <w:rPr>
                <w:rFonts w:ascii="SimSun" w:hAnsi="SimSun" w:eastAsia="SimSun" w:cs="SimSun"/>
                <w:sz w:val="15"/>
                <w:szCs w:val="15"/>
                <w:color w:val="212529"/>
                <w:spacing w:val="10"/>
              </w:rPr>
              <w:t>25年中央财政基本药物制度（村卫生</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7"/>
              </w:rPr>
              <w:t>室）晋财社[2024 208号</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0"/>
          <w:footerReference w:type="default" r:id="rId31"/>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单位名称：兴县固贤乡卫生院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2"/>
          <w:footerReference w:type="default" r:id="rId33"/>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2025年度兴县固贤乡卫生院预算收入总计160.17万元，其</w:t>
      </w:r>
      <w:r>
        <w:rPr>
          <w:rFonts w:ascii="FangSong" w:hAnsi="FangSong" w:eastAsia="FangSong" w:cs="FangSong"/>
          <w:sz w:val="23"/>
          <w:szCs w:val="23"/>
          <w:spacing w:val="4"/>
        </w:rPr>
        <w:t>中：本年收入160.17万元，上</w:t>
      </w:r>
      <w:r>
        <w:rPr>
          <w:rFonts w:ascii="FangSong" w:hAnsi="FangSong" w:eastAsia="FangSong" w:cs="FangSong"/>
          <w:sz w:val="23"/>
          <w:szCs w:val="23"/>
        </w:rPr>
        <w:t xml:space="preserve"> </w:t>
      </w:r>
      <w:r>
        <w:rPr>
          <w:rFonts w:ascii="FangSong" w:hAnsi="FangSong" w:eastAsia="FangSong" w:cs="FangSong"/>
          <w:sz w:val="23"/>
          <w:szCs w:val="23"/>
          <w:spacing w:val="4"/>
        </w:rPr>
        <w:t>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比上年减少54.85万元，下降25.</w:t>
      </w:r>
      <w:r>
        <w:rPr>
          <w:rFonts w:ascii="FangSong" w:hAnsi="FangSong" w:eastAsia="FangSong" w:cs="FangSong"/>
          <w:sz w:val="23"/>
          <w:szCs w:val="23"/>
          <w:spacing w:val="3"/>
        </w:rPr>
        <w:t>51%，主要原因是公卫资金减少，基药补助资</w:t>
      </w:r>
      <w:r>
        <w:rPr>
          <w:rFonts w:ascii="FangSong" w:hAnsi="FangSong" w:eastAsia="FangSong" w:cs="FangSong"/>
          <w:sz w:val="23"/>
          <w:szCs w:val="23"/>
        </w:rPr>
        <w:t xml:space="preserve"> </w:t>
      </w:r>
      <w:r>
        <w:rPr>
          <w:rFonts w:ascii="FangSong" w:hAnsi="FangSong" w:eastAsia="FangSong" w:cs="FangSong"/>
          <w:sz w:val="23"/>
          <w:szCs w:val="23"/>
          <w:spacing w:val="2"/>
        </w:rPr>
        <w:t>金减少；本年单位预算支出总计160.17万元，其中：本年预算安排160.17万元，上年结转0万</w:t>
      </w:r>
      <w:r>
        <w:rPr>
          <w:rFonts w:ascii="FangSong" w:hAnsi="FangSong" w:eastAsia="FangSong" w:cs="FangSong"/>
          <w:sz w:val="23"/>
          <w:szCs w:val="23"/>
          <w:spacing w:val="2"/>
        </w:rPr>
        <w:t xml:space="preserve"> </w:t>
      </w:r>
      <w:r>
        <w:rPr>
          <w:rFonts w:ascii="FangSong" w:hAnsi="FangSong" w:eastAsia="FangSong" w:cs="FangSong"/>
          <w:sz w:val="23"/>
          <w:szCs w:val="23"/>
        </w:rPr>
        <w:t>元，比上年减少54.85万元，下降25.51%，主要原因是公卫资金减少，基药补助资金减少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72" w:line="325" w:lineRule="auto"/>
        <w:tabs>
          <w:tab w:val="left" w:pos="1510"/>
        </w:tabs>
        <w:rPr>
          <w:rFonts w:ascii="FangSong" w:hAnsi="FangSong" w:eastAsia="FangSong" w:cs="FangSong"/>
          <w:sz w:val="23"/>
          <w:szCs w:val="23"/>
        </w:rPr>
      </w:pPr>
      <w:r>
        <w:rPr>
          <w:rFonts w:ascii="FangSong" w:hAnsi="FangSong" w:eastAsia="FangSong" w:cs="FangSong"/>
          <w:sz w:val="23"/>
          <w:szCs w:val="23"/>
          <w:spacing w:val="15"/>
        </w:rPr>
        <w:t>2025年度兴县固贤乡卫生院预算收入160.17万元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160.17万元，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w:t>
      </w:r>
      <w:r>
        <w:rPr>
          <w:rFonts w:ascii="FangSong" w:hAnsi="FangSong" w:eastAsia="FangSong" w:cs="FangSong"/>
          <w:sz w:val="23"/>
          <w:szCs w:val="23"/>
        </w:rPr>
        <w:t>本经营预算拨款收</w:t>
      </w:r>
      <w:r>
        <w:rPr>
          <w:rFonts w:ascii="FangSong" w:hAnsi="FangSong" w:eastAsia="FangSong" w:cs="FangSong"/>
          <w:sz w:val="23"/>
          <w:szCs w:val="23"/>
        </w:rPr>
        <w:t xml:space="preserve"> </w:t>
      </w:r>
      <w:r>
        <w:rPr>
          <w:rFonts w:ascii="FangSong" w:hAnsi="FangSong" w:eastAsia="FangSong" w:cs="FangSong"/>
          <w:sz w:val="23"/>
          <w:szCs w:val="23"/>
        </w:rPr>
        <w:t>入0</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spacing w:val="-55"/>
        </w:rPr>
        <w:t xml:space="preserve"> </w:t>
      </w:r>
      <w:r>
        <w:rPr>
          <w:rFonts w:ascii="FangSong" w:hAnsi="FangSong" w:eastAsia="FangSong" w:cs="FangSong"/>
          <w:sz w:val="23"/>
          <w:szCs w:val="23"/>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spacing w:val="-1"/>
        </w:rPr>
        <w:t>%；上</w:t>
      </w:r>
      <w:r>
        <w:rPr>
          <w:rFonts w:ascii="FangSong" w:hAnsi="FangSong" w:eastAsia="FangSong" w:cs="FangSong"/>
          <w:sz w:val="23"/>
          <w:szCs w:val="23"/>
          <w:spacing w:val="8"/>
        </w:rPr>
        <w:t xml:space="preserve">    </w:t>
      </w:r>
      <w:r>
        <w:rPr>
          <w:rFonts w:ascii="FangSong" w:hAnsi="FangSong" w:eastAsia="FangSong" w:cs="FangSong"/>
          <w:sz w:val="23"/>
          <w:szCs w:val="23"/>
          <w:spacing w:val="-1"/>
        </w:rPr>
        <w:t>转0万</w:t>
      </w:r>
      <w:r>
        <w:rPr>
          <w:rFonts w:ascii="FangSong" w:hAnsi="FangSong" w:eastAsia="FangSong" w:cs="FangSong"/>
          <w:sz w:val="23"/>
          <w:szCs w:val="23"/>
          <w:spacing w:val="3"/>
        </w:rPr>
        <w:t xml:space="preserve"> </w:t>
      </w:r>
      <w:r>
        <w:rPr>
          <w:rFonts w:ascii="FangSong" w:hAnsi="FangSong" w:eastAsia="FangSong" w:cs="FangSong"/>
          <w:sz w:val="23"/>
          <w:szCs w:val="23"/>
        </w:rPr>
        <w:tab/>
      </w:r>
      <w:r>
        <w:rPr>
          <w:rFonts w:ascii="FangSong" w:hAnsi="FangSong" w:eastAsia="FangSong" w:cs="FangSong"/>
          <w:sz w:val="23"/>
          <w:szCs w:val="23"/>
          <w:spacing w:val="-27"/>
        </w:rPr>
        <w:t>,</w:t>
      </w:r>
      <w:r>
        <w:rPr>
          <w:rFonts w:ascii="FangSong" w:hAnsi="FangSong" w:eastAsia="FangSong" w:cs="FangSong"/>
          <w:sz w:val="23"/>
          <w:szCs w:val="23"/>
          <w:spacing w:val="105"/>
        </w:rPr>
        <w:t xml:space="preserve"> </w:t>
      </w:r>
      <w:r>
        <w:rPr>
          <w:rFonts w:ascii="FangSong" w:hAnsi="FangSong" w:eastAsia="FangSong" w:cs="FangSong"/>
          <w:sz w:val="23"/>
          <w:szCs w:val="23"/>
          <w:spacing w:val="-27"/>
        </w:rPr>
        <w:t>占0%。</w:t>
      </w:r>
    </w:p>
    <w:p>
      <w:pPr>
        <w:spacing w:line="367" w:lineRule="auto"/>
        <w:rPr>
          <w:rFonts w:ascii="Arial"/>
          <w:sz w:val="21"/>
        </w:rPr>
      </w:pPr>
      <w:r/>
    </w:p>
    <w:p>
      <w:pPr>
        <w:ind w:firstLine="3705"/>
        <w:spacing w:before="1"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333735"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2"/>
        </w:rPr>
        <w:t>2025年度兴县</w:t>
      </w:r>
      <w:r>
        <w:rPr>
          <w:rFonts w:ascii="FangSong" w:hAnsi="FangSong" w:eastAsia="FangSong" w:cs="FangSong"/>
          <w:sz w:val="23"/>
          <w:szCs w:val="23"/>
          <w:spacing w:val="18"/>
        </w:rPr>
        <w:t xml:space="preserve">      </w:t>
      </w:r>
      <w:r>
        <w:rPr>
          <w:rFonts w:ascii="FangSong" w:hAnsi="FangSong" w:eastAsia="FangSong" w:cs="FangSong"/>
          <w:sz w:val="23"/>
          <w:szCs w:val="23"/>
          <w:spacing w:val="2"/>
        </w:rPr>
        <w:t>卫</w:t>
      </w:r>
      <w:r>
        <w:rPr>
          <w:rFonts w:ascii="FangSong" w:hAnsi="FangSong" w:eastAsia="FangSong" w:cs="FangSong"/>
          <w:sz w:val="23"/>
          <w:szCs w:val="23"/>
          <w:spacing w:val="-61"/>
        </w:rPr>
        <w:t xml:space="preserve"> </w:t>
      </w:r>
      <w:r>
        <w:rPr>
          <w:rFonts w:ascii="FangSong" w:hAnsi="FangSong" w:eastAsia="FangSong" w:cs="FangSong"/>
          <w:sz w:val="23"/>
          <w:szCs w:val="23"/>
          <w:spacing w:val="2"/>
        </w:rPr>
        <w:t>生</w:t>
      </w:r>
      <w:r>
        <w:rPr>
          <w:rFonts w:ascii="FangSong" w:hAnsi="FangSong" w:eastAsia="FangSong" w:cs="FangSong"/>
          <w:sz w:val="23"/>
          <w:szCs w:val="23"/>
          <w:spacing w:val="-64"/>
        </w:rPr>
        <w:t xml:space="preserve"> </w:t>
      </w:r>
      <w:r>
        <w:rPr>
          <w:rFonts w:ascii="FangSong" w:hAnsi="FangSong" w:eastAsia="FangSong" w:cs="FangSong"/>
          <w:sz w:val="23"/>
          <w:szCs w:val="23"/>
          <w:spacing w:val="2"/>
        </w:rPr>
        <w:t>院支</w:t>
      </w:r>
      <w:r>
        <w:rPr>
          <w:rFonts w:ascii="FangSong" w:hAnsi="FangSong" w:eastAsia="FangSong" w:cs="FangSong"/>
          <w:sz w:val="23"/>
          <w:szCs w:val="23"/>
          <w:spacing w:val="-55"/>
        </w:rPr>
        <w:t xml:space="preserve"> </w:t>
      </w:r>
      <w:r>
        <w:rPr>
          <w:rFonts w:ascii="FangSong" w:hAnsi="FangSong" w:eastAsia="FangSong" w:cs="FangSong"/>
          <w:sz w:val="23"/>
          <w:szCs w:val="23"/>
          <w:spacing w:val="2"/>
        </w:rPr>
        <w:t>出预算160.17万元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，其</w:t>
      </w:r>
      <w:r>
        <w:rPr>
          <w:rFonts w:ascii="FangSong" w:hAnsi="FangSong" w:eastAsia="FangSong" w:cs="FangSong"/>
          <w:sz w:val="23"/>
          <w:szCs w:val="23"/>
          <w:spacing w:val="-48"/>
        </w:rPr>
        <w:t xml:space="preserve"> </w:t>
      </w:r>
      <w:r>
        <w:rPr>
          <w:rFonts w:ascii="FangSong" w:hAnsi="FangSong" w:eastAsia="FangSong" w:cs="FangSong"/>
          <w:sz w:val="23"/>
          <w:szCs w:val="23"/>
          <w:spacing w:val="2"/>
        </w:rPr>
        <w:t>中：</w:t>
      </w:r>
      <w:r>
        <w:rPr>
          <w:rFonts w:ascii="FangSong" w:hAnsi="FangSong" w:eastAsia="FangSong" w:cs="FangSong"/>
          <w:sz w:val="23"/>
          <w:szCs w:val="23"/>
          <w:spacing w:val="-55"/>
        </w:rPr>
        <w:t xml:space="preserve"> </w:t>
      </w:r>
      <w:r>
        <w:rPr>
          <w:rFonts w:ascii="FangSong" w:hAnsi="FangSong" w:eastAsia="FangSong" w:cs="FangSong"/>
          <w:sz w:val="23"/>
          <w:szCs w:val="23"/>
          <w:spacing w:val="2"/>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2"/>
        </w:rPr>
        <w:t>出143.82万元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w:t>
      </w:r>
      <w:r>
        <w:rPr>
          <w:rFonts w:ascii="FangSong" w:hAnsi="FangSong" w:eastAsia="FangSong" w:cs="FangSong"/>
          <w:sz w:val="23"/>
          <w:szCs w:val="23"/>
          <w:spacing w:val="-37"/>
        </w:rPr>
        <w:t xml:space="preserve"> </w:t>
      </w:r>
      <w:r>
        <w:rPr>
          <w:rFonts w:ascii="FangSong" w:hAnsi="FangSong" w:eastAsia="FangSong" w:cs="FangSong"/>
          <w:sz w:val="23"/>
          <w:szCs w:val="23"/>
          <w:spacing w:val="2"/>
        </w:rPr>
        <w:t>占</w:t>
      </w:r>
    </w:p>
    <w:p>
      <w:pPr>
        <w:ind w:left="1257"/>
        <w:spacing w:before="123" w:line="223" w:lineRule="auto"/>
        <w:rPr>
          <w:rFonts w:ascii="FangSong" w:hAnsi="FangSong" w:eastAsia="FangSong" w:cs="FangSong"/>
          <w:sz w:val="23"/>
          <w:szCs w:val="23"/>
        </w:rPr>
      </w:pPr>
      <w:r>
        <w:rPr>
          <w:rFonts w:ascii="FangSong" w:hAnsi="FangSong" w:eastAsia="FangSong" w:cs="FangSong"/>
          <w:sz w:val="23"/>
          <w:szCs w:val="23"/>
          <w:spacing w:val="-3"/>
        </w:rPr>
        <w:t>89.79%；项目</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9"/>
        </w:rPr>
        <w:t xml:space="preserve"> </w:t>
      </w:r>
      <w:r>
        <w:rPr>
          <w:rFonts w:ascii="FangSong" w:hAnsi="FangSong" w:eastAsia="FangSong" w:cs="FangSong"/>
          <w:sz w:val="23"/>
          <w:szCs w:val="23"/>
          <w:spacing w:val="-3"/>
        </w:rPr>
        <w:t>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占10.21%。</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2025年度兴县固贤乡卫生院财政拨款收支总预算160.17万元。其中：一般公共预算拨款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160.17万元，政府性基金预算拨款0万元，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w:t>
      </w:r>
      <w:r>
        <w:rPr>
          <w:rFonts w:ascii="FangSong" w:hAnsi="FangSong" w:eastAsia="FangSong" w:cs="FangSong"/>
          <w:sz w:val="23"/>
          <w:szCs w:val="23"/>
          <w:spacing w:val="2"/>
        </w:rPr>
        <w:t>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5"/>
        </w:rPr>
        <w:t>入160.17万元，上年结转收入0万元。支出包括：社会</w:t>
      </w:r>
      <w:r>
        <w:rPr>
          <w:rFonts w:ascii="FangSong" w:hAnsi="FangSong" w:eastAsia="FangSong" w:cs="FangSong"/>
          <w:sz w:val="23"/>
          <w:szCs w:val="23"/>
          <w:spacing w:val="4"/>
        </w:rPr>
        <w:t>保障和就业支出12.11万元、卫生健康</w:t>
      </w:r>
      <w:r>
        <w:rPr>
          <w:rFonts w:ascii="FangSong" w:hAnsi="FangSong" w:eastAsia="FangSong" w:cs="FangSong"/>
          <w:sz w:val="23"/>
          <w:szCs w:val="23"/>
        </w:rPr>
        <w:t xml:space="preserve"> </w:t>
      </w:r>
      <w:r>
        <w:rPr>
          <w:rFonts w:ascii="FangSong" w:hAnsi="FangSong" w:eastAsia="FangSong" w:cs="FangSong"/>
          <w:sz w:val="23"/>
          <w:szCs w:val="23"/>
        </w:rPr>
        <w:t>支出137.05万元、住房保障支出11.0</w:t>
      </w:r>
      <w:r>
        <w:rPr>
          <w:rFonts w:ascii="FangSong" w:hAnsi="FangSong" w:eastAsia="FangSong" w:cs="FangSong"/>
          <w:sz w:val="23"/>
          <w:szCs w:val="23"/>
          <w:spacing w:val="-1"/>
        </w:rPr>
        <w:t>0万元等。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3"/>
        </w:rPr>
        <w:t>2025年度兴县固贤乡卫生院一般公共预算当年支出160</w:t>
      </w:r>
      <w:r>
        <w:rPr>
          <w:rFonts w:ascii="FangSong" w:hAnsi="FangSong" w:eastAsia="FangSong" w:cs="FangSong"/>
          <w:sz w:val="23"/>
          <w:szCs w:val="23"/>
          <w:spacing w:val="2"/>
        </w:rPr>
        <w:t>.17万元,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比上年减少54.85万元，</w:t>
      </w:r>
      <w:r>
        <w:rPr>
          <w:rFonts w:ascii="FangSong" w:hAnsi="FangSong" w:eastAsia="FangSong" w:cs="FangSong"/>
          <w:sz w:val="23"/>
          <w:szCs w:val="23"/>
        </w:rPr>
        <w:t xml:space="preserve"> </w:t>
      </w:r>
      <w:r>
        <w:rPr>
          <w:rFonts w:ascii="FangSong" w:hAnsi="FangSong" w:eastAsia="FangSong" w:cs="FangSong"/>
          <w:sz w:val="23"/>
          <w:szCs w:val="23"/>
          <w:spacing w:val="-2"/>
        </w:rPr>
        <w:t>下降25.51%。</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年度兴县固贤乡卫生院一般公共预算当年支出160.17万元,主要用于以</w:t>
      </w:r>
      <w:r>
        <w:rPr>
          <w:rFonts w:ascii="FangSong" w:hAnsi="FangSong" w:eastAsia="FangSong" w:cs="FangSong"/>
          <w:sz w:val="23"/>
          <w:szCs w:val="23"/>
          <w:spacing w:val="2"/>
        </w:rPr>
        <w:t xml:space="preserve">      </w:t>
      </w:r>
      <w:r>
        <w:rPr>
          <w:rFonts w:ascii="FangSong" w:hAnsi="FangSong" w:eastAsia="FangSong" w:cs="FangSong"/>
          <w:sz w:val="23"/>
          <w:szCs w:val="23"/>
          <w:spacing w:val="2"/>
        </w:rPr>
        <w:t>：社会</w:t>
      </w:r>
    </w:p>
    <w:p>
      <w:pPr>
        <w:ind w:left="1513"/>
        <w:spacing w:before="124" w:line="221" w:lineRule="auto"/>
        <w:rPr>
          <w:rFonts w:ascii="FangSong" w:hAnsi="FangSong" w:eastAsia="FangSong" w:cs="FangSong"/>
          <w:sz w:val="23"/>
          <w:szCs w:val="23"/>
        </w:rPr>
      </w:pPr>
      <w:r>
        <w:rPr>
          <w:rFonts w:ascii="FangSong" w:hAnsi="FangSong" w:eastAsia="FangSong" w:cs="FangSong"/>
          <w:sz w:val="23"/>
          <w:szCs w:val="23"/>
          <w:spacing w:val="1"/>
        </w:rPr>
        <w:t>障和就业支出12.11万元，</w:t>
      </w:r>
      <w:r>
        <w:rPr>
          <w:rFonts w:ascii="FangSong" w:hAnsi="FangSong" w:eastAsia="FangSong" w:cs="FangSong"/>
          <w:sz w:val="23"/>
          <w:szCs w:val="23"/>
          <w:spacing w:val="-39"/>
        </w:rPr>
        <w:t xml:space="preserve"> </w:t>
      </w:r>
      <w:r>
        <w:rPr>
          <w:rFonts w:ascii="FangSong" w:hAnsi="FangSong" w:eastAsia="FangSong" w:cs="FangSong"/>
          <w:sz w:val="23"/>
          <w:szCs w:val="23"/>
          <w:spacing w:val="1"/>
        </w:rPr>
        <w:t>占7.56%；卫生健康支出137.05万元，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占85.</w:t>
      </w:r>
      <w:r>
        <w:rPr>
          <w:rFonts w:ascii="FangSong" w:hAnsi="FangSong" w:eastAsia="FangSong" w:cs="FangSong"/>
          <w:sz w:val="23"/>
          <w:szCs w:val="23"/>
          <w:spacing w:val="1"/>
        </w:rPr>
        <w:t xml:space="preserve">         </w:t>
      </w:r>
      <w:r>
        <w:rPr>
          <w:rFonts w:ascii="FangSong" w:hAnsi="FangSong" w:eastAsia="FangSong" w:cs="FangSong"/>
          <w:sz w:val="23"/>
          <w:szCs w:val="23"/>
          <w:spacing w:val="1"/>
        </w:rPr>
        <w:t>保障支出</w:t>
      </w:r>
    </w:p>
    <w:p>
      <w:pPr>
        <w:ind w:left="1273"/>
        <w:spacing w:before="135" w:line="224" w:lineRule="auto"/>
        <w:rPr>
          <w:rFonts w:ascii="FangSong" w:hAnsi="FangSong" w:eastAsia="FangSong" w:cs="FangSong"/>
          <w:sz w:val="23"/>
          <w:szCs w:val="23"/>
        </w:rPr>
      </w:pPr>
      <w:r>
        <w:rPr>
          <w:rFonts w:ascii="FangSong" w:hAnsi="FangSong" w:eastAsia="FangSong" w:cs="FangSong"/>
          <w:sz w:val="23"/>
          <w:szCs w:val="23"/>
          <w:spacing w:val="-5"/>
        </w:rPr>
        <w:t>11.00万元，</w:t>
      </w:r>
      <w:r>
        <w:rPr>
          <w:rFonts w:ascii="FangSong" w:hAnsi="FangSong" w:eastAsia="FangSong" w:cs="FangSong"/>
          <w:sz w:val="23"/>
          <w:szCs w:val="23"/>
          <w:spacing w:val="-56"/>
        </w:rPr>
        <w:t xml:space="preserve"> </w:t>
      </w:r>
      <w:r>
        <w:rPr>
          <w:rFonts w:ascii="FangSong" w:hAnsi="FangSong" w:eastAsia="FangSong" w:cs="FangSong"/>
          <w:sz w:val="23"/>
          <w:szCs w:val="23"/>
          <w:spacing w:val="-5"/>
        </w:rPr>
        <w:t>占6.87%等。</w:t>
      </w:r>
    </w:p>
    <w:p>
      <w:pPr>
        <w:spacing w:line="224"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4664"/>
        <w:spacing w:line="2463" w:lineRule="exact"/>
        <w:rPr/>
      </w:pPr>
      <w:r>
        <w:rPr>
          <w:position w:val="-49"/>
        </w:rPr>
        <w:drawing>
          <wp:inline distT="0" distB="0" distL="0" distR="0">
            <wp:extent cx="1902501" cy="1564258"/>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1902501"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2025年度兴县固贤乡卫生院一般公共预算安排基本支出143.82万元，其中：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员经费132.16万元，主要包括：其他工资福利支出、其他社会保障缴费、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41"/>
        <w:spacing w:before="125" w:line="221" w:lineRule="auto"/>
        <w:rPr>
          <w:rFonts w:ascii="FangSong" w:hAnsi="FangSong" w:eastAsia="FangSong" w:cs="FangSong"/>
          <w:sz w:val="23"/>
          <w:szCs w:val="23"/>
        </w:rPr>
      </w:pPr>
      <w:r>
        <w:rPr>
          <w:rFonts w:ascii="FangSong" w:hAnsi="FangSong" w:eastAsia="FangSong" w:cs="FangSong"/>
          <w:sz w:val="23"/>
          <w:szCs w:val="23"/>
          <w:spacing w:val="4"/>
        </w:rPr>
        <w:t>工资、</w:t>
      </w:r>
      <w:r>
        <w:rPr>
          <w:rFonts w:ascii="FangSong" w:hAnsi="FangSong" w:eastAsia="FangSong" w:cs="FangSong"/>
          <w:sz w:val="23"/>
          <w:szCs w:val="23"/>
          <w:spacing w:val="4"/>
        </w:rPr>
        <w:t xml:space="preserve">  </w:t>
      </w:r>
      <w:r>
        <w:rPr>
          <w:rFonts w:ascii="FangSong" w:hAnsi="FangSong" w:eastAsia="FangSong" w:cs="FangSong"/>
          <w:sz w:val="23"/>
          <w:szCs w:val="23"/>
          <w:spacing w:val="4"/>
        </w:rPr>
        <w:t>关事业单位基本养老保险缴费、住房公积金、职工基</w:t>
      </w:r>
      <w:r>
        <w:rPr>
          <w:rFonts w:ascii="FangSong" w:hAnsi="FangSong" w:eastAsia="FangSong" w:cs="FangSong"/>
          <w:sz w:val="23"/>
          <w:szCs w:val="23"/>
          <w:spacing w:val="3"/>
        </w:rPr>
        <w:t>本医疗</w:t>
      </w:r>
      <w:r>
        <w:rPr>
          <w:rFonts w:ascii="FangSong" w:hAnsi="FangSong" w:eastAsia="FangSong" w:cs="FangSong"/>
          <w:sz w:val="23"/>
          <w:szCs w:val="23"/>
          <w:spacing w:val="7"/>
        </w:rPr>
        <w:t xml:space="preserve">        </w:t>
      </w:r>
      <w:r>
        <w:rPr>
          <w:rFonts w:ascii="FangSong" w:hAnsi="FangSong" w:eastAsia="FangSong" w:cs="FangSong"/>
          <w:sz w:val="23"/>
          <w:szCs w:val="23"/>
          <w:spacing w:val="3"/>
        </w:rPr>
        <w:t>、津贴补</w:t>
      </w:r>
    </w:p>
    <w:p>
      <w:pPr>
        <w:ind w:left="1267"/>
        <w:spacing w:before="124" w:line="223" w:lineRule="auto"/>
        <w:rPr>
          <w:rFonts w:ascii="FangSong" w:hAnsi="FangSong" w:eastAsia="FangSong" w:cs="FangSong"/>
          <w:sz w:val="23"/>
          <w:szCs w:val="23"/>
        </w:rPr>
      </w:pPr>
      <w:r>
        <w:rPr>
          <w:rFonts w:ascii="FangSong" w:hAnsi="FangSong" w:eastAsia="FangSong" w:cs="FangSong"/>
          <w:sz w:val="23"/>
          <w:szCs w:val="23"/>
          <w:spacing w:val="-6"/>
        </w:rPr>
        <w:t>贴等；</w:t>
      </w:r>
    </w:p>
    <w:p>
      <w:pPr>
        <w:ind w:left="1729"/>
        <w:spacing w:before="133" w:line="223" w:lineRule="auto"/>
        <w:rPr>
          <w:rFonts w:ascii="FangSong" w:hAnsi="FangSong" w:eastAsia="FangSong" w:cs="FangSong"/>
          <w:sz w:val="23"/>
          <w:szCs w:val="23"/>
        </w:rPr>
      </w:pPr>
      <w:r>
        <w:rPr>
          <w:rFonts w:ascii="FangSong" w:hAnsi="FangSong" w:eastAsia="FangSong" w:cs="FangSong"/>
          <w:sz w:val="23"/>
          <w:szCs w:val="23"/>
        </w:rPr>
        <w:t>公用经费11.66万元，主要包括：福利费、工会经费、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1"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23" w:firstLine="455"/>
        <w:spacing w:before="188" w:line="319" w:lineRule="auto"/>
        <w:rPr>
          <w:rFonts w:ascii="FangSong" w:hAnsi="FangSong" w:eastAsia="FangSong" w:cs="FangSong"/>
          <w:sz w:val="23"/>
          <w:szCs w:val="23"/>
        </w:rPr>
      </w:pPr>
      <w:r>
        <w:rPr>
          <w:rFonts w:ascii="FangSong" w:hAnsi="FangSong" w:eastAsia="FangSong" w:cs="FangSong"/>
          <w:sz w:val="23"/>
          <w:szCs w:val="23"/>
          <w:spacing w:val="5"/>
        </w:rPr>
        <w:t>2025年兴县固贤乡卫生院政府采购预算总额0万元。其中：政府采购货物预算0万元、政</w:t>
      </w:r>
      <w:r>
        <w:rPr>
          <w:rFonts w:ascii="FangSong" w:hAnsi="FangSong" w:eastAsia="FangSong" w:cs="FangSong"/>
          <w:sz w:val="23"/>
          <w:szCs w:val="23"/>
          <w:spacing w:val="9"/>
        </w:rPr>
        <w:t xml:space="preserve"> </w:t>
      </w:r>
      <w:r>
        <w:rPr>
          <w:rFonts w:ascii="FangSong" w:hAnsi="FangSong" w:eastAsia="FangSong" w:cs="FangSong"/>
          <w:sz w:val="23"/>
          <w:szCs w:val="23"/>
          <w:spacing w:val="-1"/>
        </w:rPr>
        <w:t>府采购工程预算0万元、政府采购服务预算0万元。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6"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效目标，涉及资金16.35万元。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5" w:right="1223" w:firstLine="454"/>
        <w:spacing w:before="134" w:line="323" w:lineRule="auto"/>
        <w:rPr>
          <w:rFonts w:ascii="FangSong" w:hAnsi="FangSong" w:eastAsia="FangSong" w:cs="FangSong"/>
          <w:sz w:val="23"/>
          <w:szCs w:val="23"/>
        </w:rPr>
      </w:pPr>
      <w:r>
        <w:rPr>
          <w:rFonts w:ascii="FangSong" w:hAnsi="FangSong" w:eastAsia="FangSong" w:cs="FangSong"/>
          <w:sz w:val="23"/>
          <w:szCs w:val="23"/>
          <w:spacing w:val="11"/>
        </w:rPr>
        <w:t>20</w:t>
      </w:r>
      <w:r>
        <w:rPr>
          <w:rFonts w:ascii="FangSong" w:hAnsi="FangSong" w:eastAsia="FangSong" w:cs="FangSong"/>
          <w:sz w:val="23"/>
          <w:szCs w:val="23"/>
          <w:spacing w:val="11"/>
        </w:rPr>
        <w:t xml:space="preserve">  </w:t>
      </w:r>
      <w:r>
        <w:rPr>
          <w:rFonts w:ascii="FangSong" w:hAnsi="FangSong" w:eastAsia="FangSong" w:cs="FangSong"/>
          <w:sz w:val="23"/>
          <w:szCs w:val="23"/>
          <w:spacing w:val="11"/>
        </w:rPr>
        <w:t>年兴县固贤乡卫生院纳入绩效目标管理的二级</w:t>
      </w:r>
      <w:r>
        <w:rPr>
          <w:rFonts w:ascii="FangSong" w:hAnsi="FangSong" w:eastAsia="FangSong" w:cs="FangSong"/>
          <w:sz w:val="23"/>
          <w:szCs w:val="23"/>
          <w:spacing w:val="10"/>
        </w:rPr>
        <w:t>项目5个，共计金额16.35万元。其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绩效目标5个，涉及项目金额16.35万元，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424" style="position:absolute;margin-left:491.92pt;margin-top:44.1055pt;mso-position-vertical-relative:page;mso-position-horizontal-relative:page;width:119.4pt;height:18.85pt;z-index:25166233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12282" w:lineRule="exact"/>
        <w:rPr/>
      </w:pPr>
      <w:r>
        <w:pict>
          <v:shape id="_x0000_s426"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28" style="position:absolute;margin-left:-13.08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30" style="position:absolute;margin-left:491.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32"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197030" cy="7798977"/>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5197030" cy="7798977"/>
                    </a:xfrm>
                    <a:prstGeom prst="rect">
                      <a:avLst/>
                    </a:prstGeom>
                  </pic:spPr>
                </pic:pic>
              </a:graphicData>
            </a:graphic>
          </wp:inline>
        </w:drawing>
      </w:r>
    </w:p>
    <w:p>
      <w:pPr>
        <w:spacing w:line="12282" w:lineRule="exact"/>
        <w:sectPr>
          <w:headerReference w:type="default" r:id="rId40"/>
          <w:footerReference w:type="default" r:id="rId41"/>
          <w:pgSz w:w="11900" w:h="16840"/>
          <w:pgMar w:top="642" w:right="0" w:bottom="340" w:left="0" w:header="326" w:footer="111" w:gutter="0"/>
        </w:sectPr>
        <w:rPr/>
      </w:pPr>
    </w:p>
    <w:p>
      <w:pPr>
        <w:spacing w:line="277" w:lineRule="auto"/>
        <w:rPr>
          <w:rFonts w:ascii="Arial"/>
          <w:sz w:val="21"/>
        </w:rPr>
      </w:pPr>
      <w:r>
        <w:pict>
          <v:shape id="_x0000_s434"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12217" w:lineRule="exact"/>
        <w:rPr/>
      </w:pPr>
      <w:r>
        <w:pict>
          <v:shape id="_x0000_s436"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43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40"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42"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197030" cy="7757785"/>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5197030" cy="7757785"/>
                    </a:xfrm>
                    <a:prstGeom prst="rect">
                      <a:avLst/>
                    </a:prstGeom>
                  </pic:spPr>
                </pic:pic>
              </a:graphicData>
            </a:graphic>
          </wp:inline>
        </w:drawing>
      </w:r>
    </w:p>
    <w:p>
      <w:pPr>
        <w:spacing w:line="12217" w:lineRule="exact"/>
        <w:sectPr>
          <w:footerReference w:type="default" r:id="rId43"/>
          <w:pgSz w:w="11900" w:h="16840"/>
          <w:pgMar w:top="642" w:right="0" w:bottom="340" w:left="0" w:header="326" w:footer="111" w:gutter="0"/>
        </w:sectPr>
        <w:rPr/>
      </w:pPr>
    </w:p>
    <w:p>
      <w:pPr>
        <w:spacing w:line="277" w:lineRule="auto"/>
        <w:rPr>
          <w:rFonts w:ascii="Arial"/>
          <w:sz w:val="21"/>
        </w:rPr>
      </w:pPr>
      <w:r>
        <w:pict>
          <v:shape id="_x0000_s444"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12477" w:lineRule="exact"/>
        <w:rPr/>
      </w:pPr>
      <w:r>
        <w:pict>
          <v:shape id="_x0000_s446"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48" style="position:absolute;margin-left:491.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50" style="position:absolute;margin-left:-13.08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22553"/>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5197030" cy="7922553"/>
                    </a:xfrm>
                    <a:prstGeom prst="rect">
                      <a:avLst/>
                    </a:prstGeom>
                  </pic:spPr>
                </pic:pic>
              </a:graphicData>
            </a:graphic>
          </wp:inline>
        </w:drawing>
      </w:r>
    </w:p>
    <w:p>
      <w:pPr>
        <w:spacing w:line="12477" w:lineRule="exact"/>
        <w:sectPr>
          <w:footerReference w:type="default" r:id="rId45"/>
          <w:pgSz w:w="11900" w:h="16840"/>
          <w:pgMar w:top="642" w:right="0" w:bottom="340" w:left="0" w:header="326" w:footer="111" w:gutter="0"/>
        </w:sectPr>
        <w:rPr/>
      </w:pPr>
    </w:p>
    <w:p>
      <w:pPr>
        <w:spacing w:line="277" w:lineRule="auto"/>
        <w:rPr>
          <w:rFonts w:ascii="Arial"/>
          <w:sz w:val="21"/>
        </w:rPr>
      </w:pPr>
      <w:r>
        <w:pict>
          <v:shape id="_x0000_s454"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12455" w:lineRule="exact"/>
        <w:rPr/>
      </w:pPr>
      <w:r>
        <w:pict>
          <v:shape id="_x0000_s456" style="position:absolute;margin-left:491.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60"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62"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08822"/>
            <wp:effectExtent l="0" t="0" r="0" b="0"/>
            <wp:docPr id="14" name="IM 14"/>
            <wp:cNvGraphicFramePr/>
            <a:graphic>
              <a:graphicData uri="http://schemas.openxmlformats.org/drawingml/2006/picture">
                <pic:pic>
                  <pic:nvPicPr>
                    <pic:cNvPr id="14" name="IM 14"/>
                    <pic:cNvPicPr/>
                  </pic:nvPicPr>
                  <pic:blipFill>
                    <a:blip r:embed="rId48"/>
                    <a:stretch>
                      <a:fillRect/>
                    </a:stretch>
                  </pic:blipFill>
                  <pic:spPr>
                    <a:xfrm rot="0">
                      <a:off x="0" y="0"/>
                      <a:ext cx="5197030" cy="7908822"/>
                    </a:xfrm>
                    <a:prstGeom prst="rect">
                      <a:avLst/>
                    </a:prstGeom>
                  </pic:spPr>
                </pic:pic>
              </a:graphicData>
            </a:graphic>
          </wp:inline>
        </w:drawing>
      </w:r>
    </w:p>
    <w:p>
      <w:pPr>
        <w:spacing w:line="12455" w:lineRule="exact"/>
        <w:sectPr>
          <w:footerReference w:type="default" r:id="rId47"/>
          <w:pgSz w:w="11900" w:h="16840"/>
          <w:pgMar w:top="642" w:right="0" w:bottom="340" w:left="0" w:header="326" w:footer="110" w:gutter="0"/>
        </w:sectPr>
        <w:rPr/>
      </w:pPr>
    </w:p>
    <w:p>
      <w:pPr>
        <w:spacing w:line="277" w:lineRule="auto"/>
        <w:rPr>
          <w:rFonts w:ascii="Arial"/>
          <w:sz w:val="21"/>
        </w:rPr>
      </w:pPr>
      <w:r>
        <w:pict>
          <v:shape id="_x0000_s46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12455" w:lineRule="exact"/>
        <w:rPr/>
      </w:pPr>
      <w:r>
        <w:pict>
          <v:shape id="_x0000_s466" style="position:absolute;margin-left:491.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68"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470"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472"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08822"/>
            <wp:effectExtent l="0" t="0" r="0" b="0"/>
            <wp:docPr id="16" name="IM 16"/>
            <wp:cNvGraphicFramePr/>
            <a:graphic>
              <a:graphicData uri="http://schemas.openxmlformats.org/drawingml/2006/picture">
                <pic:pic>
                  <pic:nvPicPr>
                    <pic:cNvPr id="16" name="IM 16"/>
                    <pic:cNvPicPr/>
                  </pic:nvPicPr>
                  <pic:blipFill>
                    <a:blip r:embed="rId50"/>
                    <a:stretch>
                      <a:fillRect/>
                    </a:stretch>
                  </pic:blipFill>
                  <pic:spPr>
                    <a:xfrm rot="0">
                      <a:off x="0" y="0"/>
                      <a:ext cx="5197030" cy="7908822"/>
                    </a:xfrm>
                    <a:prstGeom prst="rect">
                      <a:avLst/>
                    </a:prstGeom>
                  </pic:spPr>
                </pic:pic>
              </a:graphicData>
            </a:graphic>
          </wp:inline>
        </w:drawing>
      </w:r>
    </w:p>
    <w:p>
      <w:pPr>
        <w:spacing w:line="12455" w:lineRule="exact"/>
        <w:sectPr>
          <w:footerReference w:type="default" r:id="rId49"/>
          <w:pgSz w:w="11900" w:h="16840"/>
          <w:pgMar w:top="642" w:right="0" w:bottom="340" w:left="0" w:header="326" w:footer="110" w:gutter="0"/>
        </w:sectPr>
        <w:rPr/>
      </w:pPr>
    </w:p>
    <w:p>
      <w:pPr>
        <w:spacing w:line="277" w:lineRule="auto"/>
        <w:rPr>
          <w:rFonts w:ascii="Arial"/>
          <w:sz w:val="21"/>
        </w:rPr>
      </w:pPr>
      <w:r>
        <w:pict>
          <v:shape id="_x0000_s474"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75"/>
        <w:spacing w:line="9385" w:lineRule="exact"/>
        <w:rPr/>
      </w:pPr>
      <w:r>
        <w:pict>
          <v:shape id="_x0000_s476"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478" style="position:absolute;margin-left:-13.08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480"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482"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87"/>
        </w:rPr>
        <w:drawing>
          <wp:inline distT="0" distB="0" distL="0" distR="0">
            <wp:extent cx="5197030" cy="5959078"/>
            <wp:effectExtent l="0" t="0" r="0" b="0"/>
            <wp:docPr id="18" name="IM 18"/>
            <wp:cNvGraphicFramePr/>
            <a:graphic>
              <a:graphicData uri="http://schemas.openxmlformats.org/drawingml/2006/picture">
                <pic:pic>
                  <pic:nvPicPr>
                    <pic:cNvPr id="18" name="IM 18"/>
                    <pic:cNvPicPr/>
                  </pic:nvPicPr>
                  <pic:blipFill>
                    <a:blip r:embed="rId52"/>
                    <a:stretch>
                      <a:fillRect/>
                    </a:stretch>
                  </pic:blipFill>
                  <pic:spPr>
                    <a:xfrm rot="0">
                      <a:off x="0" y="0"/>
                      <a:ext cx="5197030" cy="5959078"/>
                    </a:xfrm>
                    <a:prstGeom prst="rect">
                      <a:avLst/>
                    </a:prstGeom>
                  </pic:spPr>
                </pic:pic>
              </a:graphicData>
            </a:graphic>
          </wp:inline>
        </w:drawing>
      </w:r>
    </w:p>
    <w:p>
      <w:pPr>
        <w:spacing w:line="9385" w:lineRule="exact"/>
        <w:sectPr>
          <w:footerReference w:type="default" r:id="rId51"/>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日，兴县固贤乡卫生院共有公务用车编制1辆，实有1辆，其中：领导</w:t>
      </w:r>
      <w:r>
        <w:rPr>
          <w:rFonts w:ascii="FangSong" w:hAnsi="FangSong" w:eastAsia="FangSong" w:cs="FangSong"/>
          <w:sz w:val="23"/>
          <w:szCs w:val="23"/>
        </w:rPr>
        <w:t xml:space="preserve"> </w:t>
      </w:r>
      <w:r>
        <w:rPr>
          <w:rFonts w:ascii="FangSong" w:hAnsi="FangSong" w:eastAsia="FangSong" w:cs="FangSong"/>
          <w:sz w:val="23"/>
          <w:szCs w:val="23"/>
          <w:spacing w:val="11"/>
        </w:rPr>
        <w:t>用车0辆，机要通信用车0辆，应急保障用车0辆</w:t>
      </w:r>
      <w:r>
        <w:rPr>
          <w:rFonts w:ascii="FangSong" w:hAnsi="FangSong" w:eastAsia="FangSong" w:cs="FangSong"/>
          <w:sz w:val="23"/>
          <w:szCs w:val="23"/>
          <w:spacing w:val="10"/>
        </w:rPr>
        <w:t>，执法执勤用车0辆，特种专业技术用车00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辆，事业单位业务用车0辆，其他公务用车1辆。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截至2024年12月31日，兴县固贤乡卫生院使用的办公用房建筑总面积450平方米。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8"/>
        </w:rPr>
        <w:t>截至0年0月0</w:t>
      </w:r>
      <w:r>
        <w:rPr>
          <w:rFonts w:ascii="FangSong" w:hAnsi="FangSong" w:eastAsia="FangSong" w:cs="FangSong"/>
          <w:sz w:val="23"/>
          <w:szCs w:val="23"/>
          <w:spacing w:val="-40"/>
        </w:rPr>
        <w:t xml:space="preserve"> </w:t>
      </w:r>
      <w:r>
        <w:rPr>
          <w:rFonts w:ascii="FangSong" w:hAnsi="FangSong" w:eastAsia="FangSong" w:cs="FangSong"/>
          <w:sz w:val="23"/>
          <w:szCs w:val="23"/>
          <w:spacing w:val="8"/>
        </w:rPr>
        <w:t>日，兴县固贤乡卫生院占有使用价值</w:t>
      </w:r>
      <w:r>
        <w:rPr>
          <w:rFonts w:ascii="FangSong" w:hAnsi="FangSong" w:eastAsia="FangSong" w:cs="FangSong"/>
          <w:sz w:val="23"/>
          <w:szCs w:val="23"/>
          <w:spacing w:val="7"/>
        </w:rPr>
        <w:t>50万元（原值）</w:t>
      </w:r>
      <w:r>
        <w:rPr>
          <w:rFonts w:ascii="FangSong" w:hAnsi="FangSong" w:eastAsia="FangSong" w:cs="FangSong"/>
          <w:sz w:val="23"/>
          <w:szCs w:val="23"/>
          <w:spacing w:val="-53"/>
        </w:rPr>
        <w:t xml:space="preserve"> </w:t>
      </w:r>
      <w:r>
        <w:rPr>
          <w:rFonts w:ascii="FangSong" w:hAnsi="FangSong" w:eastAsia="FangSong" w:cs="FangSong"/>
          <w:sz w:val="23"/>
          <w:szCs w:val="23"/>
          <w:spacing w:val="7"/>
        </w:rPr>
        <w:t>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兴县固贤乡卫生院占有使用价值100万</w:t>
      </w:r>
      <w:r>
        <w:rPr>
          <w:rFonts w:ascii="FangSong" w:hAnsi="FangSong" w:eastAsia="FangSong" w:cs="FangSong"/>
          <w:sz w:val="23"/>
          <w:szCs w:val="23"/>
          <w:spacing w:val="-1"/>
        </w:rPr>
        <w:t>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3"/>
          <w:footerReference w:type="default" r:id="rId54"/>
          <w:pgSz w:w="11900" w:h="16840"/>
          <w:pgMar w:top="642" w:right="0" w:bottom="340" w:left="0" w:header="326" w:footer="110" w:gutter="0"/>
        </w:sectPr>
        <w:rPr>
          <w:rFonts w:ascii="FangSong" w:hAnsi="FangSong" w:eastAsia="FangSong" w:cs="FangSong"/>
          <w:sz w:val="23"/>
          <w:szCs w:val="23"/>
        </w:rPr>
      </w:pPr>
    </w:p>
    <w:p>
      <w:pPr>
        <w:spacing w:line="277" w:lineRule="auto"/>
        <w:rPr>
          <w:rFonts w:ascii="Arial"/>
          <w:sz w:val="21"/>
        </w:rPr>
      </w:pPr>
      <w:r>
        <w:pict>
          <v:shape id="_x0000_s502"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04"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06"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08" style="position:absolute;margin-left:491.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10"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0"/>
          <w:footerReference w:type="default" r:id="rId55"/>
          <w:pgSz w:w="11900" w:h="16840"/>
          <w:pgMar w:top="642" w:right="0" w:bottom="340" w:left="0" w:header="326" w:footer="111" w:gutter="0"/>
        </w:sectPr>
        <w:rPr/>
      </w:pPr>
    </w:p>
    <w:p>
      <w:pPr>
        <w:spacing w:line="277" w:lineRule="auto"/>
        <w:rPr>
          <w:rFonts w:ascii="Arial"/>
          <w:sz w:val="21"/>
        </w:rPr>
      </w:pPr>
      <w:r>
        <w:pict>
          <v:shape id="_x0000_s512"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14"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18"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520" style="position:absolute;margin-left:-13.08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spacing w:line="277" w:lineRule="auto"/>
        <w:rPr>
          <w:rFonts w:ascii="Arial"/>
          <w:sz w:val="21"/>
        </w:rPr>
      </w:pPr>
      <w:r>
        <w:pict>
          <v:shape id="_x0000_s522"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24" style="position:absolute;margin-left:491.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28" style="position:absolute;margin-left:-13.08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30"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spacing w:line="277" w:lineRule="auto"/>
        <w:rPr>
          <w:rFonts w:ascii="Arial"/>
          <w:sz w:val="21"/>
        </w:rPr>
      </w:pPr>
      <w:r>
        <w:pict>
          <v:shape id="_x0000_s532" style="position:absolute;margin-left:491.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34" style="position:absolute;margin-left:491.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36"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38"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40"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1"/>
          <w:pgSz w:w="11900" w:h="16840"/>
          <w:pgMar w:top="642" w:right="0" w:bottom="340" w:left="0" w:header="326" w:footer="111" w:gutter="0"/>
        </w:sectPr>
        <w:rPr/>
      </w:pPr>
    </w:p>
    <w:p>
      <w:pPr>
        <w:spacing w:line="277" w:lineRule="auto"/>
        <w:rPr>
          <w:rFonts w:ascii="Arial"/>
          <w:sz w:val="21"/>
        </w:rPr>
      </w:pPr>
      <w:r>
        <w:pict>
          <v:shape id="_x0000_s542"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44"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46" style="position:absolute;margin-left:86.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48"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50" style="position:absolute;margin-left:-13.08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spacing w:line="277" w:lineRule="auto"/>
        <w:rPr>
          <w:rFonts w:ascii="Arial"/>
          <w:sz w:val="21"/>
        </w:rPr>
      </w:pPr>
      <w:r>
        <w:pict>
          <v:shape id="_x0000_s552"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54" style="position:absolute;margin-left:-13.08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56"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558"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560"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spacing w:line="277" w:lineRule="auto"/>
        <w:rPr>
          <w:rFonts w:ascii="Arial"/>
          <w:sz w:val="21"/>
        </w:rPr>
      </w:pPr>
      <w:r>
        <w:pict>
          <v:shape id="_x0000_s562"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64" style="position:absolute;margin-left:391.92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566" style="position:absolute;margin-left:86.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568"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570" style="position:absolute;margin-left:-13.08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spacing w:line="277" w:lineRule="auto"/>
        <w:rPr>
          <w:rFonts w:ascii="Arial"/>
          <w:sz w:val="21"/>
        </w:rPr>
      </w:pPr>
      <w:r>
        <w:pict>
          <v:shape id="_x0000_s572"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74" style="position:absolute;margin-left:491.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576" style="position:absolute;margin-left:391.92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578" style="position:absolute;margin-left:-13.08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580" style="position:absolute;margin-left:86.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1"/>
      <w:footerReference w:type="default" r:id="rId7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2"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0.282pt;margin-top:71.2915pt;mso-position-vertical-relative:page;mso-position-horizontal-relative:page;width:35.45pt;height:6.5pt;z-index:-251563008;" o:allowincell="f" fillcolor="#212529" filled="true" stroked="false" type="#_x0000_t136">
          <v:textpath style="font-family:&quot;SimSun&quot;;font-size:6;v-text-kern:t;mso-text-shadow:auto" string="预算公开表5"/>
        </v:shape>
      </w:pict>
    </w:r>
    <w:r>
      <w:pict>
        <v:shape id="PowerPlusWaterMarkObject16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74.4118pt;margin-top:267.372pt;mso-position-vertical-relative:page;mso-position-horizontal-relative:page;width:15.25pt;height:7.9pt;z-index:-251575296;" o:allowincell="f" fillcolor="#212529" filled="true" stroked="false" type="#_x0000_t136">
          <v:textpath style="font-family:&quot;SimSun&quot;;font-size:7.5;v-text-kern:t;mso-text-shadow:auto" string="1011"/>
        </v:shape>
      </w:pict>
    </w:r>
    <w:r>
      <w:pict>
        <v:shape id="PowerPlusWaterMarkObject170" style="position:absolute;margin-left:69.8661pt;margin-top:282.508pt;mso-position-vertical-relative:page;mso-position-horizontal-relative:page;width:11.7pt;height:7.9pt;z-index:-251574272;" o:allowincell="f" fillcolor="#212529" filled="true" stroked="false" type="#_x0000_t136">
          <v:textpath style="font-family:&quot;SimSun&quot;;font-size:7.5;v-text-kern:t;mso-text-shadow:auto" string="210"/>
        </v:shape>
      </w:pict>
    </w:r>
    <w:r>
      <w:pict>
        <v:shape id="PowerPlusWaterMarkObject17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49.083pt;margin-top:282.508pt;mso-position-vertical-relative:page;mso-position-horizontal-relative:page;width:7.7pt;height:7.9pt;z-index:-251572224;" o:allowincell="f" fillcolor="#212529" filled="true" stroked="false" type="#_x0000_t136">
          <v:textpath style="font-family:&quot;SimSun&quot;;font-size:7.5;v-text-kern:t;mso-text-shadow:auto" string="98"/>
        </v:shape>
      </w:pict>
    </w:r>
    <w:r>
      <w:pict>
        <v:shape id="PowerPlusWaterMarkObject176" style="position:absolute;margin-left:437.475pt;margin-top:297.644pt;mso-position-vertical-relative:page;mso-position-horizontal-relative:page;width:19.3pt;height:7.9pt;z-index:-251571200;" o:allowincell="f" fillcolor="#212529" filled="true" stroked="false" type="#_x0000_t136">
          <v:textpath style="font-family:&quot;SimSun&quot;;font-size:7.5;v-text-kern:t;mso-text-shadow:auto" string="11 00"/>
        </v:shape>
      </w:pict>
    </w:r>
    <w:r>
      <w:pict>
        <v:shape id="PowerPlusWaterMarkObject178" style="position:absolute;margin-left:437.475pt;margin-top:312.78pt;mso-position-vertical-relative:page;mso-position-horizontal-relative:page;width:7.15pt;height:7.9pt;z-index:-251570176;" o:allowincell="f" fillcolor="#212529" filled="true" stroked="false" type="#_x0000_t136">
          <v:textpath style="font-family:&quot;SimSun&quot;;font-size:7.5;v-text-kern:t;mso-text-shadow:auto" string="11"/>
        </v:shape>
      </w:pict>
    </w:r>
    <w:r>
      <w:pict>
        <v:shape id="PowerPlusWaterMarkObject180"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2" style="position:absolute;margin-left:86.02pt;margin-top:267.372pt;mso-position-vertical-relative:page;mso-position-horizontal-relative:page;width:15.7pt;height:7.9pt;z-index:-251559936;" o:allowincell="f" fillcolor="#212529" filled="true" stroked="false" type="#_x0000_t136">
          <v:textpath style="font-family:&quot;SimSun&quot;;font-size:7.5;v-text-kern:t;mso-text-shadow:auto" string="住房"/>
        </v:shape>
      </w:pict>
    </w:r>
    <w:r>
      <w:pict>
        <v:shape id="PowerPlusWaterMarkObject194" style="position:absolute;margin-left:86.92pt;margin-top:27.7633pt;mso-position-vertical-relative:text;mso-position-horizontal-relative:text;width:119.4pt;height:18.85pt;z-index:-25154764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86.557pt;margin-top:71.2915pt;mso-position-vertical-relative:page;mso-position-horizontal-relative:page;width:35.45pt;height:6.5pt;z-index:-251548672;" o:allowincell="f" fillcolor="#212529" filled="true" stroked="false" type="#_x0000_t136">
          <v:textpath style="font-family:&quot;SimSun&quot;;font-size:6;v-text-kern:t;mso-text-shadow:auto" string="预算公开表6"/>
        </v:shape>
      </w:pict>
    </w:r>
    <w:r>
      <w:pict>
        <v:shape id="PowerPlusWaterMarkObject204" style="position:absolute;margin-left:450.511pt;margin-top:282.508pt;mso-position-vertical-relative:page;mso-position-horizontal-relative:page;width:15.8pt;height:7.9pt;z-index:-251557888;" o:allowincell="f" fillcolor="#212529" filled="true" stroked="false" type="#_x0000_t136">
          <v:textpath style="font-family:&quot;SimSun&quot;;font-size:7.5;v-text-kern:t;mso-text-shadow:auto" string="9 28"/>
        </v:shape>
      </w:pict>
    </w:r>
    <w:r>
      <w:pict>
        <v:shape id="PowerPlusWaterMarkObject206" style="position:absolute;margin-left:399.19pt;margin-top:312.78pt;mso-position-vertical-relative:page;mso-position-horizontal-relative:page;width:7.55pt;height:7.9pt;z-index:-251556864;" o:allowincell="f" fillcolor="#212529" filled="true" stroked="false" type="#_x0000_t136">
          <v:textpath style="font-family:&quot;SimSun&quot;;font-size:7.5;v-text-kern:t;mso-text-shadow:auto" string="50"/>
        </v:shape>
      </w:pict>
    </w:r>
    <w:r>
      <w:pict>
        <v:shape id="PowerPlusWaterMarkObject208" style="position:absolute;margin-left:399.19pt;margin-top:327.916pt;mso-position-vertical-relative:page;mso-position-horizontal-relative:page;width:7.55pt;height:7.9pt;z-index:-251555840;" o:allowincell="f" fillcolor="#212529" filled="true" stroked="false" type="#_x0000_t136">
          <v:textpath style="font-family:&quot;SimSun&quot;;font-size:7.5;v-text-kern:t;mso-text-shadow:auto" string="51"/>
        </v:shape>
      </w:pict>
    </w:r>
    <w:r>
      <w:pict>
        <v:shape id="PowerPlusWaterMarkObject210" style="position:absolute;margin-left:491.92pt;margin-top:44.105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532.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_x0000_s218" style="position:absolute;margin-left:30pt;margin-top:29.5pt;mso-position-vertical-relative:page;mso-position-horizontal-relative:page;width:535pt;height:1pt;z-index:-25155072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20"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22" style="position:absolute;margin-left:490.334pt;margin-top:73.4279pt;mso-position-vertical-relative:page;mso-position-horizontal-relative:page;width:35.4pt;height:6.5pt;z-index:-251538432;" o:allowincell="f" fillcolor="#212529" filled="true" stroked="false" type="#_x0000_t136">
          <v:textpath style="font-family:&quot;SimSun&quot;;font-size:6;v-text-kern:t;mso-text-shadow:auto" string="预算公开表7"/>
        </v:shape>
      </w:pict>
    </w:r>
    <w:r>
      <w:pict>
        <v:shape id="PowerPlusWaterMarkObject224"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86.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282pt;margin-top:73.4538pt;mso-position-vertical-relative:page;mso-position-horizontal-relative:page;width:35.45pt;height:6.5pt;z-index:-251528192;" o:allowincell="f" fillcolor="#212529" filled="true" stroked="false" type="#_x0000_t136">
          <v:textpath style="font-family:&quot;SimSun&quot;;font-size:6;v-text-kern:t;mso-text-shadow:auto" string="预算公开表8"/>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36pt;margin-top:78.8596pt;mso-position-vertical-relative:page;mso-position-horizontal-relative:page;width:35.35pt;height:6.5pt;z-index:-251517952;" o:allowincell="f" fillcolor="#212529" filled="true" stroked="false" type="#_x0000_t136">
          <v:textpath style="font-family:&quot;SimSun&quot;;font-size:6;v-text-kern:t;mso-text-shadow:auto" string="部门公开表9"/>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87.09pt;margin-top:67.4816pt;mso-position-vertical-relative:page;mso-position-horizontal-relative:page;width:38.65pt;height:6.5pt;z-index:-251507712;" o:allowincell="f" fillcolor="#212529" filled="true" stroked="false" type="#_x0000_t136">
          <v:textpath style="font-family:&quot;SimSun&quot;;font-size:6;v-text-kern:t;mso-text-shadow:auto" string="预算公开表11"/>
        </v:shape>
      </w:pict>
    </w:r>
    <w:r>
      <w:pict>
        <v:shape id="PowerPlusWaterMarkObject290"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391.92pt;margin-top:288.105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00"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77.9747pt;margin-top:263.047pt;mso-position-vertical-relative:page;mso-position-horizontal-relative:page;width:23.75pt;height:7.9pt;z-index:-251502592;" o:allowincell="f" fillcolor="#212529" filled="true" stroked="false" type="#_x0000_t136">
          <v:textpath style="font-family:&quot;SimSun&quot;;font-size:7.5;v-text-kern:t;mso-text-shadow:auto" string="2025年"/>
        </v:shape>
      </w:pict>
    </w:r>
    <w:r>
      <w:pict>
        <v:shape id="PowerPlusWaterMarkObject304" style="position:absolute;margin-left:69.7393pt;margin-top:272.237pt;mso-position-vertical-relative:page;mso-position-horizontal-relative:page;width:32pt;height:7.9pt;z-index:-251504640;" o:allowincell="f" fillcolor="#212529" filled="true" stroked="false" type="#_x0000_t136">
          <v:textpath style="font-family:&quot;SimSun&quot;;font-size:7.5;v-text-kern:t;mso-text-shadow:auto" string="疗卫生机"/>
        </v:shape>
      </w:pict>
    </w:r>
    <w:r>
      <w:pict>
        <v:shape id="PowerPlusWaterMarkObject306" style="position:absolute;margin-left:77.9747pt;margin-top:282.508pt;mso-position-vertical-relative:page;mso-position-horizontal-relative:page;width:7.65pt;height:7.9pt;z-index:-251503616;" o:allowincell="f" fillcolor="#212529" filled="true" stroked="false" type="#_x0000_t136">
          <v:textpath style="font-family:&quot;SimSun&quot;;font-size:7.5;v-text-kern:t;mso-text-shadow:auto" string="20"/>
        </v:shape>
      </w:pict>
    </w:r>
    <w:r>
      <w:pict>
        <v:shape id="PowerPlusWaterMarkObject308" style="position:absolute;margin-left:130.8pt;margin-top:291.698pt;mso-position-vertical-relative:page;mso-position-horizontal-relative:page;width:3.45pt;height:7.9pt;z-index:-251500544;" o:allowincell="f" fillcolor="#212529" filled="true" stroked="false" type="#_x0000_t136">
          <v:textpath style="font-family:&quot;SimSun&quot;;font-size:7.5;v-text-kern:t;mso-text-shadow:auto" string="]"/>
        </v:shape>
      </w:pict>
    </w:r>
    <w:r>
      <w:pict>
        <v:shape id="PowerPlusWaterMarkObject310" style="position:absolute;margin-left:-13.08pt;margin-top:288.10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87.09pt;margin-top:73.4279pt;mso-position-vertical-relative:page;mso-position-horizontal-relative:page;width:38.65pt;height:6.5pt;z-index:-251493376;" o:allowincell="f" fillcolor="#212529" filled="true" stroked="false" type="#_x0000_t136">
          <v:textpath style="font-family:&quot;SimSun&quot;;font-size:6;v-text-kern:t;mso-text-shadow:auto" string="预算公开表12"/>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3"/>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8" style="position:absolute;margin-left:86.92pt;margin-top:27.7633pt;mso-position-vertical-relative:text;mso-position-horizontal-relative:text;width:119.4pt;height:18.85pt;z-index:-251465728;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491.92pt;margin-top:44.105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81.118pt;margin-top:258.837pt;mso-position-vertical-relative:page;mso-position-horizontal-relative:page;width:22.5pt;height:11.8pt;z-index:-251479040;" o:allowincell="f" fillcolor="#000000" filled="true" stroked="false" type="#_x0000_t136">
          <v:textpath style="font-family:&quot;FangSong&quot;;font-size:11.5;v-text-kern:t;mso-text-shadow:auto" string="万元"/>
        </v:shape>
      </w:pict>
    </w:r>
    <w:r>
      <w:pict>
        <v:shape id="PowerPlusWaterMarkObject354" style="position:absolute;margin-left:63.38pt;margin-top:278.838pt;mso-position-vertical-relative:page;mso-position-horizontal-relative:page;width:10.6pt;height:11.8pt;z-index:-251480064;" o:allowincell="f" fillcolor="#000000" filled="true" stroked="false" type="#_x0000_t136">
          <v:textpath style="font-family:&quot;FangSong&quot;;font-size:11.5;v-text-kern:t;mso-text-shadow:auto" string="元"/>
        </v:shape>
      </w:pict>
    </w:r>
    <w:r>
      <w:pict>
        <v:shape id="PowerPlusWaterMarkObject356" style="position:absolute;margin-left:-13.08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481.843pt;margin-top:258.837pt;mso-position-vertical-relative:page;mso-position-horizontal-relative:page;width:22.35pt;height:11.8pt;z-index:-251476992;" o:allowincell="f" fillcolor="#000000" filled="true" stroked="false" type="#_x0000_t136">
          <v:textpath style="font-family:&quot;FangSong&quot;;font-size:11.5;v-text-kern:t;mso-text-shadow:auto" string="年结"/>
        </v:shape>
      </w:pict>
    </w:r>
    <w:r>
      <w:pict>
        <v:shape id="PowerPlusWaterMarkObject360"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162.197pt;margin-top:513.988pt;mso-position-vertical-relative:page;mso-position-horizontal-relative:page;width:34.85pt;height:11.8pt;z-index:-251474944;" o:allowincell="f" fillcolor="#000000" filled="true" stroked="false" type="#_x0000_t136">
          <v:textpath style="font-family:&quot;FangSong&quot;;font-size:11.5;v-text-kern:t;mso-text-shadow:auto" string="固贤乡"/>
        </v:shape>
      </w:pict>
    </w:r>
    <w:r>
      <w:pict>
        <v:shape id="PowerPlusWaterMarkObject364" style="position:absolute;margin-left:132.372pt;margin-top:533.99pt;mso-position-vertical-relative:page;mso-position-horizontal-relative:page;width:45.4pt;height:11.8pt;z-index:-251473920;" o:allowincell="f" fillcolor="#000000" filled="true" stroked="false" type="#_x0000_t136">
          <v:textpath style="font-family:&quot;FangSong&quot;;font-size:11.5;v-text-kern:t;mso-text-shadow:auto" string="支出16 3"/>
        </v:shape>
      </w:pict>
    </w:r>
    <w:r>
      <w:pict>
        <v:shape id="PowerPlusWaterMarkObject366" style="position:absolute;margin-left:86.92pt;margin-top:532.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491.92pt;margin-top:532.106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86.0353pt;margin-top:756.166pt;mso-position-vertical-relative:page;mso-position-horizontal-relative:page;width:412.85pt;height:11.8pt;z-index:-251468800;" o:allowincell="f" fillcolor="#000000" filled="true" stroked="false" type="#_x0000_t136">
          <v:textpath style="font-family:&quot;FangSong&quot;;font-size:11.5;v-text-kern:t;mso-text-shadow:auto" string="2025                                                             下方面"/>
        </v:shape>
      </w:pict>
    </w:r>
    <w:r>
      <w:pict>
        <v:shape id="PowerPlusWaterMarkObject372" style="position:absolute;margin-left:63.2416pt;margin-top:776.167pt;mso-position-vertical-relative:page;mso-position-horizontal-relative:page;width:423.15pt;height:11.8pt;z-index:-251469824;" o:allowincell="f" fillcolor="#000000" filled="true" stroked="false" type="#_x0000_t136">
          <v:textpath style="font-family:&quot;FangSong&quot;;font-size:11.5;v-text-kern:t;mso-text-shadow:auto" string="保                                                              57%； 住房"/>
        </v:shape>
      </w:pict>
    </w:r>
    <w:r>
      <w:pict>
        <v:shape id="PowerPlusWaterMarkObject374" style="position:absolute;margin-left:-13.08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391.92pt;margin-top:776.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_x0000_s378" style="position:absolute;margin-left:30pt;margin-top:29.5pt;mso-position-vertical-relative:page;mso-position-horizontal-relative:page;width:535pt;height:1pt;z-index:-251467776;"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80" style="position:absolute;margin-left:86.92pt;margin-top:27.7633pt;mso-position-vertical-relative:text;mso-position-horizontal-relative:text;width:119.4pt;height:18.85pt;z-index:-251447296;rotation:330;" fillcolor="#404040" filled="true" stroked="false" type="#_x0000_t136">
          <v:fill opacity="0.400000"/>
          <v:textpath style="font-family:&quot;SimSun&quot;;font-size:20;v-text-kern:t;mso-text-shadow:auto" string="仅供内部审核"/>
        </v:shape>
      </w:pict>
    </w:r>
    <w:r>
      <w:pict>
        <v:shape id="PowerPlusWaterMarkObject382" style="position:absolute;margin-left:86.4389pt;margin-top:266.946pt;mso-position-vertical-relative:page;mso-position-horizontal-relative:page;width:10.6pt;height:11.8pt;z-index:-251460608;" o:allowincell="f" fillcolor="#000000" filled="true" stroked="false" type="#_x0000_t136">
          <v:textpath style="font-family:&quot;FangSong&quot;;font-size:11.5;v-text-kern:t;mso-text-shadow:auto" string="人"/>
        </v:shape>
      </w:pict>
    </w:r>
    <w:r>
      <w:pict>
        <v:shape id="PowerPlusWaterMarkObject384" style="position:absolute;margin-left:63.1955pt;margin-top:286.947pt;mso-position-vertical-relative:page;mso-position-horizontal-relative:page;width:22.6pt;height:11.8pt;z-index:-251459584;" o:allowincell="f" fillcolor="#000000" filled="true" stroked="false" type="#_x0000_t136">
          <v:textpath style="font-family:&quot;FangSong&quot;;font-size:11.5;v-text-kern:t;mso-text-shadow:auto" string="基本"/>
        </v:shape>
      </w:pict>
    </w:r>
    <w:r>
      <w:pict>
        <v:shape id="PowerPlusWaterMarkObject386" style="position:absolute;margin-left:122.152pt;margin-top:286.947pt;mso-position-vertical-relative:page;mso-position-horizontal-relative:page;width:10.8pt;height:11.8pt;z-index:-251452416;" o:allowincell="f" fillcolor="#000000" filled="true" stroked="false" type="#_x0000_t136">
          <v:textpath style="font-family:&quot;FangSong&quot;;font-size:11.5;v-text-kern:t;mso-text-shadow:auto" string="机"/>
        </v:shape>
      </w:pict>
    </w:r>
    <w:r>
      <w:pict>
        <v:shape id="PowerPlusWaterMarkObject388" style="position:absolute;margin-left:-13.08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161.161pt;margin-top:509.123pt;mso-position-vertical-relative:page;mso-position-horizontal-relative:page;width:10.85pt;height:11.8pt;z-index:-251456512;" o:allowincell="f" fillcolor="#000000" filled="true" stroked="false" type="#_x0000_t136">
          <v:textpath style="font-family:&quot;FangSong&quot;;font-size:11.5;v-text-kern:t;mso-text-shadow:auto" string="标"/>
        </v:shape>
      </w:pict>
    </w:r>
    <w:r>
      <w:pict>
        <v:shape id="PowerPlusWaterMarkObject392" style="position:absolute;margin-left:132.418pt;margin-top:529.125pt;mso-position-vertical-relative:page;mso-position-horizontal-relative:page;width:45.35pt;height:11.8pt;z-index:-251454464;" o:allowincell="f" fillcolor="#000000" filled="true" stroked="false" type="#_x0000_t136">
          <v:textpath style="font-family:&quot;FangSong&quot;;font-size:11.5;v-text-kern:t;mso-text-shadow:auto" string="位整体绩"/>
        </v:shape>
      </w:pict>
    </w:r>
    <w:r>
      <w:pict>
        <v:shape id="PowerPlusWaterMarkObject394" style="position:absolute;margin-left:103.595pt;margin-top:549.126pt;mso-position-vertical-relative:page;mso-position-horizontal-relative:page;width:45.35pt;height:11.8pt;z-index:-251455488;" o:allowincell="f" fillcolor="#000000" filled="true" stroked="false" type="#_x0000_t136">
          <v:textpath style="font-family:&quot;FangSong&quot;;font-size:11.5;v-text-kern:t;mso-text-shadow:auto" string="项目绩效"/>
        </v:shape>
      </w:pict>
    </w:r>
    <w:r>
      <w:pict>
        <v:shape id="PowerPlusWaterMarkObject396" style="position:absolute;margin-left:97.5647pt;margin-top:569.668pt;mso-position-vertical-relative:page;mso-position-horizontal-relative:page;width:11pt;height:11.8pt;z-index:-251457536;" o:allowincell="f" fillcolor="#000000" filled="true" stroked="false" type="#_x0000_t136">
          <v:textpath style="font-family:&quot;FangSong&quot;;font-size:11.5;v-text-kern:t;mso-text-shadow:auto" string="25"/>
        </v:shape>
      </w:pict>
    </w:r>
    <w:r>
      <w:pict>
        <v:shape id="PowerPlusWaterMarkObject398" style="position:absolute;margin-left:86.92pt;margin-top:532.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13.08pt;margin-top:776.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475.974pt;margin-top:266.946pt;mso-position-vertical-relative:page;mso-position-horizontal-relative:page;width:34.25pt;height:11.8pt;z-index:-251463680;" o:allowincell="f" fillcolor="#000000" filled="true" stroked="false" type="#_x0000_t136">
          <v:textpath style="font-family:&quot;FangSong&quot;;font-size:11.5;v-text-kern:t;mso-text-shadow:auto" string="绩效工"/>
        </v:shape>
      </w:pict>
    </w:r>
    <w:r>
      <w:pict>
        <v:shape id="PowerPlusWaterMarkObject404" style="position:absolute;margin-left:440.561pt;margin-top:286.947pt;mso-position-vertical-relative:page;mso-position-horizontal-relative:page;width:46.1pt;height:11.8pt;z-index:-251462656;" o:allowincell="f" fillcolor="#000000" filled="true" stroked="false" type="#_x0000_t136">
          <v:textpath style="font-family:&quot;FangSong&quot;;font-size:11.5;v-text-kern:t;mso-text-shadow:auto" string="保险缴费"/>
        </v:shape>
      </w:pict>
    </w:r>
    <w:r>
      <w:pict>
        <v:shape id="PowerPlusWaterMarkObject406" style="position:absolute;margin-left:491.92pt;margin-top:44.1055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391.92pt;margin-top:288.105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491.92pt;margin-top:532.106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391.92pt;margin-top:776.106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30pt;margin-top:29.5pt;mso-position-vertical-relative:page;mso-position-horizontal-relative:page;width:535pt;height:1pt;z-index:-251449344;"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16" style="position:absolute;margin-left:86.92pt;margin-top:27.7633pt;mso-position-vertical-relative:text;mso-position-horizontal-relative:text;width:119.4pt;height:18.85pt;z-index:-251443200;rotation:330;" fillcolor="#404040" filled="true" stroked="false" type="#_x0000_t136">
          <v:fill opacity="0.400000"/>
          <v:textpath style="font-family:&quot;SimSun&quot;;font-size:20;v-text-kern:t;mso-text-shadow:auto" string="仅供内部审核"/>
        </v:shape>
      </w:pict>
    </w:r>
    <w:r>
      <w:pict>
        <v:shape id="PowerPlusWaterMarkObject418" style="position:absolute;margin-left:-13.08pt;margin-top:776.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391.92pt;margin-top:776.106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_x0000_s422" style="position:absolute;margin-left:30pt;margin-top:29.5pt;mso-position-vertical-relative:page;mso-position-horizontal-relative:page;width:535pt;height:1pt;z-index:-251444224;"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84" style="position:absolute;margin-left:86.92pt;margin-top:27.7633pt;mso-position-vertical-relative:text;mso-position-horizontal-relative:text;width:119.4pt;height:18.85pt;z-index:-251433984;rotation:330;" fillcolor="#404040" filled="true" stroked="false" type="#_x0000_t136">
          <v:fill opacity="0.400000"/>
          <v:textpath style="font-family:&quot;SimSun&quot;;font-size:20;v-text-kern:t;mso-text-shadow:auto" string="仅供内部审核"/>
        </v:shape>
      </w:pict>
    </w:r>
    <w:r>
      <w:pict>
        <v:shape id="PowerPlusWaterMarkObject486" style="position:absolute;margin-left:-13.08pt;margin-top:288.105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491.92pt;margin-top:44.1055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391.92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86.92pt;margin-top:532.106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13.08pt;margin-top:776.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96" style="position:absolute;margin-left:491.92pt;margin-top:532.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98" style="position:absolute;margin-left:391.92pt;margin-top:776.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_x0000_s500"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82"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584"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586" style="position:absolute;margin-left:491.92pt;margin-top:44.1055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588" style="position:absolute;margin-left:391.92pt;margin-top:288.10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590" style="position:absolute;margin-left:86.92pt;margin-top:532.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592" style="position:absolute;margin-left:-13.08pt;margin-top:776.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594" style="position:absolute;margin-left:491.92pt;margin-top:532.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596" style="position:absolute;margin-left:391.92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_x0000_s598" style="position:absolute;margin-left:30pt;margin-top:29.5pt;mso-position-vertical-relative:page;mso-position-horizontal-relative:page;width:535pt;height:1pt;z-index:-251426816;"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sz w:val="16"/>
        <w:szCs w:val="16"/>
        <w:spacing w:val="-2"/>
        <w:position w:val="1"/>
      </w:rPr>
      <w:t>兴县固贤乡卫生院2025年单位预算公开报告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2" style="position:absolute;margin-left:86.92pt;margin-top:27.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WordPictureWatermark108" style="position:absolute;margin-left:395.367pt;margin-top:259.52pt;mso-position-vertical-relative:page;mso-position-horizontal-relative:page;width:112.65pt;height:75.9pt;z-index:-251606016;" o:allowincell="f" filled="false" stroked="false" type="#_x0000_t75">
          <v:imagedata o:title="" r:id="rId1"/>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3.62pt;margin-top:72.8103pt;mso-position-vertical-relative:page;mso-position-horizontal-relative:page;width:32.1pt;height:7.2pt;z-index:-251588608;" o:allowincell="f" fillcolor="#212529" filled="true" stroked="false" type="#_x0000_t136">
          <v:textpath style="font-family:&quot;SimSun&quot;;font-size:7;v-text-kern:t;mso-text-shadow:auto" string="算公开表4"/>
        </v:shape>
      </w:pict>
    </w:r>
    <w:r>
      <w:pict>
        <v:shape id="PowerPlusWaterMarkObject124"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05.911pt;margin-top:325.754pt;mso-position-vertical-relative:page;mso-position-horizontal-relative:page;width:7.15pt;height:7.9pt;z-index:-251595776;" o:allowincell="f" fillcolor="#212529" filled="true" stroked="false" type="#_x0000_t136">
          <v:textpath style="font-family:&quot;SimSun&quot;;font-size:7.5;v-text-kern:t;mso-text-shadow:auto" string="12"/>
        </v:shape>
      </w:pict>
    </w:r>
    <w:r>
      <w:pict>
        <v:shape id="PowerPlusWaterMarkObject128"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2" style="position:absolute;margin-left:94.1286pt;margin-top:66.2782pt;mso-position-vertical-relative:page;mso-position-horizontal-relative:page;width:40.05pt;height:7.9pt;z-index:-251580416;" o:allowincell="f" fillcolor="#212529" filled="true" stroked="false" type="#_x0000_t136">
          <v:textpath style="font-family:&quot;SimSun&quot;;font-size:7.5;v-text-kern:t;mso-text-shadow:auto" string="政拨款结转"/>
        </v:shape>
      </w:pict>
    </w:r>
    <w:r>
      <w:pict>
        <v:shape id="PowerPlusWaterMarkObject144"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44.105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79392;" o:allowincell="f" filled="false" strokecolor="#646464" strokeweight="1.00pt" coordsize="10700,20" coordorigin="0,0" path="m0,10l10700,10e">
          <v:stroke joinstyle="miter" miterlimit="10"/>
        </v:shape>
      </w:pict>
    </w:r>
    <w:r>
      <w:rPr>
        <w:sz w:val="16"/>
        <w:szCs w:val="16"/>
        <w:spacing w:val="-2"/>
        <w:position w:val="1"/>
      </w:rPr>
      <w:t>兴县固贤乡卫生院2025年单位预算公开报告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5" Type="http://schemas.openxmlformats.org/officeDocument/2006/relationships/fontTable" Target="fontTable.xml"/><Relationship Id="rId74" Type="http://schemas.openxmlformats.org/officeDocument/2006/relationships/styles" Target="styles.xml"/><Relationship Id="rId73" Type="http://schemas.openxmlformats.org/officeDocument/2006/relationships/settings" Target="settings.xml"/><Relationship Id="rId72" Type="http://schemas.openxmlformats.org/officeDocument/2006/relationships/footer" Target="footer33.xml"/><Relationship Id="rId71" Type="http://schemas.openxmlformats.org/officeDocument/2006/relationships/header" Target="header22.xml"/><Relationship Id="rId70" Type="http://schemas.openxmlformats.org/officeDocument/2006/relationships/image" Target="media/image18.png"/><Relationship Id="rId7" Type="http://schemas.openxmlformats.org/officeDocument/2006/relationships/header" Target="header5.xml"/><Relationship Id="rId69" Type="http://schemas.openxmlformats.org/officeDocument/2006/relationships/footer" Target="footer32.xml"/><Relationship Id="rId68" Type="http://schemas.openxmlformats.org/officeDocument/2006/relationships/image" Target="media/image17.png"/><Relationship Id="rId67" Type="http://schemas.openxmlformats.org/officeDocument/2006/relationships/footer" Target="footer31.xml"/><Relationship Id="rId66" Type="http://schemas.openxmlformats.org/officeDocument/2006/relationships/image" Target="media/image16.png"/><Relationship Id="rId65" Type="http://schemas.openxmlformats.org/officeDocument/2006/relationships/footer" Target="footer30.xml"/><Relationship Id="rId64" Type="http://schemas.openxmlformats.org/officeDocument/2006/relationships/image" Target="media/image15.png"/><Relationship Id="rId63" Type="http://schemas.openxmlformats.org/officeDocument/2006/relationships/footer" Target="footer29.xml"/><Relationship Id="rId62" Type="http://schemas.openxmlformats.org/officeDocument/2006/relationships/image" Target="media/image14.png"/><Relationship Id="rId61" Type="http://schemas.openxmlformats.org/officeDocument/2006/relationships/footer" Target="footer28.xml"/><Relationship Id="rId60" Type="http://schemas.openxmlformats.org/officeDocument/2006/relationships/image" Target="media/image13.png"/><Relationship Id="rId6" Type="http://schemas.openxmlformats.org/officeDocument/2006/relationships/footer" Target="footer1.xml"/><Relationship Id="rId59" Type="http://schemas.openxmlformats.org/officeDocument/2006/relationships/footer" Target="footer27.xml"/><Relationship Id="rId58" Type="http://schemas.openxmlformats.org/officeDocument/2006/relationships/image" Target="media/image12.png"/><Relationship Id="rId57" Type="http://schemas.openxmlformats.org/officeDocument/2006/relationships/footer" Target="footer26.xml"/><Relationship Id="rId56" Type="http://schemas.openxmlformats.org/officeDocument/2006/relationships/image" Target="media/image11.png"/><Relationship Id="rId55" Type="http://schemas.openxmlformats.org/officeDocument/2006/relationships/footer" Target="footer25.xml"/><Relationship Id="rId54" Type="http://schemas.openxmlformats.org/officeDocument/2006/relationships/footer" Target="footer24.xml"/><Relationship Id="rId53" Type="http://schemas.openxmlformats.org/officeDocument/2006/relationships/header" Target="header21.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image" Target="media/image5.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4.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3.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2025-09-25T15:53:47Z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2025-09-25T20:15:47</vt:filetime>
  </property>
</Properties>
</file>