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812"/>
        <w:spacing w:before="140" w:line="218" w:lineRule="auto"/>
        <w:rPr/>
      </w:pPr>
      <w:r>
        <w:rPr>
          <w:spacing w:val="8"/>
        </w:rPr>
        <w:t>兴</w:t>
      </w:r>
      <w:r>
        <w:rPr>
          <w:spacing w:val="-99"/>
        </w:rPr>
        <w:t xml:space="preserve"> </w:t>
      </w:r>
      <w:r>
        <w:rPr>
          <w:spacing w:val="8"/>
        </w:rPr>
        <w:t>县</w:t>
      </w:r>
      <w:r>
        <w:rPr>
          <w:spacing w:val="-104"/>
        </w:rPr>
        <w:t xml:space="preserve"> </w:t>
      </w:r>
      <w:r>
        <w:rPr>
          <w:spacing w:val="8"/>
        </w:rPr>
        <w:t>东</w:t>
      </w:r>
      <w:r>
        <w:rPr>
          <w:spacing w:val="-108"/>
        </w:rPr>
        <w:t xml:space="preserve"> </w:t>
      </w:r>
      <w:r>
        <w:rPr>
          <w:spacing w:val="8"/>
        </w:rPr>
        <w:t>会</w:t>
      </w:r>
      <w:r>
        <w:rPr>
          <w:spacing w:val="-95"/>
        </w:rPr>
        <w:t xml:space="preserve"> </w:t>
      </w:r>
      <w:r>
        <w:rPr>
          <w:spacing w:val="8"/>
        </w:rPr>
        <w:t>乡卫</w:t>
      </w:r>
      <w:r>
        <w:rPr>
          <w:spacing w:val="-75"/>
        </w:rPr>
        <w:t xml:space="preserve"> </w:t>
      </w:r>
      <w:r>
        <w:rPr>
          <w:spacing w:val="8"/>
        </w:rPr>
        <w:t>生</w:t>
      </w:r>
      <w:r>
        <w:rPr>
          <w:spacing w:val="-76"/>
        </w:rPr>
        <w:t xml:space="preserve"> </w:t>
      </w:r>
      <w:r>
        <w:rPr>
          <w:spacing w:val="8"/>
        </w:rPr>
        <w:t>院</w:t>
      </w:r>
    </w:p>
    <w:p>
      <w:pPr>
        <w:spacing w:line="378" w:lineRule="auto"/>
        <w:rPr>
          <w:rFonts w:ascii="Arial"/>
          <w:sz w:val="21"/>
        </w:rPr>
      </w:pPr>
      <w:r/>
    </w:p>
    <w:p>
      <w:pPr>
        <w:pStyle w:val="BodyText"/>
        <w:ind w:left="3079"/>
        <w:spacing w:before="139"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2" w:lineRule="auto"/>
        <w:rPr>
          <w:rFonts w:ascii="Arial"/>
          <w:sz w:val="21"/>
        </w:rPr>
      </w:pPr>
      <w:r/>
    </w:p>
    <w:p>
      <w:pPr>
        <w:ind w:left="1521" w:right="1474" w:firstLine="7"/>
        <w:spacing w:before="101" w:line="335" w:lineRule="auto"/>
        <w:rPr>
          <w:rFonts w:ascii="FangSong" w:hAnsi="FangSong" w:eastAsia="FangSong" w:cs="FangSong"/>
          <w:sz w:val="31"/>
          <w:szCs w:val="31"/>
        </w:rPr>
      </w:pPr>
      <w:r>
        <w:rPr>
          <w:rFonts w:ascii="FangSong" w:hAnsi="FangSong" w:eastAsia="FangSong" w:cs="FangSong"/>
          <w:sz w:val="31"/>
          <w:szCs w:val="31"/>
          <w:spacing w:val="19"/>
        </w:rPr>
        <w:t>兴县东会卫生院是兴县医疗医疗集团下属的独立核算的二级事</w:t>
      </w:r>
      <w:r>
        <w:rPr>
          <w:rFonts w:ascii="FangSong" w:hAnsi="FangSong" w:eastAsia="FangSong" w:cs="FangSong"/>
          <w:sz w:val="31"/>
          <w:szCs w:val="31"/>
          <w:spacing w:val="12"/>
        </w:rPr>
        <w:t xml:space="preserve"> </w:t>
      </w:r>
      <w:r>
        <w:rPr>
          <w:rFonts w:ascii="FangSong" w:hAnsi="FangSong" w:eastAsia="FangSong" w:cs="FangSong"/>
          <w:sz w:val="31"/>
          <w:szCs w:val="31"/>
          <w:spacing w:val="2"/>
        </w:rPr>
        <w:t>业单位。</w:t>
      </w:r>
    </w:p>
    <w:p>
      <w:pPr>
        <w:ind w:left="1526"/>
        <w:spacing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人员构成：设院长1名，工作人员9名。</w:t>
      </w:r>
    </w:p>
    <w:p>
      <w:pPr>
        <w:ind w:left="1530" w:right="1475" w:firstLine="30"/>
        <w:spacing w:before="176" w:line="339"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9"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部门名称：兴县东会乡卫生院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213.71</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6"/>
              <w:spacing w:before="133" w:line="238" w:lineRule="auto"/>
              <w:jc w:val="right"/>
              <w:rPr/>
            </w:pPr>
            <w:r>
              <w:rPr>
                <w:color w:val="212529"/>
                <w:spacing w:val="-2"/>
              </w:rPr>
              <w:t>8.75</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6"/>
              <w:spacing w:before="136" w:line="238" w:lineRule="auto"/>
              <w:jc w:val="right"/>
              <w:rPr/>
            </w:pPr>
            <w:r>
              <w:rPr>
                <w:color w:val="212529"/>
                <w:spacing w:val="-2"/>
              </w:rPr>
              <w:t>9.36</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12.46</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235.57</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12.05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7"/>
              <w:spacing w:before="135" w:line="184" w:lineRule="auto"/>
              <w:rPr>
                <w:rFonts w:ascii="Arial" w:hAnsi="Arial" w:eastAsia="Arial" w:cs="Arial"/>
                <w:sz w:val="15"/>
                <w:szCs w:val="15"/>
              </w:rPr>
            </w:pPr>
            <w:r>
              <w:rPr>
                <w:rFonts w:ascii="Arial" w:hAnsi="Arial" w:eastAsia="Arial" w:cs="Arial"/>
                <w:sz w:val="15"/>
                <w:szCs w:val="15"/>
                <w:color w:val="212529"/>
                <w:spacing w:val="1"/>
              </w:rPr>
              <w:t>231.</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81</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4"/>
              <w:spacing w:before="135" w:line="183" w:lineRule="auto"/>
              <w:rPr>
                <w:rFonts w:ascii="Arial" w:hAnsi="Arial" w:eastAsia="Arial" w:cs="Arial"/>
                <w:sz w:val="15"/>
                <w:szCs w:val="15"/>
              </w:rPr>
            </w:pPr>
            <w:r>
              <w:rPr>
                <w:rFonts w:ascii="Arial" w:hAnsi="Arial" w:eastAsia="Arial" w:cs="Arial"/>
                <w:sz w:val="15"/>
                <w:szCs w:val="15"/>
                <w:color w:val="212529"/>
                <w:spacing w:val="3"/>
              </w:rPr>
              <w:t>260.</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09</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0.02</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28.30</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7"/>
              <w:spacing w:before="141" w:line="212" w:lineRule="auto"/>
              <w:rPr>
                <w:rFonts w:ascii="Arial" w:hAnsi="Arial" w:eastAsia="Arial" w:cs="Arial"/>
                <w:sz w:val="13"/>
                <w:szCs w:val="13"/>
              </w:rPr>
            </w:pPr>
            <w:r>
              <w:rPr>
                <w:rFonts w:ascii="Arial" w:hAnsi="Arial" w:eastAsia="Arial" w:cs="Arial"/>
                <w:sz w:val="13"/>
                <w:szCs w:val="13"/>
                <w:color w:val="212529"/>
                <w:spacing w:val="8"/>
              </w:rPr>
              <w:t>260.</w:t>
            </w:r>
            <w:r>
              <w:rPr>
                <w:rFonts w:ascii="Arial" w:hAnsi="Arial" w:eastAsia="Arial" w:cs="Arial"/>
                <w:sz w:val="13"/>
                <w:szCs w:val="13"/>
                <w:color w:val="212529"/>
                <w:spacing w:val="37"/>
              </w:rPr>
              <w:t xml:space="preserve"> </w:t>
            </w:r>
            <w:r>
              <w:rPr>
                <w:rFonts w:ascii="Arial" w:hAnsi="Arial" w:eastAsia="Arial" w:cs="Arial"/>
                <w:sz w:val="13"/>
                <w:szCs w:val="13"/>
                <w:color w:val="212529"/>
                <w:spacing w:val="8"/>
              </w:rPr>
              <w:t>11</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4"/>
              <w:spacing w:before="141" w:line="212" w:lineRule="auto"/>
              <w:rPr>
                <w:rFonts w:ascii="Arial" w:hAnsi="Arial" w:eastAsia="Arial" w:cs="Arial"/>
                <w:sz w:val="13"/>
                <w:szCs w:val="13"/>
              </w:rPr>
            </w:pPr>
            <w:r>
              <w:rPr>
                <w:rFonts w:ascii="Arial" w:hAnsi="Arial" w:eastAsia="Arial" w:cs="Arial"/>
                <w:sz w:val="13"/>
                <w:szCs w:val="13"/>
                <w:color w:val="212529"/>
                <w:spacing w:val="9"/>
              </w:rPr>
              <w:t>260.</w:t>
            </w:r>
            <w:r>
              <w:rPr>
                <w:rFonts w:ascii="Arial" w:hAnsi="Arial" w:eastAsia="Arial" w:cs="Arial"/>
                <w:sz w:val="13"/>
                <w:szCs w:val="13"/>
                <w:color w:val="212529"/>
                <w:spacing w:val="31"/>
              </w:rPr>
              <w:t xml:space="preserve"> </w:t>
            </w:r>
            <w:r>
              <w:rPr>
                <w:rFonts w:ascii="Arial" w:hAnsi="Arial" w:eastAsia="Arial" w:cs="Arial"/>
                <w:sz w:val="13"/>
                <w:szCs w:val="13"/>
                <w:color w:val="212529"/>
                <w:spacing w:val="9"/>
              </w:rPr>
              <w:t>11</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部门名称：兴县东会乡卫生院</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4"/>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32"/>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9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13"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ind w:left="100"/>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8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5"/>
                <w:position w:val="1"/>
              </w:rPr>
              <w:t>231.81</w:t>
            </w:r>
          </w:p>
        </w:tc>
        <w:tc>
          <w:tcPr>
            <w:tcW w:w="988" w:type="dxa"/>
            <w:vAlign w:val="top"/>
          </w:tcPr>
          <w:p>
            <w:pPr>
              <w:pStyle w:val="TableText"/>
              <w:ind w:right="27"/>
              <w:spacing w:before="94" w:line="281" w:lineRule="exact"/>
              <w:jc w:val="right"/>
              <w:rPr>
                <w:sz w:val="21"/>
                <w:szCs w:val="21"/>
              </w:rPr>
            </w:pPr>
            <w:r>
              <w:rPr>
                <w:sz w:val="21"/>
                <w:szCs w:val="21"/>
                <w:color w:val="212529"/>
                <w:spacing w:val="5"/>
                <w:position w:val="1"/>
              </w:rPr>
              <w:t>213.71</w:t>
            </w:r>
          </w:p>
        </w:tc>
        <w:tc>
          <w:tcPr>
            <w:tcW w:w="913" w:type="dxa"/>
            <w:vAlign w:val="top"/>
          </w:tcPr>
          <w:p>
            <w:pPr>
              <w:rPr>
                <w:rFonts w:ascii="Arial"/>
                <w:sz w:val="21"/>
              </w:rPr>
            </w:pPr>
            <w:r/>
          </w:p>
        </w:tc>
        <w:tc>
          <w:tcPr>
            <w:tcW w:w="914" w:type="dxa"/>
            <w:vAlign w:val="top"/>
          </w:tcPr>
          <w:p>
            <w:pPr>
              <w:pStyle w:val="TableText"/>
              <w:ind w:right="32"/>
              <w:spacing w:before="94" w:line="281" w:lineRule="exact"/>
              <w:jc w:val="right"/>
              <w:rPr>
                <w:sz w:val="21"/>
                <w:szCs w:val="21"/>
              </w:rPr>
            </w:pPr>
            <w:r>
              <w:rPr>
                <w:sz w:val="21"/>
                <w:szCs w:val="21"/>
                <w:color w:val="212529"/>
                <w:spacing w:val="4"/>
                <w:position w:val="1"/>
              </w:rPr>
              <w:t>8.75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4"/>
                <w:position w:val="1"/>
              </w:rPr>
              <w:t>9.36</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12" w:type="dxa"/>
            <w:vAlign w:val="top"/>
          </w:tcPr>
          <w:p>
            <w:pPr>
              <w:pStyle w:val="TableText"/>
              <w:ind w:left="16" w:right="62"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3"/>
              <w:spacing w:before="115" w:line="238" w:lineRule="auto"/>
              <w:jc w:val="right"/>
              <w:rPr/>
            </w:pPr>
            <w:r>
              <w:rPr>
                <w:color w:val="212529"/>
                <w:spacing w:val="-4"/>
              </w:rPr>
              <w:t>12.46</w:t>
            </w:r>
          </w:p>
        </w:tc>
        <w:tc>
          <w:tcPr>
            <w:tcW w:w="988" w:type="dxa"/>
            <w:vAlign w:val="top"/>
          </w:tcPr>
          <w:p>
            <w:pPr>
              <w:pStyle w:val="TableText"/>
              <w:ind w:right="20"/>
              <w:spacing w:before="115" w:line="238" w:lineRule="auto"/>
              <w:jc w:val="right"/>
              <w:rPr/>
            </w:pPr>
            <w:r>
              <w:rPr>
                <w:color w:val="212529"/>
                <w:spacing w:val="-4"/>
              </w:rPr>
              <w:t>12.46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12" w:type="dxa"/>
            <w:vAlign w:val="top"/>
          </w:tcPr>
          <w:p>
            <w:pPr>
              <w:pStyle w:val="TableText"/>
              <w:ind w:left="1" w:right="62"/>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3"/>
              <w:spacing w:before="116" w:line="238" w:lineRule="auto"/>
              <w:jc w:val="right"/>
              <w:rPr/>
            </w:pPr>
            <w:r>
              <w:rPr>
                <w:color w:val="212529"/>
                <w:spacing w:val="-4"/>
              </w:rPr>
              <w:t>12.46</w:t>
            </w:r>
          </w:p>
        </w:tc>
        <w:tc>
          <w:tcPr>
            <w:tcW w:w="988" w:type="dxa"/>
            <w:vAlign w:val="top"/>
          </w:tcPr>
          <w:p>
            <w:pPr>
              <w:pStyle w:val="TableText"/>
              <w:ind w:right="20"/>
              <w:spacing w:before="116" w:line="238" w:lineRule="auto"/>
              <w:jc w:val="right"/>
              <w:rPr/>
            </w:pPr>
            <w:r>
              <w:rPr>
                <w:color w:val="212529"/>
                <w:spacing w:val="-4"/>
              </w:rPr>
              <w:t>12.46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6" w:line="239" w:lineRule="auto"/>
              <w:rPr/>
            </w:pPr>
            <w:r>
              <w:rPr>
                <w:color w:val="212529"/>
                <w:spacing w:val="-2"/>
              </w:rPr>
              <w:t>2080505</w:t>
            </w:r>
          </w:p>
        </w:tc>
        <w:tc>
          <w:tcPr>
            <w:tcW w:w="1512" w:type="dxa"/>
            <w:vAlign w:val="top"/>
          </w:tcPr>
          <w:p>
            <w:pPr>
              <w:pStyle w:val="TableText"/>
              <w:ind w:right="62"/>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3"/>
              <w:spacing w:before="117" w:line="238" w:lineRule="auto"/>
              <w:jc w:val="right"/>
              <w:rPr/>
            </w:pPr>
            <w:r>
              <w:rPr>
                <w:color w:val="212529"/>
                <w:spacing w:val="-4"/>
              </w:rPr>
              <w:t>12.46</w:t>
            </w:r>
          </w:p>
        </w:tc>
        <w:tc>
          <w:tcPr>
            <w:tcW w:w="988" w:type="dxa"/>
            <w:vAlign w:val="top"/>
          </w:tcPr>
          <w:p>
            <w:pPr>
              <w:pStyle w:val="TableText"/>
              <w:ind w:right="20"/>
              <w:spacing w:before="117" w:line="238" w:lineRule="auto"/>
              <w:jc w:val="right"/>
              <w:rPr/>
            </w:pPr>
            <w:r>
              <w:rPr>
                <w:color w:val="212529"/>
                <w:spacing w:val="-4"/>
              </w:rPr>
              <w:t>12.46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7" w:line="239" w:lineRule="auto"/>
              <w:rPr/>
            </w:pPr>
            <w:r>
              <w:rPr>
                <w:color w:val="212529"/>
                <w:spacing w:val="-3"/>
              </w:rPr>
              <w:t>210</w:t>
            </w:r>
          </w:p>
        </w:tc>
        <w:tc>
          <w:tcPr>
            <w:tcW w:w="1512" w:type="dxa"/>
            <w:vAlign w:val="top"/>
          </w:tcPr>
          <w:p>
            <w:pPr>
              <w:pStyle w:val="TableText"/>
              <w:ind w:left="2"/>
              <w:spacing w:before="117" w:line="219" w:lineRule="auto"/>
              <w:rPr/>
            </w:pPr>
            <w:r>
              <w:rPr>
                <w:color w:val="212529"/>
                <w:spacing w:val="-2"/>
              </w:rPr>
              <w:t>卫生健康支出</w:t>
            </w:r>
          </w:p>
        </w:tc>
        <w:tc>
          <w:tcPr>
            <w:tcW w:w="988" w:type="dxa"/>
            <w:vAlign w:val="top"/>
          </w:tcPr>
          <w:p>
            <w:pPr>
              <w:pStyle w:val="TableText"/>
              <w:ind w:right="25"/>
              <w:spacing w:before="118" w:line="238" w:lineRule="auto"/>
              <w:jc w:val="right"/>
              <w:rPr/>
            </w:pPr>
            <w:r>
              <w:rPr>
                <w:color w:val="212529"/>
                <w:spacing w:val="-2"/>
              </w:rPr>
              <w:t>207.29</w:t>
            </w:r>
          </w:p>
        </w:tc>
        <w:tc>
          <w:tcPr>
            <w:tcW w:w="988" w:type="dxa"/>
            <w:vAlign w:val="top"/>
          </w:tcPr>
          <w:p>
            <w:pPr>
              <w:pStyle w:val="TableText"/>
              <w:ind w:right="21"/>
              <w:spacing w:before="118" w:line="238" w:lineRule="auto"/>
              <w:jc w:val="right"/>
              <w:rPr/>
            </w:pPr>
            <w:r>
              <w:rPr>
                <w:color w:val="212529"/>
                <w:spacing w:val="-3"/>
              </w:rPr>
              <w:t>189.19</w:t>
            </w:r>
          </w:p>
        </w:tc>
        <w:tc>
          <w:tcPr>
            <w:tcW w:w="913" w:type="dxa"/>
            <w:vAlign w:val="top"/>
          </w:tcPr>
          <w:p>
            <w:pPr>
              <w:rPr>
                <w:rFonts w:ascii="Arial"/>
                <w:sz w:val="21"/>
              </w:rPr>
            </w:pPr>
            <w:r/>
          </w:p>
        </w:tc>
        <w:tc>
          <w:tcPr>
            <w:tcW w:w="914" w:type="dxa"/>
            <w:vAlign w:val="top"/>
          </w:tcPr>
          <w:p>
            <w:pPr>
              <w:pStyle w:val="TableText"/>
              <w:ind w:right="28"/>
              <w:spacing w:before="118" w:line="238" w:lineRule="auto"/>
              <w:jc w:val="right"/>
              <w:rPr/>
            </w:pPr>
            <w:r>
              <w:rPr>
                <w:color w:val="212529"/>
                <w:spacing w:val="-2"/>
              </w:rPr>
              <w:t>8.75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8" w:line="238" w:lineRule="auto"/>
              <w:jc w:val="right"/>
              <w:rPr/>
            </w:pPr>
            <w:r>
              <w:rPr>
                <w:color w:val="212529"/>
                <w:spacing w:val="-2"/>
              </w:rPr>
              <w:t>9.36</w:t>
            </w:r>
          </w:p>
        </w:tc>
      </w:tr>
      <w:tr>
        <w:trPr>
          <w:trHeight w:val="404" w:hRule="atLeast"/>
        </w:trPr>
        <w:tc>
          <w:tcPr>
            <w:tcW w:w="921" w:type="dxa"/>
            <w:vAlign w:val="top"/>
          </w:tcPr>
          <w:p>
            <w:pPr>
              <w:pStyle w:val="TableText"/>
              <w:ind w:left="9"/>
              <w:spacing w:before="118" w:line="239" w:lineRule="auto"/>
              <w:rPr/>
            </w:pPr>
            <w:r>
              <w:rPr>
                <w:color w:val="212529"/>
                <w:spacing w:val="-2"/>
              </w:rPr>
              <w:t>21003</w:t>
            </w:r>
          </w:p>
        </w:tc>
        <w:tc>
          <w:tcPr>
            <w:tcW w:w="1512" w:type="dxa"/>
            <w:vAlign w:val="top"/>
          </w:tcPr>
          <w:p>
            <w:pPr>
              <w:pStyle w:val="TableText"/>
              <w:spacing w:before="118" w:line="218" w:lineRule="auto"/>
              <w:rPr/>
            </w:pPr>
            <w:r>
              <w:rPr>
                <w:color w:val="212529"/>
                <w:spacing w:val="-1"/>
              </w:rPr>
              <w:t>基层医疗卫生机构</w:t>
            </w:r>
          </w:p>
        </w:tc>
        <w:tc>
          <w:tcPr>
            <w:tcW w:w="988" w:type="dxa"/>
            <w:vAlign w:val="top"/>
          </w:tcPr>
          <w:p>
            <w:pPr>
              <w:pStyle w:val="TableText"/>
              <w:ind w:right="24"/>
              <w:spacing w:before="119" w:line="238" w:lineRule="auto"/>
              <w:jc w:val="right"/>
              <w:rPr/>
            </w:pPr>
            <w:r>
              <w:rPr>
                <w:color w:val="212529"/>
                <w:spacing w:val="-3"/>
              </w:rPr>
              <w:t>153.23</w:t>
            </w:r>
          </w:p>
        </w:tc>
        <w:tc>
          <w:tcPr>
            <w:tcW w:w="988" w:type="dxa"/>
            <w:vAlign w:val="top"/>
          </w:tcPr>
          <w:p>
            <w:pPr>
              <w:pStyle w:val="TableText"/>
              <w:ind w:right="21"/>
              <w:spacing w:before="119" w:line="238" w:lineRule="auto"/>
              <w:jc w:val="right"/>
              <w:rPr/>
            </w:pPr>
            <w:r>
              <w:rPr>
                <w:color w:val="212529"/>
                <w:spacing w:val="-3"/>
              </w:rPr>
              <w:t>135.12</w:t>
            </w:r>
          </w:p>
        </w:tc>
        <w:tc>
          <w:tcPr>
            <w:tcW w:w="913" w:type="dxa"/>
            <w:vAlign w:val="top"/>
          </w:tcPr>
          <w:p>
            <w:pPr>
              <w:rPr>
                <w:rFonts w:ascii="Arial"/>
                <w:sz w:val="21"/>
              </w:rPr>
            </w:pPr>
            <w:r/>
          </w:p>
        </w:tc>
        <w:tc>
          <w:tcPr>
            <w:tcW w:w="914" w:type="dxa"/>
            <w:vAlign w:val="top"/>
          </w:tcPr>
          <w:p>
            <w:pPr>
              <w:pStyle w:val="TableText"/>
              <w:ind w:right="28"/>
              <w:spacing w:before="119" w:line="238" w:lineRule="auto"/>
              <w:jc w:val="right"/>
              <w:rPr/>
            </w:pPr>
            <w:r>
              <w:rPr>
                <w:color w:val="212529"/>
                <w:spacing w:val="-2"/>
              </w:rPr>
              <w:t>8.75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9" w:line="238" w:lineRule="auto"/>
              <w:jc w:val="right"/>
              <w:rPr/>
            </w:pPr>
            <w:r>
              <w:rPr>
                <w:color w:val="212529"/>
                <w:spacing w:val="-2"/>
              </w:rPr>
              <w:t>9.36</w:t>
            </w:r>
          </w:p>
        </w:tc>
      </w:tr>
      <w:tr>
        <w:trPr>
          <w:trHeight w:val="404" w:hRule="atLeast"/>
        </w:trPr>
        <w:tc>
          <w:tcPr>
            <w:tcW w:w="921" w:type="dxa"/>
            <w:vAlign w:val="top"/>
          </w:tcPr>
          <w:p>
            <w:pPr>
              <w:pStyle w:val="TableText"/>
              <w:ind w:left="9"/>
              <w:spacing w:before="119" w:line="239" w:lineRule="auto"/>
              <w:rPr/>
            </w:pPr>
            <w:r>
              <w:rPr>
                <w:color w:val="212529"/>
                <w:spacing w:val="-2"/>
              </w:rPr>
              <w:t>2100302</w:t>
            </w:r>
          </w:p>
        </w:tc>
        <w:tc>
          <w:tcPr>
            <w:tcW w:w="1512" w:type="dxa"/>
            <w:vAlign w:val="top"/>
          </w:tcPr>
          <w:p>
            <w:pPr>
              <w:pStyle w:val="TableText"/>
              <w:ind w:left="8"/>
              <w:spacing w:before="119" w:line="219" w:lineRule="auto"/>
              <w:rPr/>
            </w:pPr>
            <w:r>
              <w:rPr>
                <w:color w:val="212529"/>
                <w:spacing w:val="-3"/>
              </w:rPr>
              <w:t>乡镇卫生院</w:t>
            </w:r>
          </w:p>
        </w:tc>
        <w:tc>
          <w:tcPr>
            <w:tcW w:w="988" w:type="dxa"/>
            <w:vAlign w:val="top"/>
          </w:tcPr>
          <w:p>
            <w:pPr>
              <w:pStyle w:val="TableText"/>
              <w:ind w:right="24"/>
              <w:spacing w:before="120" w:line="238" w:lineRule="auto"/>
              <w:jc w:val="right"/>
              <w:rPr/>
            </w:pPr>
            <w:r>
              <w:rPr>
                <w:color w:val="212529"/>
                <w:spacing w:val="-3"/>
              </w:rPr>
              <w:t>129.79</w:t>
            </w:r>
          </w:p>
        </w:tc>
        <w:tc>
          <w:tcPr>
            <w:tcW w:w="988" w:type="dxa"/>
            <w:vAlign w:val="top"/>
          </w:tcPr>
          <w:p>
            <w:pPr>
              <w:pStyle w:val="TableText"/>
              <w:ind w:right="21"/>
              <w:spacing w:before="120" w:line="238" w:lineRule="auto"/>
              <w:jc w:val="right"/>
              <w:rPr/>
            </w:pPr>
            <w:r>
              <w:rPr>
                <w:color w:val="212529"/>
                <w:spacing w:val="-3"/>
              </w:rPr>
              <w:t>111.68</w:t>
            </w:r>
          </w:p>
        </w:tc>
        <w:tc>
          <w:tcPr>
            <w:tcW w:w="913" w:type="dxa"/>
            <w:vAlign w:val="top"/>
          </w:tcPr>
          <w:p>
            <w:pPr>
              <w:rPr>
                <w:rFonts w:ascii="Arial"/>
                <w:sz w:val="21"/>
              </w:rPr>
            </w:pPr>
            <w:r/>
          </w:p>
        </w:tc>
        <w:tc>
          <w:tcPr>
            <w:tcW w:w="914" w:type="dxa"/>
            <w:vAlign w:val="top"/>
          </w:tcPr>
          <w:p>
            <w:pPr>
              <w:pStyle w:val="TableText"/>
              <w:ind w:right="28"/>
              <w:spacing w:before="120" w:line="238" w:lineRule="auto"/>
              <w:jc w:val="right"/>
              <w:rPr/>
            </w:pPr>
            <w:r>
              <w:rPr>
                <w:color w:val="212529"/>
                <w:spacing w:val="-2"/>
              </w:rPr>
              <w:t>8.75</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20" w:line="238" w:lineRule="auto"/>
              <w:jc w:val="right"/>
              <w:rPr/>
            </w:pPr>
            <w:r>
              <w:rPr>
                <w:color w:val="212529"/>
                <w:spacing w:val="-2"/>
              </w:rPr>
              <w:t>9.36</w:t>
            </w:r>
          </w:p>
        </w:tc>
      </w:tr>
      <w:tr>
        <w:trPr>
          <w:trHeight w:val="419" w:hRule="atLeast"/>
        </w:trPr>
        <w:tc>
          <w:tcPr>
            <w:tcW w:w="921" w:type="dxa"/>
            <w:vAlign w:val="top"/>
          </w:tcPr>
          <w:p>
            <w:pPr>
              <w:pStyle w:val="TableText"/>
              <w:ind w:left="9"/>
              <w:spacing w:before="120" w:line="239" w:lineRule="auto"/>
              <w:rPr/>
            </w:pPr>
            <w:r>
              <w:rPr>
                <w:color w:val="212529"/>
                <w:spacing w:val="-2"/>
              </w:rPr>
              <w:t>2100399</w:t>
            </w:r>
          </w:p>
        </w:tc>
        <w:tc>
          <w:tcPr>
            <w:tcW w:w="1512" w:type="dxa"/>
            <w:vAlign w:val="top"/>
          </w:tcPr>
          <w:p>
            <w:pPr>
              <w:pStyle w:val="TableText"/>
              <w:ind w:right="62"/>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5"/>
              <w:spacing w:before="121" w:line="238" w:lineRule="auto"/>
              <w:jc w:val="right"/>
              <w:rPr/>
            </w:pPr>
            <w:r>
              <w:rPr>
                <w:color w:val="212529"/>
                <w:spacing w:val="-2"/>
              </w:rPr>
              <w:t>23.45</w:t>
            </w:r>
          </w:p>
        </w:tc>
        <w:tc>
          <w:tcPr>
            <w:tcW w:w="988" w:type="dxa"/>
            <w:vAlign w:val="top"/>
          </w:tcPr>
          <w:p>
            <w:pPr>
              <w:pStyle w:val="TableText"/>
              <w:ind w:right="23"/>
              <w:spacing w:before="121" w:line="238" w:lineRule="auto"/>
              <w:jc w:val="right"/>
              <w:rPr/>
            </w:pPr>
            <w:r>
              <w:rPr>
                <w:color w:val="212529"/>
                <w:spacing w:val="-2"/>
              </w:rPr>
              <w:t>23.45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1" w:line="239" w:lineRule="auto"/>
              <w:rPr/>
            </w:pPr>
            <w:r>
              <w:rPr>
                <w:color w:val="212529"/>
                <w:spacing w:val="-2"/>
              </w:rPr>
              <w:t>21004</w:t>
            </w:r>
          </w:p>
        </w:tc>
        <w:tc>
          <w:tcPr>
            <w:tcW w:w="1512" w:type="dxa"/>
            <w:vAlign w:val="top"/>
          </w:tcPr>
          <w:p>
            <w:pPr>
              <w:pStyle w:val="TableText"/>
              <w:ind w:left="6"/>
              <w:spacing w:before="121" w:line="219" w:lineRule="auto"/>
              <w:rPr/>
            </w:pPr>
            <w:r>
              <w:rPr>
                <w:color w:val="212529"/>
                <w:spacing w:val="-3"/>
              </w:rPr>
              <w:t>公共卫生</w:t>
            </w:r>
          </w:p>
        </w:tc>
        <w:tc>
          <w:tcPr>
            <w:tcW w:w="988" w:type="dxa"/>
            <w:vAlign w:val="top"/>
          </w:tcPr>
          <w:p>
            <w:pPr>
              <w:pStyle w:val="TableText"/>
              <w:ind w:right="26"/>
              <w:spacing w:before="122" w:line="238" w:lineRule="auto"/>
              <w:jc w:val="right"/>
              <w:rPr/>
            </w:pPr>
            <w:r>
              <w:rPr>
                <w:color w:val="212529"/>
                <w:spacing w:val="-2"/>
              </w:rPr>
              <w:t>48.96</w:t>
            </w:r>
          </w:p>
        </w:tc>
        <w:tc>
          <w:tcPr>
            <w:tcW w:w="988" w:type="dxa"/>
            <w:vAlign w:val="top"/>
          </w:tcPr>
          <w:p>
            <w:pPr>
              <w:pStyle w:val="TableText"/>
              <w:ind w:right="23"/>
              <w:spacing w:before="122" w:line="238" w:lineRule="auto"/>
              <w:jc w:val="right"/>
              <w:rPr/>
            </w:pPr>
            <w:r>
              <w:rPr>
                <w:color w:val="212529"/>
                <w:spacing w:val="-2"/>
              </w:rPr>
              <w:t>48.96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2" w:line="239" w:lineRule="auto"/>
              <w:rPr/>
            </w:pPr>
            <w:r>
              <w:rPr>
                <w:color w:val="212529"/>
                <w:spacing w:val="-2"/>
              </w:rPr>
              <w:t>2100401</w:t>
            </w:r>
          </w:p>
        </w:tc>
        <w:tc>
          <w:tcPr>
            <w:tcW w:w="1512" w:type="dxa"/>
            <w:vAlign w:val="top"/>
          </w:tcPr>
          <w:p>
            <w:pPr>
              <w:pStyle w:val="TableText"/>
              <w:spacing w:before="122" w:line="218" w:lineRule="auto"/>
              <w:rPr/>
            </w:pPr>
            <w:r>
              <w:rPr>
                <w:color w:val="212529"/>
                <w:spacing w:val="-1"/>
              </w:rPr>
              <w:t>疾病预防控制机构</w:t>
            </w:r>
          </w:p>
        </w:tc>
        <w:tc>
          <w:tcPr>
            <w:tcW w:w="988" w:type="dxa"/>
            <w:vAlign w:val="top"/>
          </w:tcPr>
          <w:p>
            <w:pPr>
              <w:pStyle w:val="TableText"/>
              <w:ind w:right="25"/>
              <w:spacing w:before="123" w:line="238" w:lineRule="auto"/>
              <w:jc w:val="right"/>
              <w:rPr/>
            </w:pPr>
            <w:r>
              <w:rPr>
                <w:color w:val="212529"/>
                <w:spacing w:val="-2"/>
              </w:rPr>
              <w:t>0.24</w:t>
            </w:r>
          </w:p>
        </w:tc>
        <w:tc>
          <w:tcPr>
            <w:tcW w:w="988" w:type="dxa"/>
            <w:vAlign w:val="top"/>
          </w:tcPr>
          <w:p>
            <w:pPr>
              <w:pStyle w:val="TableText"/>
              <w:ind w:right="22"/>
              <w:spacing w:before="123" w:line="238" w:lineRule="auto"/>
              <w:jc w:val="right"/>
              <w:rPr/>
            </w:pPr>
            <w:r>
              <w:rPr>
                <w:color w:val="212529"/>
                <w:spacing w:val="-2"/>
              </w:rPr>
              <w:t>0.24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12" w:type="dxa"/>
            <w:vAlign w:val="top"/>
          </w:tcPr>
          <w:p>
            <w:pPr>
              <w:pStyle w:val="TableText"/>
              <w:spacing w:before="123" w:line="218" w:lineRule="auto"/>
              <w:rPr/>
            </w:pPr>
            <w:r>
              <w:rPr>
                <w:color w:val="212529"/>
                <w:spacing w:val="-1"/>
              </w:rPr>
              <w:t>基本公共卫生服务</w:t>
            </w:r>
          </w:p>
        </w:tc>
        <w:tc>
          <w:tcPr>
            <w:tcW w:w="988" w:type="dxa"/>
            <w:vAlign w:val="top"/>
          </w:tcPr>
          <w:p>
            <w:pPr>
              <w:pStyle w:val="TableText"/>
              <w:ind w:right="26"/>
              <w:spacing w:before="124" w:line="238" w:lineRule="auto"/>
              <w:jc w:val="right"/>
              <w:rPr/>
            </w:pPr>
            <w:r>
              <w:rPr>
                <w:color w:val="212529"/>
                <w:spacing w:val="-2"/>
              </w:rPr>
              <w:t>48.72</w:t>
            </w:r>
          </w:p>
        </w:tc>
        <w:tc>
          <w:tcPr>
            <w:tcW w:w="988" w:type="dxa"/>
            <w:vAlign w:val="top"/>
          </w:tcPr>
          <w:p>
            <w:pPr>
              <w:pStyle w:val="TableText"/>
              <w:ind w:right="23"/>
              <w:spacing w:before="124" w:line="238" w:lineRule="auto"/>
              <w:jc w:val="right"/>
              <w:rPr/>
            </w:pPr>
            <w:r>
              <w:rPr>
                <w:color w:val="212529"/>
                <w:spacing w:val="-2"/>
              </w:rPr>
              <w:t>48.72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4"/>
              <w:spacing w:before="124" w:line="238" w:lineRule="auto"/>
              <w:jc w:val="right"/>
              <w:rPr/>
            </w:pPr>
            <w:r>
              <w:rPr>
                <w:color w:val="212529"/>
                <w:spacing w:val="-2"/>
              </w:rPr>
              <w:t>5.10</w:t>
            </w:r>
          </w:p>
        </w:tc>
        <w:tc>
          <w:tcPr>
            <w:tcW w:w="988" w:type="dxa"/>
            <w:vAlign w:val="top"/>
          </w:tcPr>
          <w:p>
            <w:pPr>
              <w:pStyle w:val="TableText"/>
              <w:ind w:right="22"/>
              <w:spacing w:before="124" w:line="238" w:lineRule="auto"/>
              <w:jc w:val="right"/>
              <w:rPr/>
            </w:pPr>
            <w:r>
              <w:rPr>
                <w:color w:val="212529"/>
                <w:spacing w:val="-2"/>
              </w:rPr>
              <w:t>5.10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4"/>
              <w:spacing w:before="124" w:line="238" w:lineRule="auto"/>
              <w:jc w:val="right"/>
              <w:rPr/>
            </w:pPr>
            <w:r>
              <w:rPr>
                <w:color w:val="212529"/>
                <w:spacing w:val="-2"/>
              </w:rPr>
              <w:t>5.10</w:t>
            </w:r>
          </w:p>
        </w:tc>
        <w:tc>
          <w:tcPr>
            <w:tcW w:w="988" w:type="dxa"/>
            <w:vAlign w:val="top"/>
          </w:tcPr>
          <w:p>
            <w:pPr>
              <w:pStyle w:val="TableText"/>
              <w:ind w:right="22"/>
              <w:spacing w:before="124" w:line="238" w:lineRule="auto"/>
              <w:jc w:val="right"/>
              <w:rPr/>
            </w:pPr>
            <w:r>
              <w:rPr>
                <w:color w:val="212529"/>
                <w:spacing w:val="-2"/>
              </w:rPr>
              <w:t>5.10</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3"/>
              <w:spacing w:before="124" w:line="238" w:lineRule="auto"/>
              <w:jc w:val="right"/>
              <w:rPr/>
            </w:pPr>
            <w:r>
              <w:rPr>
                <w:color w:val="212529"/>
                <w:spacing w:val="-4"/>
              </w:rPr>
              <w:t>12.05</w:t>
            </w:r>
          </w:p>
        </w:tc>
        <w:tc>
          <w:tcPr>
            <w:tcW w:w="988" w:type="dxa"/>
            <w:vAlign w:val="top"/>
          </w:tcPr>
          <w:p>
            <w:pPr>
              <w:pStyle w:val="TableText"/>
              <w:ind w:right="20"/>
              <w:spacing w:before="124" w:line="238" w:lineRule="auto"/>
              <w:jc w:val="right"/>
              <w:rPr/>
            </w:pPr>
            <w:r>
              <w:rPr>
                <w:color w:val="212529"/>
                <w:spacing w:val="-4"/>
              </w:rPr>
              <w:t>12.05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3"/>
              <w:spacing w:before="124" w:line="238" w:lineRule="auto"/>
              <w:jc w:val="right"/>
              <w:rPr/>
            </w:pPr>
            <w:r>
              <w:rPr>
                <w:color w:val="212529"/>
                <w:spacing w:val="-4"/>
              </w:rPr>
              <w:t>12.05</w:t>
            </w:r>
          </w:p>
        </w:tc>
        <w:tc>
          <w:tcPr>
            <w:tcW w:w="988" w:type="dxa"/>
            <w:vAlign w:val="top"/>
          </w:tcPr>
          <w:p>
            <w:pPr>
              <w:pStyle w:val="TableText"/>
              <w:ind w:right="20"/>
              <w:spacing w:before="124" w:line="238" w:lineRule="auto"/>
              <w:jc w:val="right"/>
              <w:rPr/>
            </w:pPr>
            <w:r>
              <w:rPr>
                <w:color w:val="212529"/>
                <w:spacing w:val="-4"/>
              </w:rPr>
              <w:t>12.05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3"/>
              <w:spacing w:before="124" w:line="238" w:lineRule="auto"/>
              <w:jc w:val="right"/>
              <w:rPr/>
            </w:pPr>
            <w:r>
              <w:rPr>
                <w:color w:val="212529"/>
                <w:spacing w:val="-4"/>
              </w:rPr>
              <w:t>12.05</w:t>
            </w:r>
          </w:p>
        </w:tc>
        <w:tc>
          <w:tcPr>
            <w:tcW w:w="988" w:type="dxa"/>
            <w:vAlign w:val="top"/>
          </w:tcPr>
          <w:p>
            <w:pPr>
              <w:pStyle w:val="TableText"/>
              <w:ind w:right="20"/>
              <w:spacing w:before="124" w:line="238" w:lineRule="auto"/>
              <w:jc w:val="right"/>
              <w:rPr/>
            </w:pPr>
            <w:r>
              <w:rPr>
                <w:color w:val="212529"/>
                <w:spacing w:val="-4"/>
              </w:rPr>
              <w:t>12.05</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9"/>
          <w:footerReference w:type="default" r:id="rId10"/>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部门名称：兴县东会乡卫生院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9"/>
              <w:spacing w:before="135" w:line="183" w:lineRule="auto"/>
              <w:rPr>
                <w:rFonts w:ascii="Arial" w:hAnsi="Arial" w:eastAsia="Arial" w:cs="Arial"/>
                <w:sz w:val="15"/>
                <w:szCs w:val="15"/>
              </w:rPr>
            </w:pPr>
            <w:r>
              <w:rPr>
                <w:rFonts w:ascii="Arial" w:hAnsi="Arial" w:eastAsia="Arial" w:cs="Arial"/>
                <w:sz w:val="15"/>
                <w:szCs w:val="15"/>
                <w:color w:val="212529"/>
                <w:spacing w:val="3"/>
              </w:rPr>
              <w:t>260.</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09</w:t>
            </w:r>
          </w:p>
        </w:tc>
        <w:tc>
          <w:tcPr>
            <w:tcW w:w="1108" w:type="dxa"/>
            <w:vAlign w:val="top"/>
          </w:tcPr>
          <w:p>
            <w:pPr>
              <w:ind w:left="547"/>
              <w:spacing w:before="135" w:line="212" w:lineRule="auto"/>
              <w:rPr>
                <w:rFonts w:ascii="Arial" w:hAnsi="Arial" w:eastAsia="Arial" w:cs="Arial"/>
                <w:sz w:val="13"/>
                <w:szCs w:val="13"/>
              </w:rPr>
            </w:pPr>
            <w:r>
              <w:rPr>
                <w:rFonts w:ascii="Arial" w:hAnsi="Arial" w:eastAsia="Arial" w:cs="Arial"/>
                <w:sz w:val="13"/>
                <w:szCs w:val="13"/>
                <w:color w:val="212529"/>
                <w:spacing w:val="10"/>
              </w:rPr>
              <w:t>174.</w:t>
            </w:r>
            <w:r>
              <w:rPr>
                <w:rFonts w:ascii="Arial" w:hAnsi="Arial" w:eastAsia="Arial" w:cs="Arial"/>
                <w:sz w:val="13"/>
                <w:szCs w:val="13"/>
                <w:color w:val="212529"/>
                <w:spacing w:val="21"/>
              </w:rPr>
              <w:t xml:space="preserve"> </w:t>
            </w:r>
            <w:r>
              <w:rPr>
                <w:rFonts w:ascii="Arial" w:hAnsi="Arial" w:eastAsia="Arial" w:cs="Arial"/>
                <w:sz w:val="13"/>
                <w:szCs w:val="13"/>
                <w:color w:val="212529"/>
                <w:spacing w:val="10"/>
              </w:rPr>
              <w:t>33</w:t>
            </w:r>
          </w:p>
        </w:tc>
        <w:tc>
          <w:tcPr>
            <w:tcW w:w="1123" w:type="dxa"/>
            <w:vAlign w:val="top"/>
          </w:tcPr>
          <w:p>
            <w:pPr>
              <w:ind w:left="631"/>
              <w:spacing w:before="135" w:line="183" w:lineRule="auto"/>
              <w:rPr>
                <w:rFonts w:ascii="Arial" w:hAnsi="Arial" w:eastAsia="Arial" w:cs="Arial"/>
                <w:sz w:val="15"/>
                <w:szCs w:val="15"/>
              </w:rPr>
            </w:pPr>
            <w:r>
              <w:rPr>
                <w:rFonts w:ascii="Arial" w:hAnsi="Arial" w:eastAsia="Arial" w:cs="Arial"/>
                <w:sz w:val="15"/>
                <w:szCs w:val="15"/>
                <w:color w:val="212529"/>
                <w:spacing w:val="2"/>
              </w:rPr>
              <w:t>85.</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76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28"/>
              <w:spacing w:before="115" w:line="238" w:lineRule="auto"/>
              <w:jc w:val="right"/>
              <w:rPr/>
            </w:pPr>
            <w:r>
              <w:rPr>
                <w:color w:val="212529"/>
                <w:spacing w:val="-4"/>
              </w:rPr>
              <w:t>12.46</w:t>
            </w:r>
          </w:p>
        </w:tc>
        <w:tc>
          <w:tcPr>
            <w:tcW w:w="1108" w:type="dxa"/>
            <w:vAlign w:val="top"/>
          </w:tcPr>
          <w:p>
            <w:pPr>
              <w:pStyle w:val="TableText"/>
              <w:ind w:right="21"/>
              <w:spacing w:before="115" w:line="238" w:lineRule="auto"/>
              <w:jc w:val="right"/>
              <w:rPr/>
            </w:pPr>
            <w:r>
              <w:rPr>
                <w:color w:val="212529"/>
                <w:spacing w:val="-4"/>
              </w:rPr>
              <w:t>12.46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28"/>
              <w:spacing w:before="116" w:line="238" w:lineRule="auto"/>
              <w:jc w:val="right"/>
              <w:rPr/>
            </w:pPr>
            <w:r>
              <w:rPr>
                <w:color w:val="212529"/>
                <w:spacing w:val="-4"/>
              </w:rPr>
              <w:t>12.46</w:t>
            </w:r>
          </w:p>
        </w:tc>
        <w:tc>
          <w:tcPr>
            <w:tcW w:w="1108" w:type="dxa"/>
            <w:vAlign w:val="top"/>
          </w:tcPr>
          <w:p>
            <w:pPr>
              <w:pStyle w:val="TableText"/>
              <w:ind w:right="21"/>
              <w:spacing w:before="116" w:line="238" w:lineRule="auto"/>
              <w:jc w:val="right"/>
              <w:rPr/>
            </w:pPr>
            <w:r>
              <w:rPr>
                <w:color w:val="212529"/>
                <w:spacing w:val="-4"/>
              </w:rPr>
              <w:t>12.46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28"/>
              <w:spacing w:before="117" w:line="238" w:lineRule="auto"/>
              <w:jc w:val="right"/>
              <w:rPr/>
            </w:pPr>
            <w:r>
              <w:rPr>
                <w:color w:val="212529"/>
                <w:spacing w:val="-4"/>
              </w:rPr>
              <w:t>12.46</w:t>
            </w:r>
          </w:p>
        </w:tc>
        <w:tc>
          <w:tcPr>
            <w:tcW w:w="1108" w:type="dxa"/>
            <w:vAlign w:val="top"/>
          </w:tcPr>
          <w:p>
            <w:pPr>
              <w:pStyle w:val="TableText"/>
              <w:ind w:right="21"/>
              <w:spacing w:before="117" w:line="238" w:lineRule="auto"/>
              <w:jc w:val="right"/>
              <w:rPr/>
            </w:pPr>
            <w:r>
              <w:rPr>
                <w:color w:val="212529"/>
                <w:spacing w:val="-4"/>
              </w:rPr>
              <w:t>12.46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30"/>
              <w:spacing w:before="118" w:line="238" w:lineRule="auto"/>
              <w:jc w:val="right"/>
              <w:rPr/>
            </w:pPr>
            <w:r>
              <w:rPr>
                <w:color w:val="212529"/>
                <w:spacing w:val="-2"/>
              </w:rPr>
              <w:t>235.57</w:t>
            </w:r>
          </w:p>
        </w:tc>
        <w:tc>
          <w:tcPr>
            <w:tcW w:w="1108" w:type="dxa"/>
            <w:vAlign w:val="top"/>
          </w:tcPr>
          <w:p>
            <w:pPr>
              <w:pStyle w:val="TableText"/>
              <w:ind w:right="22"/>
              <w:spacing w:before="118" w:line="238" w:lineRule="auto"/>
              <w:jc w:val="right"/>
              <w:rPr/>
            </w:pPr>
            <w:r>
              <w:rPr>
                <w:color w:val="212529"/>
                <w:spacing w:val="-3"/>
              </w:rPr>
              <w:t>149.81</w:t>
            </w:r>
          </w:p>
        </w:tc>
        <w:tc>
          <w:tcPr>
            <w:tcW w:w="1123" w:type="dxa"/>
            <w:vAlign w:val="top"/>
          </w:tcPr>
          <w:p>
            <w:pPr>
              <w:pStyle w:val="TableText"/>
              <w:ind w:right="32"/>
              <w:spacing w:before="118" w:line="238" w:lineRule="auto"/>
              <w:jc w:val="right"/>
              <w:rPr/>
            </w:pPr>
            <w:r>
              <w:rPr>
                <w:color w:val="212529"/>
                <w:spacing w:val="-2"/>
              </w:rPr>
              <w:t>85.76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29"/>
              <w:spacing w:before="119" w:line="238" w:lineRule="auto"/>
              <w:jc w:val="right"/>
              <w:rPr/>
            </w:pPr>
            <w:r>
              <w:rPr>
                <w:color w:val="212529"/>
                <w:spacing w:val="-3"/>
              </w:rPr>
              <w:t>181.51</w:t>
            </w:r>
          </w:p>
        </w:tc>
        <w:tc>
          <w:tcPr>
            <w:tcW w:w="1108" w:type="dxa"/>
            <w:vAlign w:val="top"/>
          </w:tcPr>
          <w:p>
            <w:pPr>
              <w:pStyle w:val="TableText"/>
              <w:ind w:right="22"/>
              <w:spacing w:before="119" w:line="238" w:lineRule="auto"/>
              <w:jc w:val="right"/>
              <w:rPr/>
            </w:pPr>
            <w:r>
              <w:rPr>
                <w:color w:val="212529"/>
                <w:spacing w:val="-3"/>
              </w:rPr>
              <w:t>144.71</w:t>
            </w:r>
          </w:p>
        </w:tc>
        <w:tc>
          <w:tcPr>
            <w:tcW w:w="1123" w:type="dxa"/>
            <w:vAlign w:val="top"/>
          </w:tcPr>
          <w:p>
            <w:pPr>
              <w:pStyle w:val="TableText"/>
              <w:ind w:right="31"/>
              <w:spacing w:before="119" w:line="238" w:lineRule="auto"/>
              <w:jc w:val="right"/>
              <w:rPr/>
            </w:pPr>
            <w:r>
              <w:rPr>
                <w:color w:val="212529"/>
                <w:spacing w:val="-2"/>
              </w:rPr>
              <w:t>36.80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29"/>
              <w:spacing w:before="120" w:line="238" w:lineRule="auto"/>
              <w:jc w:val="right"/>
              <w:rPr/>
            </w:pPr>
            <w:r>
              <w:rPr>
                <w:color w:val="212529"/>
                <w:spacing w:val="-3"/>
              </w:rPr>
              <w:t>158.06</w:t>
            </w:r>
          </w:p>
        </w:tc>
        <w:tc>
          <w:tcPr>
            <w:tcW w:w="1108" w:type="dxa"/>
            <w:vAlign w:val="top"/>
          </w:tcPr>
          <w:p>
            <w:pPr>
              <w:pStyle w:val="TableText"/>
              <w:ind w:right="22"/>
              <w:spacing w:before="120" w:line="238" w:lineRule="auto"/>
              <w:jc w:val="right"/>
              <w:rPr/>
            </w:pPr>
            <w:r>
              <w:rPr>
                <w:color w:val="212529"/>
                <w:spacing w:val="-3"/>
              </w:rPr>
              <w:t>144.71</w:t>
            </w:r>
          </w:p>
        </w:tc>
        <w:tc>
          <w:tcPr>
            <w:tcW w:w="1123" w:type="dxa"/>
            <w:vAlign w:val="top"/>
          </w:tcPr>
          <w:p>
            <w:pPr>
              <w:pStyle w:val="TableText"/>
              <w:ind w:right="29"/>
              <w:spacing w:before="120" w:line="238" w:lineRule="auto"/>
              <w:jc w:val="right"/>
              <w:rPr/>
            </w:pPr>
            <w:r>
              <w:rPr>
                <w:color w:val="212529"/>
                <w:spacing w:val="-4"/>
              </w:rPr>
              <w:t>13.35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30"/>
              <w:spacing w:before="121" w:line="238" w:lineRule="auto"/>
              <w:jc w:val="right"/>
              <w:rPr/>
            </w:pPr>
            <w:r>
              <w:rPr>
                <w:color w:val="212529"/>
                <w:spacing w:val="-2"/>
              </w:rPr>
              <w:t>23.45</w:t>
            </w:r>
          </w:p>
        </w:tc>
        <w:tc>
          <w:tcPr>
            <w:tcW w:w="1108" w:type="dxa"/>
            <w:vAlign w:val="top"/>
          </w:tcPr>
          <w:p>
            <w:pPr>
              <w:rPr>
                <w:rFonts w:ascii="Arial"/>
                <w:sz w:val="21"/>
              </w:rPr>
            </w:pPr>
            <w:r/>
          </w:p>
        </w:tc>
        <w:tc>
          <w:tcPr>
            <w:tcW w:w="1123" w:type="dxa"/>
            <w:vAlign w:val="top"/>
          </w:tcPr>
          <w:p>
            <w:pPr>
              <w:pStyle w:val="TableText"/>
              <w:ind w:right="32"/>
              <w:spacing w:before="121" w:line="238" w:lineRule="auto"/>
              <w:jc w:val="right"/>
              <w:rPr/>
            </w:pPr>
            <w:r>
              <w:rPr>
                <w:color w:val="212529"/>
                <w:spacing w:val="-2"/>
              </w:rPr>
              <w:t>23.45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1"/>
              <w:spacing w:before="122" w:line="238" w:lineRule="auto"/>
              <w:jc w:val="right"/>
              <w:rPr/>
            </w:pPr>
            <w:r>
              <w:rPr>
                <w:color w:val="212529"/>
                <w:spacing w:val="-2"/>
              </w:rPr>
              <w:t>48.96</w:t>
            </w:r>
          </w:p>
        </w:tc>
        <w:tc>
          <w:tcPr>
            <w:tcW w:w="1108" w:type="dxa"/>
            <w:vAlign w:val="top"/>
          </w:tcPr>
          <w:p>
            <w:pPr>
              <w:rPr>
                <w:rFonts w:ascii="Arial"/>
                <w:sz w:val="21"/>
              </w:rPr>
            </w:pPr>
            <w:r/>
          </w:p>
        </w:tc>
        <w:tc>
          <w:tcPr>
            <w:tcW w:w="1123" w:type="dxa"/>
            <w:vAlign w:val="top"/>
          </w:tcPr>
          <w:p>
            <w:pPr>
              <w:pStyle w:val="TableText"/>
              <w:ind w:right="32"/>
              <w:spacing w:before="122" w:line="238" w:lineRule="auto"/>
              <w:jc w:val="right"/>
              <w:rPr/>
            </w:pPr>
            <w:r>
              <w:rPr>
                <w:color w:val="212529"/>
                <w:spacing w:val="-2"/>
              </w:rPr>
              <w:t>48.96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0.24</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0.24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1"/>
              <w:spacing w:before="124" w:line="238" w:lineRule="auto"/>
              <w:jc w:val="right"/>
              <w:rPr/>
            </w:pPr>
            <w:r>
              <w:rPr>
                <w:color w:val="212529"/>
                <w:spacing w:val="-2"/>
              </w:rPr>
              <w:t>48.72</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48.72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9"/>
              <w:spacing w:before="124" w:line="238" w:lineRule="auto"/>
              <w:jc w:val="right"/>
              <w:rPr/>
            </w:pPr>
            <w:r>
              <w:rPr>
                <w:color w:val="212529"/>
                <w:spacing w:val="-2"/>
              </w:rPr>
              <w:t>5.10</w:t>
            </w:r>
          </w:p>
        </w:tc>
        <w:tc>
          <w:tcPr>
            <w:tcW w:w="1108" w:type="dxa"/>
            <w:vAlign w:val="top"/>
          </w:tcPr>
          <w:p>
            <w:pPr>
              <w:pStyle w:val="TableText"/>
              <w:ind w:right="23"/>
              <w:spacing w:before="124" w:line="238" w:lineRule="auto"/>
              <w:jc w:val="right"/>
              <w:rPr/>
            </w:pPr>
            <w:r>
              <w:rPr>
                <w:color w:val="212529"/>
                <w:spacing w:val="-2"/>
              </w:rPr>
              <w:t>5.10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29"/>
              <w:spacing w:before="124" w:line="238" w:lineRule="auto"/>
              <w:jc w:val="right"/>
              <w:rPr/>
            </w:pPr>
            <w:r>
              <w:rPr>
                <w:color w:val="212529"/>
                <w:spacing w:val="-2"/>
              </w:rPr>
              <w:t>5.10</w:t>
            </w:r>
          </w:p>
        </w:tc>
        <w:tc>
          <w:tcPr>
            <w:tcW w:w="1108" w:type="dxa"/>
            <w:vAlign w:val="top"/>
          </w:tcPr>
          <w:p>
            <w:pPr>
              <w:pStyle w:val="TableText"/>
              <w:ind w:right="23"/>
              <w:spacing w:before="124" w:line="238" w:lineRule="auto"/>
              <w:jc w:val="right"/>
              <w:rPr/>
            </w:pPr>
            <w:r>
              <w:rPr>
                <w:color w:val="212529"/>
                <w:spacing w:val="-2"/>
              </w:rPr>
              <w:t>5.10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8"/>
              <w:spacing w:before="124" w:line="238" w:lineRule="auto"/>
              <w:jc w:val="right"/>
              <w:rPr/>
            </w:pPr>
            <w:r>
              <w:rPr>
                <w:color w:val="212529"/>
                <w:spacing w:val="-4"/>
              </w:rPr>
              <w:t>12.05</w:t>
            </w:r>
          </w:p>
        </w:tc>
        <w:tc>
          <w:tcPr>
            <w:tcW w:w="1108" w:type="dxa"/>
            <w:vAlign w:val="top"/>
          </w:tcPr>
          <w:p>
            <w:pPr>
              <w:pStyle w:val="TableText"/>
              <w:ind w:right="21"/>
              <w:spacing w:before="124" w:line="238" w:lineRule="auto"/>
              <w:jc w:val="right"/>
              <w:rPr/>
            </w:pPr>
            <w:r>
              <w:rPr>
                <w:color w:val="212529"/>
                <w:spacing w:val="-4"/>
              </w:rPr>
              <w:t>12.05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8"/>
              <w:spacing w:before="124" w:line="238" w:lineRule="auto"/>
              <w:jc w:val="right"/>
              <w:rPr/>
            </w:pPr>
            <w:r>
              <w:rPr>
                <w:color w:val="212529"/>
                <w:spacing w:val="-4"/>
              </w:rPr>
              <w:t>12.05</w:t>
            </w:r>
          </w:p>
        </w:tc>
        <w:tc>
          <w:tcPr>
            <w:tcW w:w="1108" w:type="dxa"/>
            <w:vAlign w:val="top"/>
          </w:tcPr>
          <w:p>
            <w:pPr>
              <w:pStyle w:val="TableText"/>
              <w:ind w:right="21"/>
              <w:spacing w:before="124" w:line="238" w:lineRule="auto"/>
              <w:jc w:val="right"/>
              <w:rPr/>
            </w:pPr>
            <w:r>
              <w:rPr>
                <w:color w:val="212529"/>
                <w:spacing w:val="-4"/>
              </w:rPr>
              <w:t>12.05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8"/>
              <w:spacing w:before="124" w:line="238" w:lineRule="auto"/>
              <w:jc w:val="right"/>
              <w:rPr/>
            </w:pPr>
            <w:r>
              <w:rPr>
                <w:color w:val="212529"/>
                <w:spacing w:val="-4"/>
              </w:rPr>
              <w:t>12.05</w:t>
            </w:r>
          </w:p>
        </w:tc>
        <w:tc>
          <w:tcPr>
            <w:tcW w:w="1108" w:type="dxa"/>
            <w:vAlign w:val="top"/>
          </w:tcPr>
          <w:p>
            <w:pPr>
              <w:pStyle w:val="TableText"/>
              <w:ind w:right="21"/>
              <w:spacing w:before="124" w:line="238" w:lineRule="auto"/>
              <w:jc w:val="right"/>
              <w:rPr/>
            </w:pPr>
            <w:r>
              <w:rPr>
                <w:color w:val="212529"/>
                <w:spacing w:val="-4"/>
              </w:rPr>
              <w:t>12.05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headerReference w:type="default" r:id="rId11"/>
          <w:footerReference w:type="default" r:id="rId12"/>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部门名称：兴县东会乡卫生院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213.71</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7"/>
              <w:spacing w:before="181" w:line="238" w:lineRule="auto"/>
              <w:jc w:val="right"/>
              <w:rPr/>
            </w:pPr>
            <w:r>
              <w:rPr>
                <w:color w:val="212529"/>
                <w:spacing w:val="-4"/>
              </w:rPr>
              <w:t>12.46</w:t>
            </w:r>
          </w:p>
        </w:tc>
        <w:tc>
          <w:tcPr>
            <w:tcW w:w="1003" w:type="dxa"/>
            <w:vAlign w:val="top"/>
          </w:tcPr>
          <w:p>
            <w:pPr>
              <w:pStyle w:val="TableText"/>
              <w:ind w:right="18"/>
              <w:spacing w:before="181" w:line="238" w:lineRule="auto"/>
              <w:jc w:val="right"/>
              <w:rPr/>
            </w:pPr>
            <w:r>
              <w:rPr>
                <w:color w:val="212529"/>
                <w:spacing w:val="-4"/>
              </w:rPr>
              <w:t>12.46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189.19</w:t>
            </w:r>
          </w:p>
        </w:tc>
        <w:tc>
          <w:tcPr>
            <w:tcW w:w="1003" w:type="dxa"/>
            <w:vAlign w:val="top"/>
          </w:tcPr>
          <w:p>
            <w:pPr>
              <w:pStyle w:val="TableText"/>
              <w:ind w:right="19"/>
              <w:spacing w:before="182" w:line="238" w:lineRule="auto"/>
              <w:jc w:val="right"/>
              <w:rPr/>
            </w:pPr>
            <w:r>
              <w:rPr>
                <w:color w:val="212529"/>
                <w:spacing w:val="-3"/>
              </w:rPr>
              <w:t>189.19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12.05</w:t>
            </w:r>
          </w:p>
        </w:tc>
        <w:tc>
          <w:tcPr>
            <w:tcW w:w="1003" w:type="dxa"/>
            <w:vAlign w:val="top"/>
          </w:tcPr>
          <w:p>
            <w:pPr>
              <w:pStyle w:val="TableText"/>
              <w:ind w:right="18"/>
              <w:spacing w:before="184" w:line="238" w:lineRule="auto"/>
              <w:jc w:val="right"/>
              <w:rPr/>
            </w:pPr>
            <w:r>
              <w:rPr>
                <w:color w:val="212529"/>
                <w:spacing w:val="-4"/>
              </w:rPr>
              <w:t>12.05</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5"/>
          <w:footerReference w:type="default" r:id="rId13"/>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9"/>
              <w:spacing w:before="181" w:line="184" w:lineRule="auto"/>
              <w:rPr>
                <w:rFonts w:ascii="Arial" w:hAnsi="Arial" w:eastAsia="Arial" w:cs="Arial"/>
                <w:sz w:val="15"/>
                <w:szCs w:val="15"/>
              </w:rPr>
            </w:pPr>
            <w:r>
              <w:rPr>
                <w:rFonts w:ascii="Arial" w:hAnsi="Arial" w:eastAsia="Arial" w:cs="Arial"/>
                <w:sz w:val="15"/>
                <w:szCs w:val="15"/>
                <w:color w:val="212529"/>
                <w:spacing w:val="1"/>
              </w:rPr>
              <w:t>213.</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71</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1"/>
              <w:spacing w:before="181" w:line="184" w:lineRule="auto"/>
              <w:rPr>
                <w:rFonts w:ascii="Arial" w:hAnsi="Arial" w:eastAsia="Arial" w:cs="Arial"/>
                <w:sz w:val="15"/>
                <w:szCs w:val="15"/>
              </w:rPr>
            </w:pPr>
            <w:r>
              <w:rPr>
                <w:rFonts w:ascii="Arial" w:hAnsi="Arial" w:eastAsia="Arial" w:cs="Arial"/>
                <w:sz w:val="15"/>
                <w:szCs w:val="15"/>
                <w:color w:val="212529"/>
                <w:spacing w:val="2"/>
              </w:rPr>
              <w:t>213.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71</w:t>
            </w:r>
          </w:p>
        </w:tc>
        <w:tc>
          <w:tcPr>
            <w:tcW w:w="1003" w:type="dxa"/>
            <w:vAlign w:val="top"/>
          </w:tcPr>
          <w:p>
            <w:pPr>
              <w:ind w:left="434"/>
              <w:spacing w:before="181" w:line="184" w:lineRule="auto"/>
              <w:rPr>
                <w:rFonts w:ascii="Arial" w:hAnsi="Arial" w:eastAsia="Arial" w:cs="Arial"/>
                <w:sz w:val="15"/>
                <w:szCs w:val="15"/>
              </w:rPr>
            </w:pPr>
            <w:r>
              <w:rPr>
                <w:rFonts w:ascii="Arial" w:hAnsi="Arial" w:eastAsia="Arial" w:cs="Arial"/>
                <w:sz w:val="15"/>
                <w:szCs w:val="15"/>
                <w:color w:val="212529"/>
                <w:spacing w:val="1"/>
              </w:rPr>
              <w:t>213.</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71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9"/>
              <w:spacing w:before="186" w:line="184" w:lineRule="auto"/>
              <w:rPr>
                <w:rFonts w:ascii="Arial" w:hAnsi="Arial" w:eastAsia="Arial" w:cs="Arial"/>
                <w:sz w:val="15"/>
                <w:szCs w:val="15"/>
              </w:rPr>
            </w:pPr>
            <w:r>
              <w:rPr>
                <w:rFonts w:ascii="Arial" w:hAnsi="Arial" w:eastAsia="Arial" w:cs="Arial"/>
                <w:sz w:val="15"/>
                <w:szCs w:val="15"/>
                <w:color w:val="212529"/>
                <w:spacing w:val="1"/>
              </w:rPr>
              <w:t>213.</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71</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213.71</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213.71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14"/>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453"/>
        <w:gridCol w:w="140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部门名称：兴县东会乡卫生院</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pPr>
            <w:r>
              <w:rPr>
                <w:color w:val="212529"/>
                <w:spacing w:val="-2"/>
              </w:rPr>
              <w:t>2024年度</w:t>
            </w:r>
          </w:p>
        </w:tc>
        <w:tc>
          <w:tcPr>
            <w:tcW w:w="1453" w:type="dxa"/>
            <w:vAlign w:val="top"/>
            <w:tcBorders>
              <w:top w:val="single" w:color="FFFFFF" w:sz="6" w:space="0"/>
              <w:left w:val="single" w:color="FFFFFF" w:sz="2" w:space="0"/>
              <w:right w:val="single" w:color="FFFFFF" w:sz="2" w:space="0"/>
            </w:tcBorders>
          </w:tcPr>
          <w:p>
            <w:pPr>
              <w:rPr>
                <w:rFonts w:ascii="Arial"/>
                <w:sz w:val="21"/>
              </w:rPr>
            </w:pPr>
            <w:r/>
          </w:p>
        </w:tc>
        <w:tc>
          <w:tcPr>
            <w:tcW w:w="1400" w:type="dxa"/>
            <w:vAlign w:val="top"/>
            <w:tcBorders>
              <w:top w:val="single" w:color="FFFFFF" w:sz="6" w:space="0"/>
              <w:left w:val="single" w:color="FFFFFF" w:sz="2" w:space="0"/>
              <w:right w:val="single" w:color="FFFFFF" w:sz="2" w:space="0"/>
            </w:tcBorders>
          </w:tcPr>
          <w:p>
            <w:pPr>
              <w:pStyle w:val="TableText"/>
              <w:ind w:left="108"/>
              <w:spacing w:before="109" w:line="219" w:lineRule="auto"/>
              <w:rPr/>
            </w:pPr>
            <w:r>
              <w:rPr>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53" w:type="dxa"/>
            <w:vAlign w:val="top"/>
          </w:tcPr>
          <w:p>
            <w:pPr>
              <w:ind w:left="278"/>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00" w:type="dxa"/>
            <w:vAlign w:val="top"/>
          </w:tcPr>
          <w:p>
            <w:pPr>
              <w:ind w:left="24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53" w:type="dxa"/>
            <w:vAlign w:val="top"/>
          </w:tcPr>
          <w:p>
            <w:pPr>
              <w:ind w:left="659"/>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00" w:type="dxa"/>
            <w:vAlign w:val="top"/>
          </w:tcPr>
          <w:p>
            <w:pPr>
              <w:ind w:left="634"/>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sz w:val="21"/>
                <w:szCs w:val="21"/>
              </w:rPr>
            </w:pPr>
            <w:r>
              <w:rPr>
                <w:sz w:val="21"/>
                <w:szCs w:val="21"/>
                <w:color w:val="212529"/>
                <w:spacing w:val="5"/>
                <w:position w:val="1"/>
              </w:rPr>
              <w:t>213.71</w:t>
            </w:r>
          </w:p>
        </w:tc>
        <w:tc>
          <w:tcPr>
            <w:tcW w:w="1453" w:type="dxa"/>
            <w:vAlign w:val="top"/>
          </w:tcPr>
          <w:p>
            <w:pPr>
              <w:pStyle w:val="TableText"/>
              <w:ind w:right="31"/>
              <w:spacing w:before="79" w:line="281" w:lineRule="exact"/>
              <w:jc w:val="right"/>
              <w:rPr>
                <w:sz w:val="21"/>
                <w:szCs w:val="21"/>
              </w:rPr>
            </w:pPr>
            <w:r>
              <w:rPr>
                <w:sz w:val="21"/>
                <w:szCs w:val="21"/>
                <w:color w:val="212529"/>
                <w:spacing w:val="2"/>
                <w:position w:val="1"/>
              </w:rPr>
              <w:t>127.94</w:t>
            </w:r>
          </w:p>
        </w:tc>
        <w:tc>
          <w:tcPr>
            <w:tcW w:w="1400" w:type="dxa"/>
            <w:vAlign w:val="top"/>
          </w:tcPr>
          <w:p>
            <w:pPr>
              <w:pStyle w:val="TableText"/>
              <w:ind w:right="32"/>
              <w:spacing w:before="79" w:line="281" w:lineRule="exact"/>
              <w:jc w:val="right"/>
              <w:rPr>
                <w:sz w:val="21"/>
                <w:szCs w:val="21"/>
              </w:rPr>
            </w:pPr>
            <w:r>
              <w:rPr>
                <w:sz w:val="21"/>
                <w:szCs w:val="21"/>
                <w:color w:val="212529"/>
                <w:spacing w:val="5"/>
                <w:position w:val="1"/>
              </w:rPr>
              <w:t>85.76</w:t>
            </w:r>
          </w:p>
        </w:tc>
      </w:tr>
      <w:tr>
        <w:trPr>
          <w:trHeight w:val="374" w:hRule="atLeast"/>
        </w:trPr>
        <w:tc>
          <w:tcPr>
            <w:tcW w:w="178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36" w:type="dxa"/>
            <w:vAlign w:val="top"/>
          </w:tcPr>
          <w:p>
            <w:pPr>
              <w:pStyle w:val="TableText"/>
              <w:ind w:left="10"/>
              <w:spacing w:before="80"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80" w:line="281" w:lineRule="exact"/>
              <w:jc w:val="right"/>
              <w:rPr>
                <w:sz w:val="21"/>
                <w:szCs w:val="21"/>
              </w:rPr>
            </w:pPr>
            <w:r>
              <w:rPr>
                <w:sz w:val="21"/>
                <w:szCs w:val="21"/>
                <w:color w:val="212529"/>
                <w:spacing w:val="2"/>
                <w:position w:val="1"/>
              </w:rPr>
              <w:t>12.46</w:t>
            </w:r>
          </w:p>
        </w:tc>
        <w:tc>
          <w:tcPr>
            <w:tcW w:w="1453" w:type="dxa"/>
            <w:vAlign w:val="top"/>
          </w:tcPr>
          <w:p>
            <w:pPr>
              <w:pStyle w:val="TableText"/>
              <w:ind w:right="31"/>
              <w:spacing w:before="80" w:line="281" w:lineRule="exact"/>
              <w:jc w:val="right"/>
              <w:rPr>
                <w:sz w:val="21"/>
                <w:szCs w:val="21"/>
              </w:rPr>
            </w:pPr>
            <w:r>
              <w:rPr>
                <w:sz w:val="21"/>
                <w:szCs w:val="21"/>
                <w:color w:val="212529"/>
                <w:spacing w:val="2"/>
                <w:position w:val="1"/>
              </w:rPr>
              <w:t>12.46</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36" w:type="dxa"/>
            <w:vAlign w:val="top"/>
          </w:tcPr>
          <w:p>
            <w:pPr>
              <w:pStyle w:val="TableText"/>
              <w:ind w:left="9"/>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81" w:line="281" w:lineRule="exact"/>
              <w:jc w:val="right"/>
              <w:rPr>
                <w:sz w:val="21"/>
                <w:szCs w:val="21"/>
              </w:rPr>
            </w:pPr>
            <w:r>
              <w:rPr>
                <w:sz w:val="21"/>
                <w:szCs w:val="21"/>
                <w:color w:val="212529"/>
                <w:spacing w:val="2"/>
                <w:position w:val="1"/>
              </w:rPr>
              <w:t>12.46</w:t>
            </w:r>
          </w:p>
        </w:tc>
        <w:tc>
          <w:tcPr>
            <w:tcW w:w="1453" w:type="dxa"/>
            <w:vAlign w:val="top"/>
          </w:tcPr>
          <w:p>
            <w:pPr>
              <w:pStyle w:val="TableText"/>
              <w:ind w:right="31"/>
              <w:spacing w:before="81" w:line="281" w:lineRule="exact"/>
              <w:jc w:val="right"/>
              <w:rPr>
                <w:sz w:val="21"/>
                <w:szCs w:val="21"/>
              </w:rPr>
            </w:pPr>
            <w:r>
              <w:rPr>
                <w:sz w:val="21"/>
                <w:szCs w:val="21"/>
                <w:color w:val="212529"/>
                <w:spacing w:val="2"/>
                <w:position w:val="1"/>
              </w:rPr>
              <w:t>12.46</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36" w:type="dxa"/>
            <w:vAlign w:val="top"/>
          </w:tcPr>
          <w:p>
            <w:pPr>
              <w:pStyle w:val="TableText"/>
              <w:ind w:left="8" w:right="75"/>
              <w:spacing w:before="23" w:line="209"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right="32"/>
              <w:spacing w:before="157" w:line="281" w:lineRule="exact"/>
              <w:jc w:val="right"/>
              <w:rPr>
                <w:sz w:val="21"/>
                <w:szCs w:val="21"/>
              </w:rPr>
            </w:pPr>
            <w:r>
              <w:rPr>
                <w:sz w:val="21"/>
                <w:szCs w:val="21"/>
                <w:color w:val="212529"/>
                <w:spacing w:val="2"/>
                <w:position w:val="1"/>
              </w:rPr>
              <w:t>12.46</w:t>
            </w:r>
          </w:p>
        </w:tc>
        <w:tc>
          <w:tcPr>
            <w:tcW w:w="1453" w:type="dxa"/>
            <w:vAlign w:val="top"/>
          </w:tcPr>
          <w:p>
            <w:pPr>
              <w:pStyle w:val="TableText"/>
              <w:ind w:right="31"/>
              <w:spacing w:before="157" w:line="281" w:lineRule="exact"/>
              <w:jc w:val="right"/>
              <w:rPr>
                <w:sz w:val="21"/>
                <w:szCs w:val="21"/>
              </w:rPr>
            </w:pPr>
            <w:r>
              <w:rPr>
                <w:sz w:val="21"/>
                <w:szCs w:val="21"/>
                <w:color w:val="212529"/>
                <w:spacing w:val="2"/>
                <w:position w:val="1"/>
              </w:rPr>
              <w:t>12.46</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36" w:type="dxa"/>
            <w:vAlign w:val="top"/>
          </w:tcPr>
          <w:p>
            <w:pPr>
              <w:pStyle w:val="TableText"/>
              <w:ind w:left="10"/>
              <w:spacing w:before="84"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83" w:line="281" w:lineRule="exact"/>
              <w:jc w:val="right"/>
              <w:rPr>
                <w:sz w:val="21"/>
                <w:szCs w:val="21"/>
              </w:rPr>
            </w:pPr>
            <w:r>
              <w:rPr>
                <w:sz w:val="21"/>
                <w:szCs w:val="21"/>
                <w:color w:val="212529"/>
                <w:spacing w:val="2"/>
                <w:position w:val="1"/>
              </w:rPr>
              <w:t>189.19</w:t>
            </w:r>
          </w:p>
        </w:tc>
        <w:tc>
          <w:tcPr>
            <w:tcW w:w="1453" w:type="dxa"/>
            <w:vAlign w:val="top"/>
          </w:tcPr>
          <w:p>
            <w:pPr>
              <w:pStyle w:val="TableText"/>
              <w:ind w:right="31"/>
              <w:spacing w:before="83" w:line="281" w:lineRule="exact"/>
              <w:jc w:val="right"/>
              <w:rPr>
                <w:sz w:val="21"/>
                <w:szCs w:val="21"/>
              </w:rPr>
            </w:pPr>
            <w:r>
              <w:rPr>
                <w:sz w:val="21"/>
                <w:szCs w:val="21"/>
                <w:color w:val="212529"/>
                <w:spacing w:val="2"/>
                <w:position w:val="1"/>
              </w:rPr>
              <w:t>103.42</w:t>
            </w:r>
          </w:p>
        </w:tc>
        <w:tc>
          <w:tcPr>
            <w:tcW w:w="1400" w:type="dxa"/>
            <w:vAlign w:val="top"/>
          </w:tcPr>
          <w:p>
            <w:pPr>
              <w:pStyle w:val="TableText"/>
              <w:ind w:right="32"/>
              <w:spacing w:before="83" w:line="281" w:lineRule="exact"/>
              <w:jc w:val="right"/>
              <w:rPr>
                <w:sz w:val="21"/>
                <w:szCs w:val="21"/>
              </w:rPr>
            </w:pPr>
            <w:r>
              <w:rPr>
                <w:sz w:val="21"/>
                <w:szCs w:val="21"/>
                <w:color w:val="212529"/>
                <w:spacing w:val="5"/>
                <w:position w:val="1"/>
              </w:rPr>
              <w:t>85.76</w:t>
            </w:r>
          </w:p>
        </w:tc>
      </w:tr>
      <w:tr>
        <w:trPr>
          <w:trHeight w:val="374" w:hRule="atLeast"/>
        </w:trPr>
        <w:tc>
          <w:tcPr>
            <w:tcW w:w="178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36" w:type="dxa"/>
            <w:vAlign w:val="top"/>
          </w:tcPr>
          <w:p>
            <w:pPr>
              <w:pStyle w:val="TableText"/>
              <w:ind w:left="8"/>
              <w:spacing w:before="84" w:line="227" w:lineRule="auto"/>
              <w:rPr>
                <w:sz w:val="21"/>
                <w:szCs w:val="21"/>
              </w:rPr>
            </w:pPr>
            <w:r>
              <w:rPr>
                <w:sz w:val="21"/>
                <w:szCs w:val="21"/>
                <w:color w:val="212529"/>
                <w:spacing w:val="13"/>
              </w:rPr>
              <w:t>基层医疗卫生机构</w:t>
            </w:r>
          </w:p>
        </w:tc>
        <w:tc>
          <w:tcPr>
            <w:tcW w:w="1572" w:type="dxa"/>
            <w:vAlign w:val="top"/>
          </w:tcPr>
          <w:p>
            <w:pPr>
              <w:pStyle w:val="TableText"/>
              <w:ind w:right="32"/>
              <w:spacing w:before="84" w:line="280" w:lineRule="exact"/>
              <w:jc w:val="right"/>
              <w:rPr>
                <w:sz w:val="21"/>
                <w:szCs w:val="21"/>
              </w:rPr>
            </w:pPr>
            <w:r>
              <w:rPr>
                <w:sz w:val="21"/>
                <w:szCs w:val="21"/>
                <w:color w:val="212529"/>
                <w:spacing w:val="2"/>
                <w:position w:val="1"/>
              </w:rPr>
              <w:t>135.12</w:t>
            </w:r>
          </w:p>
        </w:tc>
        <w:tc>
          <w:tcPr>
            <w:tcW w:w="1453" w:type="dxa"/>
            <w:vAlign w:val="top"/>
          </w:tcPr>
          <w:p>
            <w:pPr>
              <w:pStyle w:val="TableText"/>
              <w:ind w:right="31"/>
              <w:spacing w:before="84" w:line="280" w:lineRule="exact"/>
              <w:jc w:val="right"/>
              <w:rPr>
                <w:sz w:val="21"/>
                <w:szCs w:val="21"/>
              </w:rPr>
            </w:pPr>
            <w:r>
              <w:rPr>
                <w:sz w:val="21"/>
                <w:szCs w:val="21"/>
                <w:color w:val="212529"/>
                <w:spacing w:val="5"/>
                <w:position w:val="1"/>
              </w:rPr>
              <w:t>98.33</w:t>
            </w:r>
          </w:p>
        </w:tc>
        <w:tc>
          <w:tcPr>
            <w:tcW w:w="1400" w:type="dxa"/>
            <w:vAlign w:val="top"/>
          </w:tcPr>
          <w:p>
            <w:pPr>
              <w:pStyle w:val="TableText"/>
              <w:ind w:right="32"/>
              <w:spacing w:before="84" w:line="280" w:lineRule="exact"/>
              <w:jc w:val="right"/>
              <w:rPr>
                <w:sz w:val="21"/>
                <w:szCs w:val="21"/>
              </w:rPr>
            </w:pPr>
            <w:r>
              <w:rPr>
                <w:sz w:val="21"/>
                <w:szCs w:val="21"/>
                <w:color w:val="212529"/>
                <w:spacing w:val="4"/>
                <w:position w:val="1"/>
              </w:rPr>
              <w:t>36.80</w:t>
            </w:r>
          </w:p>
        </w:tc>
      </w:tr>
      <w:tr>
        <w:trPr>
          <w:trHeight w:val="374" w:hRule="atLeast"/>
        </w:trPr>
        <w:tc>
          <w:tcPr>
            <w:tcW w:w="178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36" w:type="dxa"/>
            <w:vAlign w:val="top"/>
          </w:tcPr>
          <w:p>
            <w:pPr>
              <w:pStyle w:val="TableText"/>
              <w:ind w:left="18"/>
              <w:spacing w:before="86" w:line="227" w:lineRule="auto"/>
              <w:rPr>
                <w:sz w:val="21"/>
                <w:szCs w:val="21"/>
              </w:rPr>
            </w:pPr>
            <w:r>
              <w:rPr>
                <w:sz w:val="21"/>
                <w:szCs w:val="21"/>
                <w:color w:val="212529"/>
                <w:spacing w:val="10"/>
              </w:rPr>
              <w:t>乡镇卫生院</w:t>
            </w:r>
          </w:p>
        </w:tc>
        <w:tc>
          <w:tcPr>
            <w:tcW w:w="1572" w:type="dxa"/>
            <w:vAlign w:val="top"/>
          </w:tcPr>
          <w:p>
            <w:pPr>
              <w:pStyle w:val="TableText"/>
              <w:ind w:right="32"/>
              <w:spacing w:before="85" w:line="279" w:lineRule="exact"/>
              <w:jc w:val="right"/>
              <w:rPr>
                <w:sz w:val="21"/>
                <w:szCs w:val="21"/>
              </w:rPr>
            </w:pPr>
            <w:r>
              <w:rPr>
                <w:sz w:val="21"/>
                <w:szCs w:val="21"/>
                <w:color w:val="212529"/>
                <w:spacing w:val="2"/>
                <w:position w:val="1"/>
              </w:rPr>
              <w:t>111.68</w:t>
            </w:r>
          </w:p>
        </w:tc>
        <w:tc>
          <w:tcPr>
            <w:tcW w:w="1453" w:type="dxa"/>
            <w:vAlign w:val="top"/>
          </w:tcPr>
          <w:p>
            <w:pPr>
              <w:pStyle w:val="TableText"/>
              <w:ind w:right="31"/>
              <w:spacing w:before="85" w:line="279" w:lineRule="exact"/>
              <w:jc w:val="right"/>
              <w:rPr>
                <w:sz w:val="21"/>
                <w:szCs w:val="21"/>
              </w:rPr>
            </w:pPr>
            <w:r>
              <w:rPr>
                <w:sz w:val="21"/>
                <w:szCs w:val="21"/>
                <w:color w:val="212529"/>
                <w:spacing w:val="5"/>
                <w:position w:val="1"/>
              </w:rPr>
              <w:t>98.33</w:t>
            </w:r>
          </w:p>
        </w:tc>
        <w:tc>
          <w:tcPr>
            <w:tcW w:w="1400" w:type="dxa"/>
            <w:vAlign w:val="top"/>
          </w:tcPr>
          <w:p>
            <w:pPr>
              <w:pStyle w:val="TableText"/>
              <w:ind w:right="32"/>
              <w:spacing w:before="85" w:line="279" w:lineRule="exact"/>
              <w:jc w:val="right"/>
              <w:rPr>
                <w:sz w:val="21"/>
                <w:szCs w:val="21"/>
              </w:rPr>
            </w:pPr>
            <w:r>
              <w:rPr>
                <w:sz w:val="21"/>
                <w:szCs w:val="21"/>
                <w:color w:val="212529"/>
                <w:spacing w:val="2"/>
                <w:position w:val="1"/>
              </w:rPr>
              <w:t>13.35</w:t>
            </w:r>
          </w:p>
        </w:tc>
      </w:tr>
      <w:tr>
        <w:trPr>
          <w:trHeight w:val="509" w:hRule="atLeast"/>
        </w:trPr>
        <w:tc>
          <w:tcPr>
            <w:tcW w:w="178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36" w:type="dxa"/>
            <w:vAlign w:val="top"/>
          </w:tcPr>
          <w:p>
            <w:pPr>
              <w:pStyle w:val="TableText"/>
              <w:ind w:left="9" w:right="75" w:hanging="1"/>
              <w:spacing w:before="28" w:line="207" w:lineRule="auto"/>
              <w:rPr>
                <w:sz w:val="21"/>
                <w:szCs w:val="21"/>
              </w:rPr>
            </w:pPr>
            <w:r>
              <w:rPr>
                <w:sz w:val="21"/>
                <w:szCs w:val="21"/>
                <w:color w:val="212529"/>
                <w:spacing w:val="13"/>
              </w:rPr>
              <w:t>其他基层医疗卫生机构</w:t>
            </w:r>
            <w:r>
              <w:rPr>
                <w:sz w:val="21"/>
                <w:szCs w:val="21"/>
                <w:color w:val="212529"/>
                <w:spacing w:val="6"/>
              </w:rPr>
              <w:t xml:space="preserve"> </w:t>
            </w:r>
            <w:r>
              <w:rPr>
                <w:sz w:val="21"/>
                <w:szCs w:val="21"/>
                <w:color w:val="212529"/>
                <w:spacing w:val="7"/>
              </w:rPr>
              <w:t>支出</w:t>
            </w:r>
          </w:p>
        </w:tc>
        <w:tc>
          <w:tcPr>
            <w:tcW w:w="1572" w:type="dxa"/>
            <w:vAlign w:val="top"/>
          </w:tcPr>
          <w:p>
            <w:pPr>
              <w:pStyle w:val="TableText"/>
              <w:ind w:right="32"/>
              <w:spacing w:before="161" w:line="281" w:lineRule="exact"/>
              <w:jc w:val="right"/>
              <w:rPr>
                <w:sz w:val="21"/>
                <w:szCs w:val="21"/>
              </w:rPr>
            </w:pPr>
            <w:r>
              <w:rPr>
                <w:sz w:val="21"/>
                <w:szCs w:val="21"/>
                <w:color w:val="212529"/>
                <w:spacing w:val="4"/>
                <w:position w:val="1"/>
              </w:rPr>
              <w:t>23.45</w:t>
            </w:r>
          </w:p>
        </w:tc>
        <w:tc>
          <w:tcPr>
            <w:tcW w:w="1453" w:type="dxa"/>
            <w:vAlign w:val="top"/>
          </w:tcPr>
          <w:p>
            <w:pPr>
              <w:rPr>
                <w:rFonts w:ascii="Arial"/>
                <w:sz w:val="21"/>
              </w:rPr>
            </w:pPr>
            <w:r/>
          </w:p>
        </w:tc>
        <w:tc>
          <w:tcPr>
            <w:tcW w:w="1400" w:type="dxa"/>
            <w:vAlign w:val="top"/>
          </w:tcPr>
          <w:p>
            <w:pPr>
              <w:pStyle w:val="TableText"/>
              <w:ind w:right="32"/>
              <w:spacing w:before="161" w:line="281" w:lineRule="exact"/>
              <w:jc w:val="right"/>
              <w:rPr>
                <w:sz w:val="21"/>
                <w:szCs w:val="21"/>
              </w:rPr>
            </w:pPr>
            <w:r>
              <w:rPr>
                <w:sz w:val="21"/>
                <w:szCs w:val="21"/>
                <w:color w:val="212529"/>
                <w:spacing w:val="4"/>
                <w:position w:val="1"/>
              </w:rPr>
              <w:t>23.45</w:t>
            </w:r>
          </w:p>
        </w:tc>
      </w:tr>
      <w:tr>
        <w:trPr>
          <w:trHeight w:val="374" w:hRule="atLeast"/>
        </w:trPr>
        <w:tc>
          <w:tcPr>
            <w:tcW w:w="178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36" w:type="dxa"/>
            <w:vAlign w:val="top"/>
          </w:tcPr>
          <w:p>
            <w:pPr>
              <w:pStyle w:val="TableText"/>
              <w:ind w:left="15"/>
              <w:spacing w:before="88" w:line="227" w:lineRule="auto"/>
              <w:rPr>
                <w:sz w:val="21"/>
                <w:szCs w:val="21"/>
              </w:rPr>
            </w:pPr>
            <w:r>
              <w:rPr>
                <w:sz w:val="21"/>
                <w:szCs w:val="21"/>
                <w:color w:val="212529"/>
                <w:spacing w:val="9"/>
              </w:rPr>
              <w:t>公共卫生</w:t>
            </w:r>
          </w:p>
        </w:tc>
        <w:tc>
          <w:tcPr>
            <w:tcW w:w="1572" w:type="dxa"/>
            <w:vAlign w:val="top"/>
          </w:tcPr>
          <w:p>
            <w:pPr>
              <w:pStyle w:val="TableText"/>
              <w:ind w:right="32"/>
              <w:spacing w:before="87" w:line="277" w:lineRule="exact"/>
              <w:jc w:val="right"/>
              <w:rPr>
                <w:sz w:val="21"/>
                <w:szCs w:val="21"/>
              </w:rPr>
            </w:pPr>
            <w:r>
              <w:rPr>
                <w:sz w:val="21"/>
                <w:szCs w:val="21"/>
                <w:color w:val="212529"/>
                <w:spacing w:val="5"/>
                <w:position w:val="1"/>
              </w:rPr>
              <w:t>48.96</w:t>
            </w:r>
          </w:p>
        </w:tc>
        <w:tc>
          <w:tcPr>
            <w:tcW w:w="1453" w:type="dxa"/>
            <w:vAlign w:val="top"/>
          </w:tcPr>
          <w:p>
            <w:pPr>
              <w:rPr>
                <w:rFonts w:ascii="Arial"/>
                <w:sz w:val="21"/>
              </w:rPr>
            </w:pPr>
            <w:r/>
          </w:p>
        </w:tc>
        <w:tc>
          <w:tcPr>
            <w:tcW w:w="1400" w:type="dxa"/>
            <w:vAlign w:val="top"/>
          </w:tcPr>
          <w:p>
            <w:pPr>
              <w:pStyle w:val="TableText"/>
              <w:ind w:right="32"/>
              <w:spacing w:before="87" w:line="277" w:lineRule="exact"/>
              <w:jc w:val="right"/>
              <w:rPr>
                <w:sz w:val="21"/>
                <w:szCs w:val="21"/>
              </w:rPr>
            </w:pPr>
            <w:r>
              <w:rPr>
                <w:sz w:val="21"/>
                <w:szCs w:val="21"/>
                <w:color w:val="212529"/>
                <w:spacing w:val="5"/>
                <w:position w:val="1"/>
              </w:rPr>
              <w:t>48.96</w:t>
            </w:r>
          </w:p>
        </w:tc>
      </w:tr>
      <w:tr>
        <w:trPr>
          <w:trHeight w:val="374" w:hRule="atLeast"/>
        </w:trPr>
        <w:tc>
          <w:tcPr>
            <w:tcW w:w="1789" w:type="dxa"/>
            <w:vAlign w:val="top"/>
          </w:tcPr>
          <w:p>
            <w:pPr>
              <w:pStyle w:val="TableText"/>
              <w:ind w:left="11"/>
              <w:spacing w:before="88" w:line="242" w:lineRule="auto"/>
              <w:rPr>
                <w:sz w:val="21"/>
                <w:szCs w:val="21"/>
              </w:rPr>
            </w:pPr>
            <w:r>
              <w:rPr>
                <w:sz w:val="21"/>
                <w:szCs w:val="21"/>
                <w:color w:val="212529"/>
                <w:spacing w:val="5"/>
              </w:rPr>
              <w:t>2100401</w:t>
            </w:r>
          </w:p>
        </w:tc>
        <w:tc>
          <w:tcPr>
            <w:tcW w:w="2336" w:type="dxa"/>
            <w:vAlign w:val="top"/>
          </w:tcPr>
          <w:p>
            <w:pPr>
              <w:pStyle w:val="TableText"/>
              <w:ind w:left="8"/>
              <w:spacing w:before="88" w:line="227" w:lineRule="auto"/>
              <w:rPr>
                <w:sz w:val="21"/>
                <w:szCs w:val="21"/>
              </w:rPr>
            </w:pPr>
            <w:r>
              <w:rPr>
                <w:sz w:val="21"/>
                <w:szCs w:val="21"/>
                <w:color w:val="212529"/>
                <w:spacing w:val="13"/>
              </w:rPr>
              <w:t>疾病预防控制机构</w:t>
            </w:r>
          </w:p>
        </w:tc>
        <w:tc>
          <w:tcPr>
            <w:tcW w:w="1572" w:type="dxa"/>
            <w:vAlign w:val="top"/>
          </w:tcPr>
          <w:p>
            <w:pPr>
              <w:pStyle w:val="TableText"/>
              <w:ind w:right="32"/>
              <w:spacing w:before="88" w:line="242" w:lineRule="auto"/>
              <w:jc w:val="right"/>
              <w:rPr>
                <w:sz w:val="21"/>
                <w:szCs w:val="21"/>
              </w:rPr>
            </w:pPr>
            <w:r>
              <w:rPr>
                <w:sz w:val="21"/>
                <w:szCs w:val="21"/>
                <w:color w:val="212529"/>
                <w:spacing w:val="4"/>
              </w:rPr>
              <w:t>0.24</w:t>
            </w:r>
          </w:p>
        </w:tc>
        <w:tc>
          <w:tcPr>
            <w:tcW w:w="1453" w:type="dxa"/>
            <w:vAlign w:val="top"/>
          </w:tcPr>
          <w:p>
            <w:pPr>
              <w:rPr>
                <w:rFonts w:ascii="Arial"/>
                <w:sz w:val="21"/>
              </w:rPr>
            </w:pPr>
            <w:r/>
          </w:p>
        </w:tc>
        <w:tc>
          <w:tcPr>
            <w:tcW w:w="1400" w:type="dxa"/>
            <w:vAlign w:val="top"/>
          </w:tcPr>
          <w:p>
            <w:pPr>
              <w:pStyle w:val="TableText"/>
              <w:ind w:right="32"/>
              <w:spacing w:before="88" w:line="242" w:lineRule="auto"/>
              <w:jc w:val="right"/>
              <w:rPr>
                <w:sz w:val="21"/>
                <w:szCs w:val="21"/>
              </w:rPr>
            </w:pPr>
            <w:r>
              <w:rPr>
                <w:sz w:val="21"/>
                <w:szCs w:val="21"/>
                <w:color w:val="212529"/>
                <w:spacing w:val="4"/>
              </w:rPr>
              <w:t>0.24</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2100408</w:t>
            </w:r>
          </w:p>
        </w:tc>
        <w:tc>
          <w:tcPr>
            <w:tcW w:w="2336" w:type="dxa"/>
            <w:vAlign w:val="top"/>
          </w:tcPr>
          <w:p>
            <w:pPr>
              <w:pStyle w:val="TableText"/>
              <w:ind w:left="8"/>
              <w:spacing w:before="89" w:line="227" w:lineRule="auto"/>
              <w:rPr>
                <w:sz w:val="21"/>
                <w:szCs w:val="21"/>
              </w:rPr>
            </w:pPr>
            <w:r>
              <w:rPr>
                <w:sz w:val="21"/>
                <w:szCs w:val="21"/>
                <w:color w:val="212529"/>
                <w:spacing w:val="13"/>
              </w:rPr>
              <w:t>基本公共卫生服务</w:t>
            </w:r>
          </w:p>
        </w:tc>
        <w:tc>
          <w:tcPr>
            <w:tcW w:w="1572" w:type="dxa"/>
            <w:vAlign w:val="top"/>
          </w:tcPr>
          <w:p>
            <w:pPr>
              <w:pStyle w:val="TableText"/>
              <w:ind w:right="32"/>
              <w:spacing w:before="89" w:line="242" w:lineRule="auto"/>
              <w:jc w:val="right"/>
              <w:rPr>
                <w:sz w:val="21"/>
                <w:szCs w:val="21"/>
              </w:rPr>
            </w:pPr>
            <w:r>
              <w:rPr>
                <w:sz w:val="21"/>
                <w:szCs w:val="21"/>
                <w:color w:val="212529"/>
                <w:spacing w:val="5"/>
              </w:rPr>
              <w:t>48.72</w:t>
            </w:r>
          </w:p>
        </w:tc>
        <w:tc>
          <w:tcPr>
            <w:tcW w:w="1453" w:type="dxa"/>
            <w:vAlign w:val="top"/>
          </w:tcPr>
          <w:p>
            <w:pPr>
              <w:rPr>
                <w:rFonts w:ascii="Arial"/>
                <w:sz w:val="21"/>
              </w:rPr>
            </w:pPr>
            <w:r/>
          </w:p>
        </w:tc>
        <w:tc>
          <w:tcPr>
            <w:tcW w:w="1400" w:type="dxa"/>
            <w:vAlign w:val="top"/>
          </w:tcPr>
          <w:p>
            <w:pPr>
              <w:pStyle w:val="TableText"/>
              <w:ind w:right="32"/>
              <w:spacing w:before="89" w:line="242" w:lineRule="auto"/>
              <w:jc w:val="right"/>
              <w:rPr>
                <w:sz w:val="21"/>
                <w:szCs w:val="21"/>
              </w:rPr>
            </w:pPr>
            <w:r>
              <w:rPr>
                <w:sz w:val="21"/>
                <w:szCs w:val="21"/>
                <w:color w:val="212529"/>
                <w:spacing w:val="5"/>
              </w:rPr>
              <w:t>48.72</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21011</w:t>
            </w:r>
          </w:p>
        </w:tc>
        <w:tc>
          <w:tcPr>
            <w:tcW w:w="2336" w:type="dxa"/>
            <w:vAlign w:val="top"/>
          </w:tcPr>
          <w:p>
            <w:pPr>
              <w:pStyle w:val="TableText"/>
              <w:ind w:left="9"/>
              <w:spacing w:before="89"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3"/>
              </w:rPr>
              <w:t>5.10</w:t>
            </w:r>
          </w:p>
        </w:tc>
        <w:tc>
          <w:tcPr>
            <w:tcW w:w="1453" w:type="dxa"/>
            <w:vAlign w:val="top"/>
          </w:tcPr>
          <w:p>
            <w:pPr>
              <w:pStyle w:val="TableText"/>
              <w:ind w:right="31"/>
              <w:spacing w:before="89" w:line="242" w:lineRule="auto"/>
              <w:jc w:val="right"/>
              <w:rPr>
                <w:sz w:val="21"/>
                <w:szCs w:val="21"/>
              </w:rPr>
            </w:pPr>
            <w:r>
              <w:rPr>
                <w:sz w:val="21"/>
                <w:szCs w:val="21"/>
                <w:color w:val="212529"/>
                <w:spacing w:val="3"/>
              </w:rPr>
              <w:t>5.10</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2101102</w:t>
            </w:r>
          </w:p>
        </w:tc>
        <w:tc>
          <w:tcPr>
            <w:tcW w:w="2336" w:type="dxa"/>
            <w:vAlign w:val="top"/>
          </w:tcPr>
          <w:p>
            <w:pPr>
              <w:pStyle w:val="TableText"/>
              <w:ind w:left="10"/>
              <w:spacing w:before="89"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3"/>
              </w:rPr>
              <w:t>5.10</w:t>
            </w:r>
          </w:p>
        </w:tc>
        <w:tc>
          <w:tcPr>
            <w:tcW w:w="1453" w:type="dxa"/>
            <w:vAlign w:val="top"/>
          </w:tcPr>
          <w:p>
            <w:pPr>
              <w:pStyle w:val="TableText"/>
              <w:ind w:right="31"/>
              <w:spacing w:before="89" w:line="242" w:lineRule="auto"/>
              <w:jc w:val="right"/>
              <w:rPr>
                <w:sz w:val="21"/>
                <w:szCs w:val="21"/>
              </w:rPr>
            </w:pPr>
            <w:r>
              <w:rPr>
                <w:sz w:val="21"/>
                <w:szCs w:val="21"/>
                <w:color w:val="212529"/>
                <w:spacing w:val="3"/>
              </w:rPr>
              <w:t>5.10</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2"/>
              </w:rPr>
              <w:t>221</w:t>
            </w:r>
          </w:p>
        </w:tc>
        <w:tc>
          <w:tcPr>
            <w:tcW w:w="2336" w:type="dxa"/>
            <w:vAlign w:val="top"/>
          </w:tcPr>
          <w:p>
            <w:pPr>
              <w:pStyle w:val="TableText"/>
              <w:ind w:left="9"/>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89" w:line="242" w:lineRule="auto"/>
              <w:jc w:val="right"/>
              <w:rPr>
                <w:sz w:val="21"/>
                <w:szCs w:val="21"/>
              </w:rPr>
            </w:pPr>
            <w:r>
              <w:rPr>
                <w:sz w:val="21"/>
                <w:szCs w:val="21"/>
                <w:color w:val="212529"/>
                <w:spacing w:val="2"/>
              </w:rPr>
              <w:t>12.05</w:t>
            </w:r>
          </w:p>
        </w:tc>
        <w:tc>
          <w:tcPr>
            <w:tcW w:w="1453" w:type="dxa"/>
            <w:vAlign w:val="top"/>
          </w:tcPr>
          <w:p>
            <w:pPr>
              <w:pStyle w:val="TableText"/>
              <w:ind w:right="31"/>
              <w:spacing w:before="89" w:line="242" w:lineRule="auto"/>
              <w:jc w:val="right"/>
              <w:rPr>
                <w:sz w:val="21"/>
                <w:szCs w:val="21"/>
              </w:rPr>
            </w:pPr>
            <w:r>
              <w:rPr>
                <w:sz w:val="21"/>
                <w:szCs w:val="21"/>
                <w:color w:val="212529"/>
                <w:spacing w:val="2"/>
              </w:rPr>
              <w:t>12.05</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22102</w:t>
            </w:r>
          </w:p>
        </w:tc>
        <w:tc>
          <w:tcPr>
            <w:tcW w:w="2336" w:type="dxa"/>
            <w:vAlign w:val="top"/>
          </w:tcPr>
          <w:p>
            <w:pPr>
              <w:pStyle w:val="TableText"/>
              <w:ind w:left="9"/>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89" w:line="242" w:lineRule="auto"/>
              <w:jc w:val="right"/>
              <w:rPr>
                <w:sz w:val="21"/>
                <w:szCs w:val="21"/>
              </w:rPr>
            </w:pPr>
            <w:r>
              <w:rPr>
                <w:sz w:val="21"/>
                <w:szCs w:val="21"/>
                <w:color w:val="212529"/>
                <w:spacing w:val="2"/>
              </w:rPr>
              <w:t>12.05</w:t>
            </w:r>
          </w:p>
        </w:tc>
        <w:tc>
          <w:tcPr>
            <w:tcW w:w="1453" w:type="dxa"/>
            <w:vAlign w:val="top"/>
          </w:tcPr>
          <w:p>
            <w:pPr>
              <w:pStyle w:val="TableText"/>
              <w:ind w:right="31"/>
              <w:spacing w:before="89" w:line="242" w:lineRule="auto"/>
              <w:jc w:val="right"/>
              <w:rPr>
                <w:sz w:val="21"/>
                <w:szCs w:val="21"/>
              </w:rPr>
            </w:pPr>
            <w:r>
              <w:rPr>
                <w:sz w:val="21"/>
                <w:szCs w:val="21"/>
                <w:color w:val="212529"/>
                <w:spacing w:val="2"/>
              </w:rPr>
              <w:t>12.05</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2210201</w:t>
            </w:r>
          </w:p>
        </w:tc>
        <w:tc>
          <w:tcPr>
            <w:tcW w:w="2336" w:type="dxa"/>
            <w:vAlign w:val="top"/>
          </w:tcPr>
          <w:p>
            <w:pPr>
              <w:pStyle w:val="TableText"/>
              <w:ind w:left="9"/>
              <w:spacing w:before="89" w:line="228" w:lineRule="auto"/>
              <w:rPr>
                <w:sz w:val="21"/>
                <w:szCs w:val="21"/>
              </w:rPr>
            </w:pPr>
            <w:r>
              <w:rPr>
                <w:sz w:val="21"/>
                <w:szCs w:val="21"/>
                <w:color w:val="212529"/>
                <w:spacing w:val="12"/>
              </w:rPr>
              <w:t>住房公积金</w:t>
            </w:r>
          </w:p>
        </w:tc>
        <w:tc>
          <w:tcPr>
            <w:tcW w:w="1572" w:type="dxa"/>
            <w:vAlign w:val="top"/>
          </w:tcPr>
          <w:p>
            <w:pPr>
              <w:pStyle w:val="TableText"/>
              <w:ind w:right="32"/>
              <w:spacing w:before="89" w:line="242" w:lineRule="auto"/>
              <w:jc w:val="right"/>
              <w:rPr>
                <w:sz w:val="21"/>
                <w:szCs w:val="21"/>
              </w:rPr>
            </w:pPr>
            <w:r>
              <w:rPr>
                <w:sz w:val="21"/>
                <w:szCs w:val="21"/>
                <w:color w:val="212529"/>
                <w:spacing w:val="2"/>
              </w:rPr>
              <w:t>12.05</w:t>
            </w:r>
          </w:p>
        </w:tc>
        <w:tc>
          <w:tcPr>
            <w:tcW w:w="1453" w:type="dxa"/>
            <w:vAlign w:val="top"/>
          </w:tcPr>
          <w:p>
            <w:pPr>
              <w:pStyle w:val="TableText"/>
              <w:ind w:right="31"/>
              <w:spacing w:before="89" w:line="242" w:lineRule="auto"/>
              <w:jc w:val="right"/>
              <w:rPr>
                <w:sz w:val="21"/>
                <w:szCs w:val="21"/>
              </w:rPr>
            </w:pPr>
            <w:r>
              <w:rPr>
                <w:sz w:val="21"/>
                <w:szCs w:val="21"/>
                <w:color w:val="212529"/>
                <w:spacing w:val="2"/>
              </w:rPr>
              <w:t>12.05</w:t>
            </w:r>
          </w:p>
        </w:tc>
        <w:tc>
          <w:tcPr>
            <w:tcW w:w="140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9"/>
          <w:footerReference w:type="default" r:id="rId15"/>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部门名称：兴县东会乡卫生院</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right="33"/>
              <w:spacing w:before="173" w:line="238" w:lineRule="auto"/>
              <w:jc w:val="right"/>
              <w:rPr/>
            </w:pPr>
            <w:r>
              <w:rPr>
                <w:color w:val="212529"/>
                <w:spacing w:val="-3"/>
              </w:rPr>
              <w:t>119.49</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3"/>
              <w:spacing w:before="173" w:line="238" w:lineRule="auto"/>
              <w:jc w:val="right"/>
              <w:rPr/>
            </w:pPr>
            <w:r>
              <w:rPr>
                <w:color w:val="212529"/>
                <w:spacing w:val="-2"/>
              </w:rPr>
              <w:t>8.46</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3"/>
              <w:spacing w:before="174" w:line="238" w:lineRule="auto"/>
              <w:rPr/>
            </w:pPr>
            <w:r>
              <w:rPr>
                <w:color w:val="212529"/>
                <w:spacing w:val="-2"/>
              </w:rPr>
              <w:t>43.74</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rPr>
                <w:rFonts w:ascii="Arial"/>
                <w:sz w:val="21"/>
              </w:rPr>
            </w:pPr>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2"/>
              <w:spacing w:before="175" w:line="238" w:lineRule="auto"/>
              <w:jc w:val="right"/>
              <w:rPr/>
            </w:pPr>
            <w:r>
              <w:rPr>
                <w:color w:val="212529"/>
                <w:spacing w:val="-4"/>
              </w:rPr>
              <w:t>13.51</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30.09</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2"/>
              <w:spacing w:before="179" w:line="238" w:lineRule="auto"/>
              <w:jc w:val="right"/>
              <w:rPr/>
            </w:pPr>
            <w:r>
              <w:rPr>
                <w:color w:val="212529"/>
                <w:spacing w:val="-4"/>
              </w:rPr>
              <w:t>12.46</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rPr>
                <w:rFonts w:ascii="Arial"/>
                <w:sz w:val="21"/>
              </w:rPr>
            </w:pPr>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right="33"/>
              <w:spacing w:before="181" w:line="238" w:lineRule="auto"/>
              <w:jc w:val="right"/>
              <w:rPr/>
            </w:pPr>
            <w:r>
              <w:rPr>
                <w:color w:val="212529"/>
                <w:spacing w:val="-2"/>
              </w:rPr>
              <w:t>5.06</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right="32"/>
              <w:spacing w:before="181" w:line="238" w:lineRule="auto"/>
              <w:jc w:val="right"/>
              <w:rPr/>
            </w:pPr>
            <w:r>
              <w:rPr>
                <w:color w:val="212529"/>
                <w:spacing w:val="-3"/>
              </w:rPr>
              <w:t>7.50</w:t>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4"/>
              <w:spacing w:before="183" w:line="238" w:lineRule="auto"/>
              <w:jc w:val="right"/>
              <w:rPr/>
            </w:pPr>
            <w:r>
              <w:rPr>
                <w:color w:val="212529"/>
                <w:spacing w:val="-2"/>
              </w:rPr>
              <w:t>0.25</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12.05</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6"/>
          <w:footerReference w:type="default" r:id="rId17"/>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right="34"/>
              <w:spacing w:before="154" w:line="238" w:lineRule="auto"/>
              <w:jc w:val="right"/>
              <w:rPr/>
            </w:pPr>
            <w:r>
              <w:rPr>
                <w:color w:val="212529"/>
                <w:spacing w:val="-2"/>
              </w:rPr>
              <w:t>2.31</w:t>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rPr>
                <w:rFonts w:ascii="Arial"/>
                <w:sz w:val="21"/>
              </w:rPr>
            </w:pPr>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right="32"/>
              <w:spacing w:before="163" w:line="238" w:lineRule="auto"/>
              <w:jc w:val="right"/>
              <w:rPr/>
            </w:pPr>
            <w:r>
              <w:rPr>
                <w:color w:val="212529"/>
                <w:spacing w:val="-2"/>
              </w:rPr>
              <w:t>0.96</w:t>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right="33"/>
              <w:spacing w:before="169" w:line="238" w:lineRule="auto"/>
              <w:jc w:val="right"/>
              <w:rPr/>
            </w:pPr>
            <w:r>
              <w:rPr>
                <w:color w:val="212529"/>
                <w:spacing w:val="-3"/>
              </w:rPr>
              <w:t>119.49</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8.46</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8"/>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部门名称：兴县东会乡卫生院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7"/>
          <w:footerReference w:type="default" r:id="rId19"/>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部门名称：兴县东会乡卫生院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20"/>
          <w:footerReference w:type="default" r:id="rId21"/>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spacing w:before="171" w:line="218" w:lineRule="auto"/>
              <w:rPr/>
            </w:pPr>
            <w:r>
              <w:rPr>
                <w:color w:val="212529"/>
                <w:spacing w:val="-1"/>
              </w:rPr>
              <w:t>部门名称：兴县东会乡卫生院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58"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6"/>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单位名称：兴县东会乡卫生院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7"/>
          <w:footerReference w:type="default" r:id="rId23"/>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2024年度收入总计260.11万元，支出总计260.11万元。与上年相比，收入总计减少80.56</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万元，下降23.65%，支出总计减少80.56万元，下降23.65%。主要原因是公共卫生资金减</w:t>
      </w:r>
      <w:r>
        <w:rPr>
          <w:rFonts w:ascii="FangSong" w:hAnsi="FangSong" w:eastAsia="FangSong" w:cs="FangSong"/>
          <w:sz w:val="23"/>
          <w:szCs w:val="23"/>
          <w:spacing w:val="1"/>
        </w:rPr>
        <w:t>少，</w:t>
      </w:r>
      <w:r>
        <w:rPr>
          <w:rFonts w:ascii="FangSong" w:hAnsi="FangSong" w:eastAsia="FangSong" w:cs="FangSong"/>
          <w:sz w:val="23"/>
          <w:szCs w:val="23"/>
        </w:rPr>
        <w:t xml:space="preserve"> </w:t>
      </w:r>
      <w:r>
        <w:rPr>
          <w:rFonts w:ascii="FangSong" w:hAnsi="FangSong" w:eastAsia="FangSong" w:cs="FangSong"/>
          <w:sz w:val="23"/>
          <w:szCs w:val="23"/>
          <w:spacing w:val="-1"/>
        </w:rPr>
        <w:t>基本药物补助资金减少。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2024年度收入合计231.81万元，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财政拨款收入213.71万元，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占比92.19%；</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事业收入8.75万元，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占比3.78%；</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其他收入9.36万元，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占比4.04%。</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2024年度支出合计260.09万元，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基本支出174.33万元，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占比67.03%；</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项目支出85.76万元，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占比32.97%。</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2024年度财政拨款收入总计213.71万元，支出总计213</w:t>
      </w:r>
      <w:r>
        <w:rPr>
          <w:rFonts w:ascii="FangSong" w:hAnsi="FangSong" w:eastAsia="FangSong" w:cs="FangSong"/>
          <w:sz w:val="23"/>
          <w:szCs w:val="23"/>
          <w:spacing w:val="4"/>
        </w:rPr>
        <w:t>.71万元。与上年相比，财政拨款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收入总计减少22.34万元，下降9.46%；财政拨款支出总计减少22.34万元，下降9.46%。主要</w:t>
      </w:r>
      <w:r>
        <w:rPr>
          <w:rFonts w:ascii="FangSong" w:hAnsi="FangSong" w:eastAsia="FangSong" w:cs="FangSong"/>
          <w:sz w:val="23"/>
          <w:szCs w:val="23"/>
          <w:spacing w:val="6"/>
        </w:rPr>
        <w:t xml:space="preserve"> </w:t>
      </w:r>
      <w:r>
        <w:rPr>
          <w:rFonts w:ascii="FangSong" w:hAnsi="FangSong" w:eastAsia="FangSong" w:cs="FangSong"/>
          <w:sz w:val="23"/>
          <w:szCs w:val="23"/>
          <w:spacing w:val="-1"/>
        </w:rPr>
        <w:t>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2024年一般公共预算财政拨款决算支出213.71万元，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占本年支出合计的82.17%。与上年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相比，一般公共预算财政拨款支出减少22.34万元，下降9.46</w:t>
      </w:r>
      <w:r>
        <w:rPr>
          <w:rFonts w:ascii="FangSong" w:hAnsi="FangSong" w:eastAsia="FangSong" w:cs="FangSong"/>
          <w:sz w:val="23"/>
          <w:szCs w:val="23"/>
          <w:spacing w:val="4"/>
        </w:rPr>
        <w:t>%。主要原因是公共卫生资金减</w:t>
      </w:r>
      <w:r>
        <w:rPr>
          <w:rFonts w:ascii="FangSong" w:hAnsi="FangSong" w:eastAsia="FangSong" w:cs="FangSong"/>
          <w:sz w:val="23"/>
          <w:szCs w:val="23"/>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2024年度一般公共预算财政拨款支出213.71万元，主要用于以下方面：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社会保障和就业支出(类)12.46万元，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83%；</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卫生健康支出(类)189.19万元，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占比88.53%；</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住房保障支出(类)12.05万元，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占比5.64%。</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2024年度一般公共预算财政拨款支出年初预算210.35万元</w:t>
      </w:r>
      <w:r>
        <w:rPr>
          <w:rFonts w:ascii="FangSong" w:hAnsi="FangSong" w:eastAsia="FangSong" w:cs="FangSong"/>
          <w:sz w:val="23"/>
          <w:szCs w:val="23"/>
          <w:spacing w:val="4"/>
        </w:rPr>
        <w:t>，支出决算213.71万元，完成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年初预算的101.60%。其中：</w:t>
      </w:r>
    </w:p>
    <w:p>
      <w:pPr>
        <w:ind w:left="1273" w:right="1223" w:firstLine="451"/>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年初预算12.46</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出决算12.46万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8"/>
        </w:rPr>
        <w:t>100.00%</w:t>
      </w:r>
      <w:r>
        <w:rPr>
          <w:rFonts w:ascii="FangSong" w:hAnsi="FangSong" w:eastAsia="FangSong" w:cs="FangSong"/>
          <w:sz w:val="23"/>
          <w:szCs w:val="23"/>
          <w:spacing w:val="-65"/>
        </w:rPr>
        <w:t xml:space="preserve"> </w:t>
      </w:r>
      <w:r>
        <w:rPr>
          <w:rFonts w:ascii="FangSong" w:hAnsi="FangSong" w:eastAsia="FangSong" w:cs="FangSong"/>
          <w:sz w:val="23"/>
          <w:szCs w:val="23"/>
          <w:spacing w:val="8"/>
        </w:rPr>
        <w:t>，用于缴纳在职人员</w:t>
      </w:r>
      <w:r>
        <w:rPr>
          <w:rFonts w:ascii="FangSong" w:hAnsi="FangSong" w:eastAsia="FangSong" w:cs="FangSong"/>
          <w:sz w:val="23"/>
          <w:szCs w:val="23"/>
          <w:spacing w:val="-67"/>
        </w:rPr>
        <w:t xml:space="preserve"> </w:t>
      </w:r>
      <w:r>
        <w:rPr>
          <w:rFonts w:ascii="FangSong" w:hAnsi="FangSong" w:eastAsia="FangSong" w:cs="FangSong"/>
          <w:sz w:val="23"/>
          <w:szCs w:val="23"/>
          <w:spacing w:val="8"/>
        </w:rPr>
        <w:t>，退休人员养老金等社保</w:t>
      </w:r>
      <w:r>
        <w:rPr>
          <w:rFonts w:ascii="FangSong" w:hAnsi="FangSong" w:eastAsia="FangSong" w:cs="FangSong"/>
          <w:sz w:val="23"/>
          <w:szCs w:val="23"/>
          <w:spacing w:val="-67"/>
        </w:rPr>
        <w:t xml:space="preserve"> </w:t>
      </w:r>
      <w:r>
        <w:rPr>
          <w:rFonts w:ascii="FangSong" w:hAnsi="FangSong" w:eastAsia="FangSong" w:cs="FangSong"/>
          <w:sz w:val="23"/>
          <w:szCs w:val="23"/>
          <w:spacing w:val="8"/>
        </w:rPr>
        <w:t>。较上年决算减少2.35万元</w:t>
      </w:r>
      <w:r>
        <w:rPr>
          <w:rFonts w:ascii="FangSong" w:hAnsi="FangSong" w:eastAsia="FangSong" w:cs="FangSong"/>
          <w:sz w:val="23"/>
          <w:szCs w:val="23"/>
          <w:spacing w:val="-67"/>
        </w:rPr>
        <w:t xml:space="preserve"> </w:t>
      </w:r>
      <w:r>
        <w:rPr>
          <w:rFonts w:ascii="FangSong" w:hAnsi="FangSong" w:eastAsia="FangSong" w:cs="FangSong"/>
          <w:sz w:val="23"/>
          <w:szCs w:val="23"/>
          <w:spacing w:val="8"/>
        </w:rPr>
        <w:t>，下降</w:t>
      </w:r>
      <w:r>
        <w:rPr>
          <w:rFonts w:ascii="FangSong" w:hAnsi="FangSong" w:eastAsia="FangSong" w:cs="FangSong"/>
          <w:sz w:val="23"/>
          <w:szCs w:val="23"/>
        </w:rPr>
        <w:t xml:space="preserve"> </w:t>
      </w:r>
      <w:r>
        <w:rPr>
          <w:rFonts w:ascii="FangSong" w:hAnsi="FangSong" w:eastAsia="FangSong" w:cs="FangSong"/>
          <w:sz w:val="23"/>
          <w:szCs w:val="23"/>
          <w:spacing w:val="-1"/>
        </w:rPr>
        <w:t>15.87%，主要原因是上年度补缴退休人员职业年金纪实款。</w:t>
      </w:r>
    </w:p>
    <w:p>
      <w:pPr>
        <w:spacing w:line="325"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卫生健康支出年初预算185.27万元，支出决算189.19万元，完成年初预算的102.</w:t>
      </w:r>
      <w:r>
        <w:rPr>
          <w:rFonts w:ascii="FangSong" w:hAnsi="FangSong" w:eastAsia="FangSong" w:cs="FangSong"/>
          <w:sz w:val="23"/>
          <w:szCs w:val="23"/>
          <w:spacing w:val="1"/>
        </w:rPr>
        <w:t>12%，用</w:t>
      </w:r>
      <w:r>
        <w:rPr>
          <w:rFonts w:ascii="FangSong" w:hAnsi="FangSong" w:eastAsia="FangSong" w:cs="FangSong"/>
          <w:sz w:val="23"/>
          <w:szCs w:val="23"/>
        </w:rPr>
        <w:t xml:space="preserve"> </w:t>
      </w:r>
      <w:r>
        <w:rPr>
          <w:rFonts w:ascii="FangSong" w:hAnsi="FangSong" w:eastAsia="FangSong" w:cs="FangSong"/>
          <w:sz w:val="23"/>
          <w:szCs w:val="23"/>
          <w:spacing w:val="5"/>
        </w:rPr>
        <w:t>于公共卫生支出、基本药物补助支出。较上年决算减少20</w:t>
      </w:r>
      <w:r>
        <w:rPr>
          <w:rFonts w:ascii="FangSong" w:hAnsi="FangSong" w:eastAsia="FangSong" w:cs="FangSong"/>
          <w:sz w:val="23"/>
          <w:szCs w:val="23"/>
          <w:spacing w:val="4"/>
        </w:rPr>
        <w:t>.54万元，下降9.79%，主要原因是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4" w:right="1223" w:firstLine="460"/>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住房保障支出年初预算12.62万元，支出决算12.0</w:t>
      </w:r>
      <w:r>
        <w:rPr>
          <w:rFonts w:ascii="FangSong" w:hAnsi="FangSong" w:eastAsia="FangSong" w:cs="FangSong"/>
          <w:sz w:val="23"/>
          <w:szCs w:val="23"/>
          <w:spacing w:val="4"/>
        </w:rPr>
        <w:t>5万元，完成年初预算的95.48%，用于</w:t>
      </w:r>
      <w:r>
        <w:rPr>
          <w:rFonts w:ascii="FangSong" w:hAnsi="FangSong" w:eastAsia="FangSong" w:cs="FangSong"/>
          <w:sz w:val="23"/>
          <w:szCs w:val="23"/>
        </w:rPr>
        <w:t xml:space="preserve"> </w:t>
      </w:r>
      <w:r>
        <w:rPr>
          <w:rFonts w:ascii="FangSong" w:hAnsi="FangSong" w:eastAsia="FangSong" w:cs="FangSong"/>
          <w:sz w:val="23"/>
          <w:szCs w:val="23"/>
          <w:spacing w:val="2"/>
        </w:rPr>
        <w:t>缴纳在职人员住房公积金。较上年决算增加0.54万元，增长4.69%，主要原因是本年度住房公</w:t>
      </w:r>
      <w:r>
        <w:rPr>
          <w:rFonts w:ascii="FangSong" w:hAnsi="FangSong" w:eastAsia="FangSong" w:cs="FangSong"/>
          <w:sz w:val="23"/>
          <w:szCs w:val="23"/>
          <w:spacing w:val="5"/>
        </w:rPr>
        <w:t xml:space="preserve"> </w:t>
      </w:r>
      <w:r>
        <w:rPr>
          <w:rFonts w:ascii="FangSong" w:hAnsi="FangSong" w:eastAsia="FangSong" w:cs="FangSong"/>
          <w:sz w:val="23"/>
          <w:szCs w:val="23"/>
          <w:spacing w:val="-2"/>
        </w:rPr>
        <w:t>积金基数增加。</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2024年度财政拨款基本支出127.95万元，其中：</w:t>
      </w:r>
    </w:p>
    <w:p>
      <w:pPr>
        <w:ind w:left="1496" w:right="4886"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人员经费119.49万元，主要包括基本工资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43.74万元</w:t>
      </w:r>
      <w:r>
        <w:rPr>
          <w:rFonts w:ascii="FangSong" w:hAnsi="FangSong" w:eastAsia="FangSong" w:cs="FangSong"/>
          <w:sz w:val="23"/>
          <w:szCs w:val="23"/>
        </w:rPr>
        <w:t xml:space="preserve"> </w:t>
      </w:r>
      <w:r>
        <w:rPr>
          <w:rFonts w:ascii="FangSong" w:hAnsi="FangSong" w:eastAsia="FangSong" w:cs="FangSong"/>
          <w:sz w:val="23"/>
          <w:szCs w:val="23"/>
          <w:spacing w:val="-4"/>
        </w:rPr>
        <w:t>津贴补贴</w:t>
      </w:r>
      <w:r>
        <w:rPr>
          <w:rFonts w:ascii="FangSong" w:hAnsi="FangSong" w:eastAsia="FangSong" w:cs="FangSong"/>
          <w:sz w:val="23"/>
          <w:szCs w:val="23"/>
          <w:spacing w:val="31"/>
        </w:rPr>
        <w:t xml:space="preserve"> </w:t>
      </w:r>
      <w:r>
        <w:rPr>
          <w:rFonts w:ascii="FangSong" w:hAnsi="FangSong" w:eastAsia="FangSong" w:cs="FangSong"/>
          <w:sz w:val="23"/>
          <w:szCs w:val="23"/>
          <w:spacing w:val="-4"/>
        </w:rPr>
        <w:t>13.51万元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30.09万元</w:t>
      </w:r>
    </w:p>
    <w:p>
      <w:pPr>
        <w:ind w:left="1493" w:right="6039"/>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12.46万元</w:t>
      </w:r>
      <w:r>
        <w:rPr>
          <w:rFonts w:ascii="FangSong" w:hAnsi="FangSong" w:eastAsia="FangSong" w:cs="FangSong"/>
          <w:sz w:val="23"/>
          <w:szCs w:val="23"/>
          <w:spacing w:val="16"/>
        </w:rPr>
        <w:t xml:space="preserve"> </w:t>
      </w:r>
      <w:r>
        <w:rPr>
          <w:rFonts w:ascii="FangSong" w:hAnsi="FangSong" w:eastAsia="FangSong" w:cs="FangSong"/>
          <w:sz w:val="23"/>
          <w:szCs w:val="23"/>
          <w:spacing w:val="-1"/>
        </w:rPr>
        <w:t>职工基本医疗保险缴费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5.06万元</w:t>
      </w:r>
    </w:p>
    <w:p>
      <w:pPr>
        <w:ind w:left="1494" w:right="753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0.25万元</w:t>
      </w:r>
      <w:r>
        <w:rPr>
          <w:rFonts w:ascii="FangSong" w:hAnsi="FangSong" w:eastAsia="FangSong" w:cs="FangSong"/>
          <w:sz w:val="23"/>
          <w:szCs w:val="23"/>
          <w:spacing w:val="4"/>
        </w:rPr>
        <w:t xml:space="preserve"> </w:t>
      </w:r>
      <w:r>
        <w:rPr>
          <w:rFonts w:ascii="FangSong" w:hAnsi="FangSong" w:eastAsia="FangSong" w:cs="FangSong"/>
          <w:sz w:val="23"/>
          <w:szCs w:val="23"/>
          <w:spacing w:val="-3"/>
        </w:rPr>
        <w:t>住房公积金</w:t>
      </w:r>
      <w:r>
        <w:rPr>
          <w:rFonts w:ascii="FangSong" w:hAnsi="FangSong" w:eastAsia="FangSong" w:cs="FangSong"/>
          <w:sz w:val="23"/>
          <w:szCs w:val="23"/>
          <w:spacing w:val="25"/>
        </w:rPr>
        <w:t xml:space="preserve"> </w:t>
      </w:r>
      <w:r>
        <w:rPr>
          <w:rFonts w:ascii="FangSong" w:hAnsi="FangSong" w:eastAsia="FangSong" w:cs="FangSong"/>
          <w:sz w:val="23"/>
          <w:szCs w:val="23"/>
          <w:spacing w:val="-3"/>
        </w:rPr>
        <w:t>12.07万元</w:t>
      </w:r>
    </w:p>
    <w:p>
      <w:pPr>
        <w:ind w:left="1496"/>
        <w:spacing w:line="222" w:lineRule="auto"/>
        <w:rPr>
          <w:rFonts w:ascii="FangSong" w:hAnsi="FangSong" w:eastAsia="FangSong" w:cs="FangSong"/>
          <w:sz w:val="23"/>
          <w:szCs w:val="23"/>
        </w:rPr>
      </w:pPr>
      <w:r>
        <w:rPr>
          <w:rFonts w:ascii="FangSong" w:hAnsi="FangSong" w:eastAsia="FangSong" w:cs="FangSong"/>
          <w:sz w:val="23"/>
          <w:szCs w:val="23"/>
          <w:spacing w:val="-1"/>
        </w:rPr>
        <w:t>其他工资福利支出</w:t>
      </w:r>
      <w:r>
        <w:rPr>
          <w:rFonts w:ascii="FangSong" w:hAnsi="FangSong" w:eastAsia="FangSong" w:cs="FangSong"/>
          <w:sz w:val="23"/>
          <w:szCs w:val="23"/>
          <w:spacing w:val="-1"/>
        </w:rPr>
        <w:t xml:space="preserve">  </w:t>
      </w:r>
      <w:r>
        <w:rPr>
          <w:rFonts w:ascii="FangSong" w:hAnsi="FangSong" w:eastAsia="FangSong" w:cs="FangSong"/>
          <w:sz w:val="23"/>
          <w:szCs w:val="23"/>
          <w:spacing w:val="-1"/>
        </w:rPr>
        <w:t>2.31万元；</w:t>
      </w:r>
    </w:p>
    <w:p>
      <w:pPr>
        <w:ind w:left="1500" w:right="5463" w:firstLine="229"/>
        <w:spacing w:before="123" w:line="324" w:lineRule="auto"/>
        <w:rPr>
          <w:rFonts w:ascii="FangSong" w:hAnsi="FangSong" w:eastAsia="FangSong" w:cs="FangSong"/>
          <w:sz w:val="23"/>
          <w:szCs w:val="23"/>
        </w:rPr>
      </w:pPr>
      <w:r>
        <w:rPr>
          <w:rFonts w:ascii="FangSong" w:hAnsi="FangSong" w:eastAsia="FangSong" w:cs="FangSong"/>
          <w:sz w:val="23"/>
          <w:szCs w:val="23"/>
          <w:spacing w:val="-1"/>
        </w:rPr>
        <w:t>公用经费8.46万元，主要包括取暖费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7.50万元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0.96万元。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748"/>
        <w:spacing w:before="10" w:line="2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p>
    <w:p>
      <w:pPr>
        <w:spacing w:line="284" w:lineRule="auto"/>
        <w:rPr>
          <w:rFonts w:ascii="Arial"/>
          <w:sz w:val="21"/>
        </w:rPr>
      </w:pPr>
      <w:r>
        <w:pict>
          <v:shape id="_x0000_s196" style="position:absolute;margin-left:60.8321pt;margin-top:5.20725pt;mso-position-vertical-relative:text;mso-position-horizontal-relative:text;width:14.15pt;height:38.95pt;z-index:251661312;" filled="false" stroked="false" type="#_x0000_t202">
            <v:fill on="false"/>
            <v:stroke on="false"/>
            <v:path/>
            <v:imagedata o:title=""/>
            <o:lock v:ext="edit" aspectratio="false"/>
            <v:textbox inset="0mm,0mm,0mm,0mm" style="layout-flow:vertical-ideographic;">
              <w:txbxContent>
                <w:p>
                  <w:pPr>
                    <w:ind w:left="20"/>
                    <w:spacing w:before="20" w:line="242" w:lineRule="exact"/>
                    <w:rPr>
                      <w:rFonts w:ascii="FangSong" w:hAnsi="FangSong" w:eastAsia="FangSong" w:cs="FangSong"/>
                      <w:sz w:val="23"/>
                      <w:szCs w:val="23"/>
                    </w:rPr>
                  </w:pPr>
                  <w:r>
                    <w:rPr>
                      <w:rFonts w:ascii="FangSong" w:hAnsi="FangSong" w:eastAsia="FangSong" w:cs="FangSong"/>
                      <w:sz w:val="23"/>
                      <w:szCs w:val="23"/>
                      <w:spacing w:val="2"/>
                      <w:position w:val="1"/>
                    </w:rPr>
                    <w:t>出</w:t>
                  </w:r>
                  <w:r>
                    <w:rPr>
                      <w:rFonts w:ascii="FangSong" w:hAnsi="FangSong" w:eastAsia="FangSong" w:cs="FangSong"/>
                      <w:sz w:val="23"/>
                      <w:szCs w:val="23"/>
                      <w:spacing w:val="23"/>
                      <w:position w:val="1"/>
                    </w:rPr>
                    <w:t xml:space="preserve">  </w:t>
                  </w:r>
                  <w:r>
                    <w:rPr>
                      <w:rFonts w:ascii="FangSong" w:hAnsi="FangSong" w:eastAsia="FangSong" w:cs="FangSong"/>
                      <w:sz w:val="23"/>
                      <w:szCs w:val="23"/>
                      <w:spacing w:val="2"/>
                      <w:position w:val="-7"/>
                    </w:rPr>
                    <w:t>；</w:t>
                  </w:r>
                </w:p>
              </w:txbxContent>
            </v:textbox>
          </v:shape>
        </w:pict>
      </w:r>
      <w:r/>
    </w:p>
    <w:p>
      <w:pPr>
        <w:spacing w:line="285" w:lineRule="auto"/>
        <w:rPr>
          <w:rFonts w:ascii="Arial"/>
          <w:sz w:val="21"/>
        </w:rPr>
      </w:pPr>
      <w:r/>
    </w:p>
    <w:p>
      <w:pPr>
        <w:spacing w:line="285" w:lineRule="auto"/>
        <w:rPr>
          <w:rFonts w:ascii="Arial"/>
          <w:sz w:val="21"/>
        </w:rPr>
      </w:pPr>
      <w:r/>
    </w:p>
    <w:p>
      <w:pPr>
        <w:ind w:left="1729"/>
        <w:spacing w:before="7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37"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30" w:line="33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96"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headerReference w:type="default" r:id="rId26"/>
          <w:footerReference w:type="default" r:id="rId27"/>
          <w:pgSz w:w="11900" w:h="16840"/>
          <w:pgMar w:top="642" w:right="0" w:bottom="340" w:left="0" w:header="326" w:footer="111" w:gutter="0"/>
        </w:sectPr>
        <w:rPr>
          <w:rFonts w:ascii="SimHei" w:hAnsi="SimHei" w:eastAsia="SimHei" w:cs="SimHei"/>
          <w:sz w:val="23"/>
          <w:szCs w:val="23"/>
        </w:rPr>
      </w:pPr>
    </w:p>
    <w:p>
      <w:pPr>
        <w:spacing w:line="282" w:lineRule="auto"/>
        <w:rPr>
          <w:rFonts w:ascii="Arial"/>
          <w:sz w:val="21"/>
        </w:rPr>
      </w:pPr>
      <w:r/>
    </w:p>
    <w:p>
      <w:pPr>
        <w:spacing w:line="283" w:lineRule="auto"/>
        <w:rPr>
          <w:rFonts w:ascii="Arial"/>
          <w:sz w:val="21"/>
        </w:rPr>
      </w:pPr>
      <w:r/>
    </w:p>
    <w:p>
      <w:pPr>
        <w:ind w:left="1287" w:right="1223" w:firstLine="447"/>
        <w:spacing w:before="74"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61"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4"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6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4"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66"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36"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日，本部门（单位）共有车辆1辆。其中：应急保障用车1辆，其他用</w:t>
      </w:r>
      <w:r>
        <w:rPr>
          <w:rFonts w:ascii="FangSong" w:hAnsi="FangSong" w:eastAsia="FangSong" w:cs="FangSong"/>
          <w:sz w:val="23"/>
          <w:szCs w:val="23"/>
        </w:rPr>
        <w:t xml:space="preserve"> </w:t>
      </w:r>
      <w:r>
        <w:rPr>
          <w:rFonts w:ascii="FangSong" w:hAnsi="FangSong" w:eastAsia="FangSong" w:cs="FangSong"/>
          <w:sz w:val="23"/>
          <w:szCs w:val="23"/>
          <w:spacing w:val="6"/>
        </w:rPr>
        <w:t>车0辆，其他用车主要是本单位无其他用车。单价100万元（含）</w:t>
      </w:r>
      <w:r>
        <w:rPr>
          <w:rFonts w:ascii="FangSong" w:hAnsi="FangSong" w:eastAsia="FangSong" w:cs="FangSong"/>
          <w:sz w:val="23"/>
          <w:szCs w:val="23"/>
          <w:spacing w:val="-41"/>
        </w:rPr>
        <w:t xml:space="preserve"> </w:t>
      </w:r>
      <w:r>
        <w:rPr>
          <w:rFonts w:ascii="FangSong" w:hAnsi="FangSong" w:eastAsia="FangSong" w:cs="FangSong"/>
          <w:sz w:val="23"/>
          <w:szCs w:val="23"/>
          <w:spacing w:val="6"/>
        </w:rPr>
        <w:t>以上设备（不含车辆）0台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36" w:line="322"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资金67.23万元：7个项目自评等级为“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before="9"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3"/>
          <w:footerReference w:type="default" r:id="rId28"/>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7"/>
          <w:footerReference w:type="default" r:id="rId29"/>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06" style="position:absolute;margin-left:312.92pt;margin-top:45.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638.92pt;margin-top:45.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130" w:lineRule="exact"/>
        <w:rPr/>
      </w:pPr>
      <w:r>
        <w:pict>
          <v:shape id="_x0000_s210" style="position:absolute;margin-left:-45.0434pt;margin-top:347.362pt;mso-position-vertical-relative:text;mso-position-horizontal-relative:text;width:609.35pt;height:22.25pt;z-index:251664384;rotation:330;" fillcolor="#404040" filled="true" stroked="false" type="#_x0000_t136">
            <v:fill opacity="0.400000"/>
            <v:textpath style="font-family:&quot;SimSun&quot;;font-size:20;v-text-kern:t;mso-text-shadow:auto" string="仅供内部审核                                     仅供内部审核"/>
          </v:shape>
        </w:pict>
      </w:r>
      <w:r>
        <w:pict>
          <v:shape id="_x0000_s212" style="position:absolute;margin-left:86.92pt;margin-top:228.073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162"/>
        </w:rPr>
        <w:drawing>
          <wp:inline distT="0" distB="0" distL="0" distR="0">
            <wp:extent cx="6772275" cy="5162550"/>
            <wp:effectExtent l="0" t="0" r="0" b="0"/>
            <wp:docPr id="2" name="IM 2"/>
            <wp:cNvGraphicFramePr/>
            <a:graphic>
              <a:graphicData uri="http://schemas.openxmlformats.org/drawingml/2006/picture">
                <pic:pic>
                  <pic:nvPicPr>
                    <pic:cNvPr id="2" name="IM 2"/>
                    <pic:cNvPicPr/>
                  </pic:nvPicPr>
                  <pic:blipFill>
                    <a:blip r:embed="rId32"/>
                    <a:stretch>
                      <a:fillRect/>
                    </a:stretch>
                  </pic:blipFill>
                  <pic:spPr>
                    <a:xfrm rot="0">
                      <a:off x="0" y="0"/>
                      <a:ext cx="6772275" cy="5162550"/>
                    </a:xfrm>
                    <a:prstGeom prst="rect">
                      <a:avLst/>
                    </a:prstGeom>
                  </pic:spPr>
                </pic:pic>
              </a:graphicData>
            </a:graphic>
          </wp:inline>
        </w:drawing>
      </w:r>
    </w:p>
    <w:p>
      <w:pPr>
        <w:spacing w:line="8130" w:lineRule="exact"/>
        <w:sectPr>
          <w:headerReference w:type="default" r:id="rId30"/>
          <w:footerReference w:type="default" r:id="rId31"/>
          <w:pgSz w:w="16840" w:h="11900"/>
          <w:pgMar w:top="642" w:right="0" w:bottom="340" w:left="0" w:header="326" w:footer="111" w:gutter="0"/>
        </w:sectPr>
        <w:rPr/>
      </w:pPr>
    </w:p>
    <w:p>
      <w:pPr>
        <w:spacing w:line="267" w:lineRule="auto"/>
        <w:rPr>
          <w:rFonts w:ascii="Arial"/>
          <w:sz w:val="21"/>
        </w:rPr>
      </w:pPr>
      <w:r>
        <w:pict>
          <v:shape id="_x0000_s218" style="position:absolute;margin-left:312.92pt;margin-top:45.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638.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865" w:lineRule="exact"/>
        <w:rPr/>
      </w:pPr>
      <w:r>
        <w:pict>
          <v:shape id="_x0000_s222" style="position:absolute;margin-left:-45.0434pt;margin-top:347.362pt;mso-position-vertical-relative:text;mso-position-horizontal-relative:text;width:609.35pt;height:22.25pt;z-index:251670528;rotation:330;" fillcolor="#404040" filled="true" stroked="false" type="#_x0000_t136">
            <v:fill opacity="0.400000"/>
            <v:textpath style="font-family:&quot;SimSun&quot;;font-size:20;v-text-kern:t;mso-text-shadow:auto" string="仅供内部审核                                     仅供内部审核"/>
          </v:shape>
        </w:pict>
      </w:r>
      <w:r>
        <w:pict>
          <v:shape id="_x0000_s224" style="position:absolute;margin-left:280.957pt;margin-top:347.362pt;mso-position-vertical-relative:text;mso-position-horizontal-relative:text;width:609.35pt;height:22.25pt;z-index:251671552;rotation:330;" fillcolor="#404040" filled="true" stroked="false" type="#_x0000_t136">
            <v:fill opacity="0.400000"/>
            <v:textpath style="font-family:&quot;SimSun&quot;;font-size:20;v-text-kern:t;mso-text-shadow:auto" string="仅供内部审核                                     仅供内部审核"/>
          </v:shape>
        </w:pict>
      </w:r>
      <w:r>
        <w:pict>
          <v:shape id="_x0000_s226" style="position:absolute;margin-left:86.92pt;margin-top:228.073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28" style="position:absolute;margin-left:638.92pt;margin-top:470.073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177"/>
        </w:rPr>
        <w:drawing>
          <wp:inline distT="0" distB="0" distL="0" distR="0">
            <wp:extent cx="6772275" cy="5629275"/>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6772275" cy="5629275"/>
                    </a:xfrm>
                    <a:prstGeom prst="rect">
                      <a:avLst/>
                    </a:prstGeom>
                  </pic:spPr>
                </pic:pic>
              </a:graphicData>
            </a:graphic>
          </wp:inline>
        </w:drawing>
      </w:r>
    </w:p>
    <w:p>
      <w:pPr>
        <w:spacing w:line="8865" w:lineRule="exact"/>
        <w:sectPr>
          <w:headerReference w:type="default" r:id="rId33"/>
          <w:footerReference w:type="default" r:id="rId34"/>
          <w:pgSz w:w="16840" w:h="11900"/>
          <w:pgMar w:top="642" w:right="0" w:bottom="340" w:left="0" w:header="326" w:footer="111" w:gutter="0"/>
        </w:sectPr>
        <w:rPr/>
      </w:pPr>
    </w:p>
    <w:p>
      <w:pPr>
        <w:spacing w:line="267" w:lineRule="auto"/>
        <w:rPr>
          <w:rFonts w:ascii="Arial"/>
          <w:sz w:val="21"/>
        </w:rPr>
      </w:pPr>
      <w:r>
        <w:pict>
          <v:shape id="_x0000_s230" style="position:absolute;margin-left:312.92pt;margin-top:45.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ict>
          <v:shape id="_x0000_s232" style="position:absolute;margin-left:638.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715" w:lineRule="exact"/>
        <w:rPr/>
      </w:pPr>
      <w:r>
        <w:pict>
          <v:shape id="_x0000_s234" style="position:absolute;margin-left:-45.0434pt;margin-top:347.362pt;mso-position-vertical-relative:text;mso-position-horizontal-relative:text;width:609.35pt;height:22.25pt;z-index:251675648;rotation:330;" fillcolor="#404040" filled="true" stroked="false" type="#_x0000_t136">
            <v:fill opacity="0.400000"/>
            <v:textpath style="font-family:&quot;SimSun&quot;;font-size:20;v-text-kern:t;mso-text-shadow:auto" string="仅供内部审核                                     仅供内部审核"/>
          </v:shape>
        </w:pict>
      </w:r>
      <w:r>
        <w:pict>
          <v:shape id="_x0000_s236" style="position:absolute;margin-left:86.92pt;margin-top:228.073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772275" cy="5534025"/>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6772275" cy="5534025"/>
                    </a:xfrm>
                    <a:prstGeom prst="rect">
                      <a:avLst/>
                    </a:prstGeom>
                  </pic:spPr>
                </pic:pic>
              </a:graphicData>
            </a:graphic>
          </wp:inline>
        </w:drawing>
      </w:r>
    </w:p>
    <w:p>
      <w:pPr>
        <w:spacing w:line="8715" w:lineRule="exact"/>
        <w:sectPr>
          <w:headerReference w:type="default" r:id="rId30"/>
          <w:footerReference w:type="default" r:id="rId36"/>
          <w:pgSz w:w="16840" w:h="11900"/>
          <w:pgMar w:top="642" w:right="0" w:bottom="340" w:left="0" w:header="326" w:footer="110" w:gutter="0"/>
        </w:sectPr>
        <w:rPr/>
      </w:pPr>
    </w:p>
    <w:p>
      <w:pPr>
        <w:spacing w:line="267" w:lineRule="auto"/>
        <w:rPr>
          <w:rFonts w:ascii="Arial"/>
          <w:sz w:val="21"/>
        </w:rPr>
      </w:pPr>
      <w:r>
        <w:pict>
          <v:shape id="_x0000_s238"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638.92pt;margin-top:45.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685" w:lineRule="exact"/>
        <w:rPr/>
      </w:pPr>
      <w:r>
        <w:pict>
          <v:shape id="_x0000_s242" style="position:absolute;margin-left:-45.0434pt;margin-top:347.362pt;mso-position-vertical-relative:text;mso-position-horizontal-relative:text;width:609.35pt;height:22.25pt;z-index:251681792;rotation:330;" fillcolor="#404040" filled="true" stroked="false" type="#_x0000_t136">
            <v:fill opacity="0.400000"/>
            <v:textpath style="font-family:&quot;SimSun&quot;;font-size:20;v-text-kern:t;mso-text-shadow:auto" string="仅供内部审核                                     仅供内部审核"/>
          </v:shape>
        </w:pict>
      </w:r>
      <w:r>
        <w:pict>
          <v:shape id="_x0000_s244" style="position:absolute;margin-left:86.92pt;margin-top:228.073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173"/>
        </w:rPr>
        <w:drawing>
          <wp:inline distT="0" distB="0" distL="0" distR="0">
            <wp:extent cx="6772275" cy="5514975"/>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772275" cy="5514975"/>
                    </a:xfrm>
                    <a:prstGeom prst="rect">
                      <a:avLst/>
                    </a:prstGeom>
                  </pic:spPr>
                </pic:pic>
              </a:graphicData>
            </a:graphic>
          </wp:inline>
        </w:drawing>
      </w:r>
    </w:p>
    <w:p>
      <w:pPr>
        <w:spacing w:line="8685" w:lineRule="exact"/>
        <w:sectPr>
          <w:footerReference w:type="default" r:id="rId38"/>
          <w:pgSz w:w="16840" w:h="11900"/>
          <w:pgMar w:top="642" w:right="0" w:bottom="340" w:left="0" w:header="326" w:footer="110" w:gutter="0"/>
        </w:sectPr>
        <w:rPr/>
      </w:pPr>
    </w:p>
    <w:p>
      <w:pPr>
        <w:spacing w:line="267" w:lineRule="auto"/>
        <w:rPr>
          <w:rFonts w:ascii="Arial"/>
          <w:sz w:val="21"/>
        </w:rPr>
      </w:pPr>
      <w:r>
        <w:pict>
          <v:shape id="_x0000_s246" style="position:absolute;margin-left:312.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638.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715" w:lineRule="exact"/>
        <w:rPr/>
      </w:pPr>
      <w:r>
        <w:pict>
          <v:shape id="_x0000_s250" style="position:absolute;margin-left:-45.0434pt;margin-top:347.362pt;mso-position-vertical-relative:text;mso-position-horizontal-relative:text;width:609.35pt;height:22.25pt;z-index:251686912;rotation:330;" fillcolor="#404040" filled="true" stroked="false" type="#_x0000_t136">
            <v:fill opacity="0.400000"/>
            <v:textpath style="font-family:&quot;SimSun&quot;;font-size:20;v-text-kern:t;mso-text-shadow:auto" string="仅供内部审核                                     仅供内部审核"/>
          </v:shape>
        </w:pict>
      </w:r>
      <w:r>
        <w:pict>
          <v:shape id="_x0000_s252" style="position:absolute;margin-left:86.92pt;margin-top:228.073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174"/>
        </w:rPr>
        <w:drawing>
          <wp:inline distT="0" distB="0" distL="0" distR="0">
            <wp:extent cx="6772275" cy="5534025"/>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772275" cy="5534025"/>
                    </a:xfrm>
                    <a:prstGeom prst="rect">
                      <a:avLst/>
                    </a:prstGeom>
                  </pic:spPr>
                </pic:pic>
              </a:graphicData>
            </a:graphic>
          </wp:inline>
        </w:drawing>
      </w:r>
    </w:p>
    <w:p>
      <w:pPr>
        <w:spacing w:line="8715" w:lineRule="exact"/>
        <w:sectPr>
          <w:footerReference w:type="default" r:id="rId40"/>
          <w:pgSz w:w="16840" w:h="11900"/>
          <w:pgMar w:top="642" w:right="0" w:bottom="340" w:left="0" w:header="326" w:footer="111" w:gutter="0"/>
        </w:sectPr>
        <w:rPr/>
      </w:pPr>
    </w:p>
    <w:p>
      <w:pPr>
        <w:spacing w:line="267" w:lineRule="auto"/>
        <w:rPr>
          <w:rFonts w:ascii="Arial"/>
          <w:sz w:val="21"/>
        </w:rPr>
      </w:pPr>
      <w:r>
        <w:pict>
          <v:shape id="_x0000_s254" style="position:absolute;margin-left:312.92pt;margin-top:45.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638.92pt;margin-top:45.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805" w:lineRule="exact"/>
        <w:rPr/>
      </w:pPr>
      <w:r>
        <w:pict>
          <v:shape id="_x0000_s258" style="position:absolute;margin-left:86.92pt;margin-top:228.073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60" style="position:absolute;margin-left:-45.0434pt;margin-top:347.362pt;mso-position-vertical-relative:text;mso-position-horizontal-relative:text;width:609.35pt;height:22.25pt;z-index:251695104;rotation:330;" fillcolor="#404040" filled="true" stroked="false" type="#_x0000_t136">
            <v:fill opacity="0.400000"/>
            <v:textpath style="font-family:&quot;SimSun&quot;;font-size:20;v-text-kern:t;mso-text-shadow:auto" string="仅供内部审核                                     仅供内部审核"/>
          </v:shape>
        </w:pict>
      </w:r>
      <w:r>
        <w:rPr>
          <w:position w:val="-176"/>
        </w:rPr>
        <w:drawing>
          <wp:inline distT="0" distB="0" distL="0" distR="0">
            <wp:extent cx="6772275" cy="5591175"/>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772275" cy="5591175"/>
                    </a:xfrm>
                    <a:prstGeom prst="rect">
                      <a:avLst/>
                    </a:prstGeom>
                  </pic:spPr>
                </pic:pic>
              </a:graphicData>
            </a:graphic>
          </wp:inline>
        </w:drawing>
      </w:r>
    </w:p>
    <w:p>
      <w:pPr>
        <w:spacing w:line="8805" w:lineRule="exact"/>
        <w:sectPr>
          <w:footerReference w:type="default" r:id="rId42"/>
          <w:pgSz w:w="16840" w:h="11900"/>
          <w:pgMar w:top="642" w:right="0" w:bottom="340" w:left="0" w:header="326" w:footer="110" w:gutter="0"/>
        </w:sectPr>
        <w:rPr/>
      </w:pPr>
    </w:p>
    <w:p>
      <w:pPr>
        <w:spacing w:line="267" w:lineRule="auto"/>
        <w:rPr>
          <w:rFonts w:ascii="Arial"/>
          <w:sz w:val="21"/>
        </w:rPr>
      </w:pPr>
      <w:r>
        <w:pict>
          <v:shape id="_x0000_s262" style="position:absolute;margin-left:312.92pt;margin-top:45.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638.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6855" w:lineRule="exact"/>
        <w:rPr/>
      </w:pPr>
      <w:r>
        <w:pict>
          <v:shape id="_x0000_s266" style="position:absolute;margin-left:86.92pt;margin-top:228.073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268" style="position:absolute;margin-left:-45.0434pt;margin-top:347.362pt;mso-position-vertical-relative:text;mso-position-horizontal-relative:text;width:609.35pt;height:22.25pt;z-index:251701248;rotation:330;" fillcolor="#404040" filled="true" stroked="false" type="#_x0000_t136">
            <v:fill opacity="0.400000"/>
            <v:textpath style="font-family:&quot;SimSun&quot;;font-size:20;v-text-kern:t;mso-text-shadow:auto" string="仅供内部审核                                     仅供内部审核"/>
          </v:shape>
        </w:pict>
      </w:r>
      <w:r>
        <w:rPr>
          <w:position w:val="-137"/>
        </w:rPr>
        <w:drawing>
          <wp:inline distT="0" distB="0" distL="0" distR="0">
            <wp:extent cx="6772275" cy="4352925"/>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772275" cy="4352925"/>
                    </a:xfrm>
                    <a:prstGeom prst="rect">
                      <a:avLst/>
                    </a:prstGeom>
                  </pic:spPr>
                </pic:pic>
              </a:graphicData>
            </a:graphic>
          </wp:inline>
        </w:drawing>
      </w:r>
    </w:p>
    <w:p>
      <w:pPr>
        <w:spacing w:line="6855" w:lineRule="exact"/>
        <w:sectPr>
          <w:footerReference w:type="default" r:id="rId44"/>
          <w:pgSz w:w="16840" w:h="11900"/>
          <w:pgMar w:top="642" w:right="0" w:bottom="340" w:left="0" w:header="326" w:footer="111" w:gutter="0"/>
        </w:sectPr>
        <w:rPr/>
      </w:pPr>
    </w:p>
    <w:p>
      <w:pPr>
        <w:spacing w:line="267" w:lineRule="auto"/>
        <w:rPr>
          <w:rFonts w:ascii="Arial"/>
          <w:sz w:val="21"/>
        </w:rPr>
      </w:pPr>
      <w:r>
        <w:pict>
          <v:shape id="_x0000_s270" style="position:absolute;margin-left:638.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312.92pt;margin-top:45.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940" w:lineRule="exact"/>
        <w:rPr/>
      </w:pPr>
      <w:r>
        <w:pict>
          <v:shape id="_x0000_s274" style="position:absolute;margin-left:-45.0434pt;margin-top:347.362pt;mso-position-vertical-relative:text;mso-position-horizontal-relative:text;width:609.35pt;height:22.25pt;z-index:251705344;rotation:330;" fillcolor="#404040" filled="true" stroked="false" type="#_x0000_t136">
            <v:fill opacity="0.400000"/>
            <v:textpath style="font-family:&quot;SimSun&quot;;font-size:20;v-text-kern:t;mso-text-shadow:auto" string="仅供内部审核                                     仅供内部审核"/>
          </v:shape>
        </w:pict>
      </w:r>
      <w:r>
        <w:pict>
          <v:shape id="_x0000_s276" style="position:absolute;margin-left:86.92pt;margin-top:228.07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278" style="position:absolute;margin-left:638.92pt;margin-top:470.073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280" style="position:absolute;margin-left:280.957pt;margin-top:347.362pt;mso-position-vertical-relative:text;mso-position-horizontal-relative:text;width:609.35pt;height:22.25pt;z-index:251709440;rotation:330;" fillcolor="#404040" filled="true" stroked="false" type="#_x0000_t136">
            <v:fill opacity="0.400000"/>
            <v:textpath style="font-family:&quot;SimSun&quot;;font-size:20;v-text-kern:t;mso-text-shadow:auto" string="仅供内部审核                                     仅供内部审核"/>
          </v:shape>
        </w:pict>
      </w:r>
      <w:r>
        <w:rPr>
          <w:position w:val="-178"/>
        </w:rPr>
        <w:drawing>
          <wp:inline distT="0" distB="0" distL="0" distR="0">
            <wp:extent cx="6772275" cy="567690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772275" cy="5676900"/>
                    </a:xfrm>
                    <a:prstGeom prst="rect">
                      <a:avLst/>
                    </a:prstGeom>
                  </pic:spPr>
                </pic:pic>
              </a:graphicData>
            </a:graphic>
          </wp:inline>
        </w:drawing>
      </w:r>
    </w:p>
    <w:p>
      <w:pPr>
        <w:spacing w:line="8940" w:lineRule="exact"/>
        <w:sectPr>
          <w:headerReference w:type="default" r:id="rId33"/>
          <w:footerReference w:type="default" r:id="rId46"/>
          <w:pgSz w:w="16840" w:h="11900"/>
          <w:pgMar w:top="642" w:right="0" w:bottom="340" w:left="0" w:header="326" w:footer="111" w:gutter="0"/>
        </w:sectPr>
        <w:rPr/>
      </w:pPr>
    </w:p>
    <w:p>
      <w:pPr>
        <w:spacing w:line="267" w:lineRule="auto"/>
        <w:rPr>
          <w:rFonts w:ascii="Arial"/>
          <w:sz w:val="21"/>
        </w:rPr>
      </w:pPr>
      <w:r>
        <w:pict>
          <v:shape id="_x0000_s282" style="position:absolute;margin-left:312.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_x0000_s284" style="position:absolute;margin-left:638.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760" w:lineRule="exact"/>
        <w:rPr/>
      </w:pPr>
      <w:r>
        <w:pict>
          <v:shape id="_x0000_s286" style="position:absolute;margin-left:86.92pt;margin-top:228.07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288" style="position:absolute;margin-left:-45.0434pt;margin-top:347.362pt;mso-position-vertical-relative:text;mso-position-horizontal-relative:text;width:609.35pt;height:22.25pt;z-index:251714560;rotation:330;" fillcolor="#404040" filled="true" stroked="false" type="#_x0000_t136">
            <v:fill opacity="0.400000"/>
            <v:textpath style="font-family:&quot;SimSun&quot;;font-size:20;v-text-kern:t;mso-text-shadow:auto" string="仅供内部审核                                     仅供内部审核"/>
          </v:shape>
        </w:pict>
      </w:r>
      <w:r>
        <w:rPr>
          <w:position w:val="-175"/>
        </w:rPr>
        <w:drawing>
          <wp:inline distT="0" distB="0" distL="0" distR="0">
            <wp:extent cx="6772275" cy="5562600"/>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6772275" cy="5562600"/>
                    </a:xfrm>
                    <a:prstGeom prst="rect">
                      <a:avLst/>
                    </a:prstGeom>
                  </pic:spPr>
                </pic:pic>
              </a:graphicData>
            </a:graphic>
          </wp:inline>
        </w:drawing>
      </w:r>
    </w:p>
    <w:p>
      <w:pPr>
        <w:spacing w:line="8760" w:lineRule="exact"/>
        <w:sectPr>
          <w:headerReference w:type="default" r:id="rId30"/>
          <w:footerReference w:type="default" r:id="rId48"/>
          <w:pgSz w:w="16840" w:h="11900"/>
          <w:pgMar w:top="642" w:right="0" w:bottom="340" w:left="0" w:header="326" w:footer="111" w:gutter="0"/>
        </w:sectPr>
        <w:rPr/>
      </w:pPr>
    </w:p>
    <w:p>
      <w:pPr>
        <w:spacing w:line="267" w:lineRule="auto"/>
        <w:rPr>
          <w:rFonts w:ascii="Arial"/>
          <w:sz w:val="21"/>
        </w:rPr>
      </w:pPr>
      <w:r>
        <w:pict>
          <v:shape id="_x0000_s290" style="position:absolute;margin-left:638.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312.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7515" w:lineRule="exact"/>
        <w:rPr/>
      </w:pPr>
      <w:r>
        <w:pict>
          <v:shape id="_x0000_s294" style="position:absolute;margin-left:86.92pt;margin-top:228.073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296" style="position:absolute;margin-left:-45.0434pt;margin-top:347.362pt;mso-position-vertical-relative:text;mso-position-horizontal-relative:text;width:609.35pt;height:22.25pt;z-index:251720704;rotation:330;" fillcolor="#404040" filled="true" stroked="false" type="#_x0000_t136">
            <v:fill opacity="0.400000"/>
            <v:textpath style="font-family:&quot;SimSun&quot;;font-size:20;v-text-kern:t;mso-text-shadow:auto" string="仅供内部审核                                     仅供内部审核"/>
          </v:shape>
        </w:pict>
      </w:r>
      <w:r>
        <w:rPr>
          <w:position w:val="-150"/>
        </w:rPr>
        <w:drawing>
          <wp:inline distT="0" distB="0" distL="0" distR="0">
            <wp:extent cx="6772275" cy="4772025"/>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6772275" cy="4772025"/>
                    </a:xfrm>
                    <a:prstGeom prst="rect">
                      <a:avLst/>
                    </a:prstGeom>
                  </pic:spPr>
                </pic:pic>
              </a:graphicData>
            </a:graphic>
          </wp:inline>
        </w:drawing>
      </w:r>
    </w:p>
    <w:p>
      <w:pPr>
        <w:spacing w:line="7515" w:lineRule="exact"/>
        <w:sectPr>
          <w:footerReference w:type="default" r:id="rId50"/>
          <w:pgSz w:w="16840" w:h="11900"/>
          <w:pgMar w:top="642" w:right="0" w:bottom="340" w:left="0" w:header="326" w:footer="111" w:gutter="0"/>
        </w:sectPr>
        <w:rPr/>
      </w:pPr>
    </w:p>
    <w:p>
      <w:pPr>
        <w:spacing w:line="267" w:lineRule="auto"/>
        <w:rPr>
          <w:rFonts w:ascii="Arial"/>
          <w:sz w:val="21"/>
        </w:rPr>
      </w:pPr>
      <w:r>
        <w:pict>
          <v:shape id="_x0000_s298" style="position:absolute;margin-left:638.92pt;margin-top:45.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ict>
          <v:shape id="_x0000_s300" style="position:absolute;margin-left:312.92pt;margin-top:45.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910" w:lineRule="exact"/>
        <w:rPr/>
      </w:pPr>
      <w:r>
        <w:pict>
          <v:shape id="_x0000_s302" style="position:absolute;margin-left:86.92pt;margin-top:228.073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04" style="position:absolute;margin-left:-45.0434pt;margin-top:347.362pt;mso-position-vertical-relative:text;mso-position-horizontal-relative:text;width:609.35pt;height:22.25pt;z-index:251725824;rotation:330;" fillcolor="#404040" filled="true" stroked="false" type="#_x0000_t136">
            <v:fill opacity="0.400000"/>
            <v:textpath style="font-family:&quot;SimSun&quot;;font-size:20;v-text-kern:t;mso-text-shadow:auto" string="仅供内部审核                                     仅供内部审核"/>
          </v:shape>
        </w:pict>
      </w:r>
      <w:r>
        <w:pict>
          <v:shape id="_x0000_s306" style="position:absolute;margin-left:280.957pt;margin-top:347.362pt;mso-position-vertical-relative:text;mso-position-horizontal-relative:text;width:609.35pt;height:22.25pt;z-index:251726848;rotation:330;" fillcolor="#404040" filled="true" stroked="false" type="#_x0000_t136">
            <v:fill opacity="0.400000"/>
            <v:textpath style="font-family:&quot;SimSun&quot;;font-size:20;v-text-kern:t;mso-text-shadow:auto" string="仅供内部审核                                     仅供内部审核"/>
          </v:shape>
        </w:pict>
      </w:r>
      <w:r>
        <w:pict>
          <v:shape id="_x0000_s308" style="position:absolute;margin-left:638.92pt;margin-top:470.073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178"/>
        </w:rPr>
        <w:drawing>
          <wp:inline distT="0" distB="0" distL="0" distR="0">
            <wp:extent cx="6772275" cy="5657850"/>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6772275" cy="5657850"/>
                    </a:xfrm>
                    <a:prstGeom prst="rect">
                      <a:avLst/>
                    </a:prstGeom>
                  </pic:spPr>
                </pic:pic>
              </a:graphicData>
            </a:graphic>
          </wp:inline>
        </w:drawing>
      </w:r>
    </w:p>
    <w:p>
      <w:pPr>
        <w:spacing w:line="8910" w:lineRule="exact"/>
        <w:sectPr>
          <w:headerReference w:type="default" r:id="rId33"/>
          <w:footerReference w:type="default" r:id="rId52"/>
          <w:pgSz w:w="16840" w:h="11900"/>
          <w:pgMar w:top="642" w:right="0" w:bottom="340" w:left="0" w:header="326" w:footer="111" w:gutter="0"/>
        </w:sectPr>
        <w:rPr/>
      </w:pPr>
    </w:p>
    <w:p>
      <w:pPr>
        <w:spacing w:line="267" w:lineRule="auto"/>
        <w:rPr>
          <w:rFonts w:ascii="Arial"/>
          <w:sz w:val="21"/>
        </w:rPr>
      </w:pPr>
      <w:r>
        <w:pict>
          <v:shape id="_x0000_s310" style="position:absolute;margin-left:638.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312.92pt;margin-top:45.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880" w:lineRule="exact"/>
        <w:rPr/>
      </w:pPr>
      <w:r>
        <w:pict>
          <v:shape id="_x0000_s314" style="position:absolute;margin-left:280.957pt;margin-top:347.362pt;mso-position-vertical-relative:text;mso-position-horizontal-relative:text;width:609.35pt;height:22.25pt;z-index:251729920;rotation:330;" fillcolor="#404040" filled="true" stroked="false" type="#_x0000_t136">
            <v:fill opacity="0.400000"/>
            <v:textpath style="font-family:&quot;SimSun&quot;;font-size:20;v-text-kern:t;mso-text-shadow:auto" string="仅供内部审核                                     仅供内部审核"/>
          </v:shape>
        </w:pict>
      </w:r>
      <w:r>
        <w:pict>
          <v:shape id="_x0000_s316" style="position:absolute;margin-left:638.92pt;margin-top:470.073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228.073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320" style="position:absolute;margin-left:-45.0434pt;margin-top:347.362pt;mso-position-vertical-relative:text;mso-position-horizontal-relative:text;width:609.35pt;height:22.25pt;z-index:251734016;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6772275" cy="5638800"/>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772275" cy="5638800"/>
                    </a:xfrm>
                    <a:prstGeom prst="rect">
                      <a:avLst/>
                    </a:prstGeom>
                  </pic:spPr>
                </pic:pic>
              </a:graphicData>
            </a:graphic>
          </wp:inline>
        </w:drawing>
      </w:r>
    </w:p>
    <w:p>
      <w:pPr>
        <w:spacing w:line="8880" w:lineRule="exact"/>
        <w:sectPr>
          <w:footerReference w:type="default" r:id="rId54"/>
          <w:pgSz w:w="16840" w:h="11900"/>
          <w:pgMar w:top="642" w:right="0" w:bottom="340" w:left="0" w:header="326" w:footer="111" w:gutter="0"/>
        </w:sectPr>
        <w:rPr/>
      </w:pPr>
    </w:p>
    <w:p>
      <w:pPr>
        <w:spacing w:line="267" w:lineRule="auto"/>
        <w:rPr>
          <w:rFonts w:ascii="Arial"/>
          <w:sz w:val="21"/>
        </w:rPr>
      </w:pPr>
      <w:r>
        <w:pict>
          <v:shape id="_x0000_s322" style="position:absolute;margin-left:312.92pt;margin-top:45.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ict>
          <v:shape id="_x0000_s324" style="position:absolute;margin-left:638.92pt;margin-top:45.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580" w:lineRule="exact"/>
        <w:rPr/>
      </w:pPr>
      <w:r>
        <w:pict>
          <v:shape id="_x0000_s326" style="position:absolute;margin-left:86.92pt;margin-top:228.073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28" style="position:absolute;margin-left:-45.0434pt;margin-top:347.362pt;mso-position-vertical-relative:text;mso-position-horizontal-relative:text;width:609.35pt;height:22.25pt;z-index:251738112;rotation:330;" fillcolor="#404040" filled="true" stroked="false" type="#_x0000_t136">
            <v:fill opacity="0.400000"/>
            <v:textpath style="font-family:&quot;SimSun&quot;;font-size:20;v-text-kern:t;mso-text-shadow:auto" string="仅供内部审核                                     仅供内部审核"/>
          </v:shape>
        </w:pict>
      </w:r>
      <w:r>
        <w:rPr>
          <w:position w:val="-171"/>
        </w:rPr>
        <w:drawing>
          <wp:inline distT="0" distB="0" distL="0" distR="0">
            <wp:extent cx="6772275" cy="5448300"/>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6772275" cy="5448300"/>
                    </a:xfrm>
                    <a:prstGeom prst="rect">
                      <a:avLst/>
                    </a:prstGeom>
                  </pic:spPr>
                </pic:pic>
              </a:graphicData>
            </a:graphic>
          </wp:inline>
        </w:drawing>
      </w:r>
    </w:p>
    <w:p>
      <w:pPr>
        <w:spacing w:line="8580" w:lineRule="exact"/>
        <w:sectPr>
          <w:headerReference w:type="default" r:id="rId30"/>
          <w:footerReference w:type="default" r:id="rId56"/>
          <w:pgSz w:w="16840" w:h="11900"/>
          <w:pgMar w:top="642" w:right="0" w:bottom="340" w:left="0" w:header="326" w:footer="111" w:gutter="0"/>
        </w:sectPr>
        <w:rPr/>
      </w:pPr>
    </w:p>
    <w:p>
      <w:pPr>
        <w:spacing w:line="267" w:lineRule="auto"/>
        <w:rPr>
          <w:rFonts w:ascii="Arial"/>
          <w:sz w:val="21"/>
        </w:rPr>
      </w:pPr>
      <w:r>
        <w:pict>
          <v:shape id="_x0000_s330" style="position:absolute;margin-left:638.92pt;margin-top:45.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ict>
          <v:shape id="_x0000_s332" style="position:absolute;margin-left:312.92pt;margin-top:45.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8625" w:lineRule="exact"/>
        <w:rPr/>
      </w:pPr>
      <w:r>
        <w:pict>
          <v:shape id="_x0000_s334" style="position:absolute;margin-left:-45.0434pt;margin-top:347.362pt;mso-position-vertical-relative:text;mso-position-horizontal-relative:text;width:609.35pt;height:22.25pt;z-index:251742208;rotation:330;" fillcolor="#404040" filled="true" stroked="false" type="#_x0000_t136">
            <v:fill opacity="0.400000"/>
            <v:textpath style="font-family:&quot;SimSun&quot;;font-size:20;v-text-kern:t;mso-text-shadow:auto" string="仅供内部审核                                     仅供内部审核"/>
          </v:shape>
        </w:pict>
      </w:r>
      <w:r>
        <w:pict>
          <v:shape id="_x0000_s336" style="position:absolute;margin-left:86.92pt;margin-top:228.073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172"/>
        </w:rPr>
        <w:drawing>
          <wp:inline distT="0" distB="0" distL="0" distR="0">
            <wp:extent cx="6772275" cy="5476875"/>
            <wp:effectExtent l="0" t="0" r="0" b="0"/>
            <wp:docPr id="28" name="IM 28"/>
            <wp:cNvGraphicFramePr/>
            <a:graphic>
              <a:graphicData uri="http://schemas.openxmlformats.org/drawingml/2006/picture">
                <pic:pic>
                  <pic:nvPicPr>
                    <pic:cNvPr id="28" name="IM 28"/>
                    <pic:cNvPicPr/>
                  </pic:nvPicPr>
                  <pic:blipFill>
                    <a:blip r:embed="rId59"/>
                    <a:stretch>
                      <a:fillRect/>
                    </a:stretch>
                  </pic:blipFill>
                  <pic:spPr>
                    <a:xfrm rot="0">
                      <a:off x="0" y="0"/>
                      <a:ext cx="6772275" cy="5476875"/>
                    </a:xfrm>
                    <a:prstGeom prst="rect">
                      <a:avLst/>
                    </a:prstGeom>
                  </pic:spPr>
                </pic:pic>
              </a:graphicData>
            </a:graphic>
          </wp:inline>
        </w:drawing>
      </w:r>
    </w:p>
    <w:p>
      <w:pPr>
        <w:spacing w:line="8625" w:lineRule="exact"/>
        <w:sectPr>
          <w:footerReference w:type="default" r:id="rId58"/>
          <w:pgSz w:w="16840" w:h="11900"/>
          <w:pgMar w:top="642" w:right="0" w:bottom="340" w:left="0" w:header="326" w:footer="111" w:gutter="0"/>
        </w:sectPr>
        <w:rPr/>
      </w:pPr>
    </w:p>
    <w:p>
      <w:pPr>
        <w:spacing w:line="267" w:lineRule="auto"/>
        <w:rPr>
          <w:rFonts w:ascii="Arial"/>
          <w:sz w:val="21"/>
        </w:rPr>
      </w:pPr>
      <w:r>
        <w:pict>
          <v:shape id="_x0000_s338" style="position:absolute;margin-left:312.92pt;margin-top:45.1055pt;mso-position-vertical-relative:page;mso-position-horizontal-relative:page;width:119.4pt;height:18.85pt;z-index:251748352;rotation:330;" o:allowincell="f" fillcolor="#404040" filled="true" stroked="false" type="#_x0000_t136">
            <v:fill opacity="0.400000"/>
            <v:textpath style="font-family:&quot;SimSun&quot;;font-size:20;v-text-kern:t;mso-text-shadow:auto" string="仅供内部审核"/>
          </v:shape>
        </w:pict>
      </w:r>
      <w:r>
        <w:pict>
          <v:shape id="_x0000_s340" style="position:absolute;margin-left:638.92pt;margin-top:45.1055pt;mso-position-vertical-relative:page;mso-position-horizontal-relative:page;width:119.4pt;height:18.85pt;z-index:2517514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3090"/>
        <w:spacing w:line="6375" w:lineRule="exact"/>
        <w:rPr/>
      </w:pPr>
      <w:r>
        <w:pict>
          <v:shape id="_x0000_s342" style="position:absolute;margin-left:86.92pt;margin-top:228.073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344" style="position:absolute;margin-left:-45.0434pt;margin-top:347.362pt;mso-position-vertical-relative:text;mso-position-horizontal-relative:text;width:609.35pt;height:22.25pt;z-index:251750400;rotation:330;" fillcolor="#404040" filled="true" stroked="false" type="#_x0000_t136">
            <v:fill opacity="0.400000"/>
            <v:textpath style="font-family:&quot;SimSun&quot;;font-size:20;v-text-kern:t;mso-text-shadow:auto" string="仅供内部审核                                     仅供内部审核"/>
          </v:shape>
        </w:pict>
      </w:r>
      <w:r>
        <w:rPr>
          <w:position w:val="-127"/>
        </w:rPr>
        <w:drawing>
          <wp:inline distT="0" distB="0" distL="0" distR="0">
            <wp:extent cx="6772275" cy="4048125"/>
            <wp:effectExtent l="0" t="0" r="0" b="0"/>
            <wp:docPr id="30" name="IM 30"/>
            <wp:cNvGraphicFramePr/>
            <a:graphic>
              <a:graphicData uri="http://schemas.openxmlformats.org/drawingml/2006/picture">
                <pic:pic>
                  <pic:nvPicPr>
                    <pic:cNvPr id="30" name="IM 30"/>
                    <pic:cNvPicPr/>
                  </pic:nvPicPr>
                  <pic:blipFill>
                    <a:blip r:embed="rId61"/>
                    <a:stretch>
                      <a:fillRect/>
                    </a:stretch>
                  </pic:blipFill>
                  <pic:spPr>
                    <a:xfrm rot="0">
                      <a:off x="0" y="0"/>
                      <a:ext cx="6772275" cy="4048125"/>
                    </a:xfrm>
                    <a:prstGeom prst="rect">
                      <a:avLst/>
                    </a:prstGeom>
                  </pic:spPr>
                </pic:pic>
              </a:graphicData>
            </a:graphic>
          </wp:inline>
        </w:drawing>
      </w:r>
    </w:p>
    <w:sectPr>
      <w:footerReference w:type="default" r:id="rId60"/>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8"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8" style="position:absolute;margin-left:-13.08pt;margin-top:28.7633pt;mso-position-vertical-relative:text;mso-position-horizontal-relative:text;width:119.4pt;height:18.85pt;z-index:-251556864;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280.957pt;margin-top:406.395pt;mso-position-vertical-relative:page;mso-position-horizontal-relative:page;width:609.35pt;height:22.25pt;z-index:-2515589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2" style="position:absolute;margin-left:638.92pt;margin-top:529.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_x0000_s204" style="position:absolute;margin-left:30pt;margin-top:29.5pt;mso-position-vertical-relative:page;mso-position-horizontal-relative:page;width:782pt;height:1pt;z-index:-251557888;" o:allowincell="f" filled="false" strokecolor="#646464" strokeweight="1.00pt" coordsize="15640,20" coordorigin="0,0" path="m0,10l15640,10e">
          <v:stroke joinstyle="miter" miterlimit="10"/>
        </v:shape>
      </w:pict>
    </w:r>
    <w:r>
      <w:rPr>
        <w:sz w:val="16"/>
        <w:szCs w:val="16"/>
        <w:spacing w:val="-2"/>
        <w:position w:val="1"/>
      </w:rPr>
      <w:t>兴县东会乡卫生院2024年单位决算公开报告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4" style="position:absolute;margin-left:-13.08pt;margin-top:28.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_x0000_s216" style="position:absolute;margin-left:30pt;margin-top:29.5pt;mso-position-vertical-relative:page;mso-position-horizontal-relative:page;width:782pt;height:1pt;z-index:-251555840;" o:allowincell="f" filled="false" strokecolor="#646464" strokeweight="1.00pt" coordsize="15640,20" coordorigin="0,0" path="m0,10l15640,10e">
          <v:stroke joinstyle="miter" miterlimit="10"/>
        </v:shape>
      </w:pict>
    </w:r>
    <w:r>
      <w:rPr>
        <w:sz w:val="16"/>
        <w:szCs w:val="16"/>
        <w:spacing w:val="-2"/>
        <w:position w:val="1"/>
      </w:rPr>
      <w:t>兴县东会乡卫生院2024年单位决算公开报告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sz w:val="16"/>
        <w:szCs w:val="16"/>
        <w:spacing w:val="-2"/>
        <w:position w:val="1"/>
      </w:rPr>
      <w:t>兴县东会乡卫生院2024年单位决算公开报告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sz w:val="16"/>
        <w:szCs w:val="16"/>
        <w:spacing w:val="-2"/>
        <w:position w:val="1"/>
      </w:rPr>
      <w:t>兴县东会乡卫生院2024年单位决算公开报告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4" Type="http://schemas.openxmlformats.org/officeDocument/2006/relationships/fontTable" Target="fontTable.xml"/><Relationship Id="rId63" Type="http://schemas.openxmlformats.org/officeDocument/2006/relationships/styles" Target="styles.xml"/><Relationship Id="rId62" Type="http://schemas.openxmlformats.org/officeDocument/2006/relationships/settings" Target="settings.xml"/><Relationship Id="rId61" Type="http://schemas.openxmlformats.org/officeDocument/2006/relationships/image" Target="media/image15.png"/><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image" Target="media/image14.png"/><Relationship Id="rId58" Type="http://schemas.openxmlformats.org/officeDocument/2006/relationships/footer" Target="footer32.xml"/><Relationship Id="rId57" Type="http://schemas.openxmlformats.org/officeDocument/2006/relationships/image" Target="media/image13.png"/><Relationship Id="rId56" Type="http://schemas.openxmlformats.org/officeDocument/2006/relationships/footer" Target="footer31.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header" Target="header13.xml"/><Relationship Id="rId32" Type="http://schemas.openxmlformats.org/officeDocument/2006/relationships/image" Target="media/image1.png"/><Relationship Id="rId31" Type="http://schemas.openxmlformats.org/officeDocument/2006/relationships/footer" Target="footer19.xml"/><Relationship Id="rId30" Type="http://schemas.openxmlformats.org/officeDocument/2006/relationships/header" Target="header12.xml"/><Relationship Id="rId3" Type="http://schemas.openxmlformats.org/officeDocument/2006/relationships/header" Target="header3.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11.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9.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2025-09-26T10:52:31Z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2025-09-26T11:06:47</vt:filetime>
  </property>
</Properties>
</file>