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92"/>
        <w:spacing w:before="159" w:line="195" w:lineRule="auto"/>
        <w:rPr>
          <w:rFonts w:ascii="STZhongsong" w:hAnsi="STZhongsong" w:eastAsia="STZhongsong" w:cs="STZhongsong"/>
          <w:sz w:val="43"/>
          <w:szCs w:val="43"/>
        </w:rPr>
      </w:pPr>
      <w:r>
        <w:rPr>
          <w:rFonts w:ascii="STZhongsong" w:hAnsi="STZhongsong" w:eastAsia="STZhongsong" w:cs="STZhongsong"/>
          <w:sz w:val="43"/>
          <w:szCs w:val="43"/>
          <w:spacing w:val="100"/>
        </w:rPr>
        <w:t>山西广播电视大学吕梁分校兴县工作</w:t>
      </w:r>
    </w:p>
    <w:p>
      <w:pPr>
        <w:ind w:left="5709"/>
        <w:spacing w:before="40" w:line="194" w:lineRule="auto"/>
        <w:rPr>
          <w:rFonts w:ascii="STZhongsong" w:hAnsi="STZhongsong" w:eastAsia="STZhongsong" w:cs="STZhongsong"/>
          <w:sz w:val="43"/>
          <w:szCs w:val="43"/>
        </w:rPr>
      </w:pPr>
      <w:r>
        <w:rPr>
          <w:rFonts w:ascii="STZhongsong" w:hAnsi="STZhongsong" w:eastAsia="STZhongsong" w:cs="STZhongsong"/>
          <w:sz w:val="43"/>
          <w:szCs w:val="43"/>
        </w:rPr>
        <w:t>站</w:t>
      </w:r>
    </w:p>
    <w:p>
      <w:pPr>
        <w:pStyle w:val="BodyText"/>
        <w:spacing w:line="349" w:lineRule="auto"/>
        <w:rPr/>
      </w:pPr>
      <w:r/>
    </w:p>
    <w:p>
      <w:pPr>
        <w:ind w:left="3079"/>
        <w:spacing w:before="159" w:line="677" w:lineRule="exact"/>
        <w:rPr>
          <w:rFonts w:ascii="STZhongsong" w:hAnsi="STZhongsong" w:eastAsia="STZhongsong" w:cs="STZhongsong"/>
          <w:sz w:val="43"/>
          <w:szCs w:val="43"/>
        </w:rPr>
      </w:pPr>
      <w:r>
        <w:rPr>
          <w:rFonts w:ascii="STZhongsong" w:hAnsi="STZhongsong" w:eastAsia="STZhongsong" w:cs="STZhongsong"/>
          <w:sz w:val="43"/>
          <w:szCs w:val="43"/>
          <w:spacing w:val="-11"/>
          <w:position w:val="7"/>
        </w:rPr>
        <w:t>2 0 2 5 年</w:t>
      </w:r>
      <w:r>
        <w:rPr>
          <w:rFonts w:ascii="STZhongsong" w:hAnsi="STZhongsong" w:eastAsia="STZhongsong" w:cs="STZhongsong"/>
          <w:sz w:val="43"/>
          <w:szCs w:val="43"/>
          <w:spacing w:val="-12"/>
          <w:position w:val="7"/>
        </w:rPr>
        <w:t xml:space="preserve"> </w:t>
      </w:r>
      <w:r>
        <w:rPr>
          <w:rFonts w:ascii="STZhongsong" w:hAnsi="STZhongsong" w:eastAsia="STZhongsong" w:cs="STZhongsong"/>
          <w:sz w:val="43"/>
          <w:szCs w:val="43"/>
          <w:spacing w:val="-11"/>
          <w:position w:val="7"/>
        </w:rPr>
        <w:t>度</w:t>
      </w:r>
      <w:r>
        <w:rPr>
          <w:rFonts w:ascii="STZhongsong" w:hAnsi="STZhongsong" w:eastAsia="STZhongsong" w:cs="STZhongsong"/>
          <w:sz w:val="43"/>
          <w:szCs w:val="43"/>
          <w:spacing w:val="-18"/>
          <w:position w:val="7"/>
        </w:rPr>
        <w:t xml:space="preserve"> </w:t>
      </w:r>
      <w:r>
        <w:rPr>
          <w:rFonts w:ascii="STZhongsong" w:hAnsi="STZhongsong" w:eastAsia="STZhongsong" w:cs="STZhongsong"/>
          <w:sz w:val="43"/>
          <w:szCs w:val="43"/>
          <w:spacing w:val="-11"/>
          <w:position w:val="7"/>
        </w:rPr>
        <w:t>单</w:t>
      </w:r>
      <w:r>
        <w:rPr>
          <w:rFonts w:ascii="STZhongsong" w:hAnsi="STZhongsong" w:eastAsia="STZhongsong" w:cs="STZhongsong"/>
          <w:sz w:val="43"/>
          <w:szCs w:val="43"/>
          <w:spacing w:val="-26"/>
          <w:position w:val="7"/>
        </w:rPr>
        <w:t xml:space="preserve"> </w:t>
      </w:r>
      <w:r>
        <w:rPr>
          <w:rFonts w:ascii="STZhongsong" w:hAnsi="STZhongsong" w:eastAsia="STZhongsong" w:cs="STZhongsong"/>
          <w:sz w:val="43"/>
          <w:szCs w:val="43"/>
          <w:spacing w:val="-11"/>
          <w:position w:val="7"/>
        </w:rPr>
        <w:t>位</w:t>
      </w:r>
      <w:r>
        <w:rPr>
          <w:rFonts w:ascii="STZhongsong" w:hAnsi="STZhongsong" w:eastAsia="STZhongsong" w:cs="STZhongsong"/>
          <w:sz w:val="43"/>
          <w:szCs w:val="43"/>
          <w:spacing w:val="-30"/>
          <w:position w:val="7"/>
        </w:rPr>
        <w:t xml:space="preserve"> </w:t>
      </w:r>
      <w:r>
        <w:rPr>
          <w:rFonts w:ascii="STZhongsong" w:hAnsi="STZhongsong" w:eastAsia="STZhongsong" w:cs="STZhongsong"/>
          <w:sz w:val="43"/>
          <w:szCs w:val="43"/>
          <w:spacing w:val="-11"/>
          <w:position w:val="7"/>
        </w:rPr>
        <w:t>预</w:t>
      </w:r>
      <w:r>
        <w:rPr>
          <w:rFonts w:ascii="STZhongsong" w:hAnsi="STZhongsong" w:eastAsia="STZhongsong" w:cs="STZhongsong"/>
          <w:sz w:val="43"/>
          <w:szCs w:val="43"/>
          <w:spacing w:val="-16"/>
          <w:position w:val="7"/>
        </w:rPr>
        <w:t xml:space="preserve"> </w:t>
      </w:r>
      <w:r>
        <w:rPr>
          <w:rFonts w:ascii="STZhongsong" w:hAnsi="STZhongsong" w:eastAsia="STZhongsong" w:cs="STZhongsong"/>
          <w:sz w:val="43"/>
          <w:szCs w:val="43"/>
          <w:spacing w:val="-11"/>
          <w:position w:val="7"/>
        </w:rPr>
        <w:t>算</w:t>
      </w:r>
      <w:r>
        <w:rPr>
          <w:rFonts w:ascii="STZhongsong" w:hAnsi="STZhongsong" w:eastAsia="STZhongsong" w:cs="STZhongsong"/>
          <w:sz w:val="43"/>
          <w:szCs w:val="43"/>
          <w:spacing w:val="-27"/>
          <w:position w:val="7"/>
        </w:rPr>
        <w:t xml:space="preserve"> </w:t>
      </w:r>
      <w:r>
        <w:rPr>
          <w:rFonts w:ascii="STZhongsong" w:hAnsi="STZhongsong" w:eastAsia="STZhongsong" w:cs="STZhongsong"/>
          <w:sz w:val="43"/>
          <w:szCs w:val="43"/>
          <w:spacing w:val="-11"/>
          <w:position w:val="7"/>
        </w:rPr>
        <w:t>公</w:t>
      </w:r>
      <w:r>
        <w:rPr>
          <w:rFonts w:ascii="STZhongsong" w:hAnsi="STZhongsong" w:eastAsia="STZhongsong" w:cs="STZhongsong"/>
          <w:sz w:val="43"/>
          <w:szCs w:val="43"/>
          <w:spacing w:val="-21"/>
          <w:position w:val="7"/>
        </w:rPr>
        <w:t xml:space="preserve"> </w:t>
      </w:r>
      <w:r>
        <w:rPr>
          <w:rFonts w:ascii="STZhongsong" w:hAnsi="STZhongsong" w:eastAsia="STZhongsong" w:cs="STZhongsong"/>
          <w:sz w:val="43"/>
          <w:szCs w:val="43"/>
          <w:spacing w:val="-11"/>
          <w:position w:val="7"/>
        </w:rPr>
        <w:t>开</w:t>
      </w:r>
    </w:p>
    <w:p>
      <w:pPr>
        <w:spacing w:line="677"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一、本单位职责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1"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2025年单位预算报表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48"/>
              </w:rPr>
              <w:t xml:space="preserve"> </w:t>
            </w:r>
            <w:r>
              <w:rPr>
                <w:rFonts w:ascii="FangSong" w:hAnsi="FangSong" w:eastAsia="FangSong" w:cs="FangSong"/>
                <w:sz w:val="32"/>
                <w:szCs w:val="32"/>
              </w:rPr>
              <w:t>5</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82"/>
              </w:rPr>
              <w:t xml:space="preserve"> </w:t>
            </w:r>
            <w:r>
              <w:rPr>
                <w:rFonts w:ascii="FangSong" w:hAnsi="FangSong" w:eastAsia="FangSong" w:cs="FangSong"/>
                <w:sz w:val="32"/>
                <w:szCs w:val="32"/>
              </w:rPr>
              <w:t>6</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8</w:t>
            </w:r>
          </w:hyperlink>
        </w:p>
        <w:p>
          <w:pPr>
            <w:ind w:left="1983"/>
            <w:spacing w:before="120"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ind w:left="1343"/>
            <w:spacing w:before="117"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7"/>
              </w:rPr>
              <w:t>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sdtContent>
    </w:sdt>
    <w:p>
      <w:pPr>
        <w:ind w:left="1354" w:right="1339" w:firstLine="628"/>
        <w:spacing w:before="122"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12</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12</w:t>
            </w:r>
          </w:hyperlink>
        </w:p>
        <w:p>
          <w:pPr>
            <w:ind w:left="1983"/>
            <w:spacing w:before="116"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13</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14</w:t>
            </w:r>
          </w:hyperlink>
        </w:p>
        <w:p>
          <w:pPr>
            <w:ind w:left="1983"/>
            <w:spacing w:before="116"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354"/>
            <w:spacing w:before="120" w:line="221"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2025年度单位预算情况说明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16</w:t>
            </w:r>
          </w:hyperlink>
        </w:p>
        <w:p>
          <w:pPr>
            <w:ind w:left="1986"/>
            <w:spacing w:before="117" w:line="221"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一、单位预算收支数据变动情况及原因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16</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16</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16</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3"/>
              </w:rPr>
              <w:t>20</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20</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20</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20</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b/>
                <w:bCs/>
                <w:spacing w:val="-8"/>
              </w:rPr>
              <w:t>51</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35" w:id="2"/>
      <w:bookmarkEnd w:id="2"/>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一、本单位职责</w:t>
      </w:r>
    </w:p>
    <w:p>
      <w:pPr>
        <w:ind w:left="1515" w:right="1475"/>
        <w:spacing w:before="281" w:line="313" w:lineRule="auto"/>
        <w:rPr>
          <w:rFonts w:ascii="FangSong" w:hAnsi="FangSong" w:eastAsia="FangSong" w:cs="FangSong"/>
          <w:sz w:val="24"/>
          <w:szCs w:val="24"/>
        </w:rPr>
      </w:pPr>
      <w:r>
        <w:rPr>
          <w:rFonts w:ascii="FangSong" w:hAnsi="FangSong" w:eastAsia="FangSong" w:cs="FangSong"/>
          <w:sz w:val="24"/>
          <w:szCs w:val="24"/>
          <w:spacing w:val="1"/>
        </w:rPr>
        <w:t>按照国家的有关政策、法规开展成人本、专科学历教育；开展岗</w:t>
      </w:r>
      <w:r>
        <w:rPr>
          <w:rFonts w:ascii="FangSong" w:hAnsi="FangSong" w:eastAsia="FangSong" w:cs="FangSong"/>
          <w:sz w:val="24"/>
          <w:szCs w:val="24"/>
        </w:rPr>
        <w:t>位培训及各类实用技</w:t>
      </w:r>
      <w:r>
        <w:rPr>
          <w:rFonts w:ascii="FangSong" w:hAnsi="FangSong" w:eastAsia="FangSong" w:cs="FangSong"/>
          <w:sz w:val="24"/>
          <w:szCs w:val="24"/>
          <w:spacing w:val="-2"/>
        </w:rPr>
        <w:t>术培训等非学历教育；开展面对各类专业技术人员的继续教育。</w:t>
      </w:r>
    </w:p>
    <w:p>
      <w:pPr>
        <w:ind w:left="1513"/>
        <w:spacing w:before="176"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15" w:right="1474" w:firstLine="21"/>
        <w:spacing w:before="103" w:line="311" w:lineRule="auto"/>
        <w:jc w:val="both"/>
        <w:rPr>
          <w:rFonts w:ascii="FangSong" w:hAnsi="FangSong" w:eastAsia="FangSong" w:cs="FangSong"/>
          <w:sz w:val="24"/>
          <w:szCs w:val="24"/>
        </w:rPr>
      </w:pPr>
      <w:r>
        <w:rPr>
          <w:rFonts w:ascii="FangSong" w:hAnsi="FangSong" w:eastAsia="FangSong" w:cs="FangSong"/>
          <w:sz w:val="24"/>
          <w:szCs w:val="24"/>
        </w:rPr>
        <w:t>山西广播电视大学兴县工作站（兴县开放大学）属二级预算单位，无下属单位。内设</w:t>
      </w:r>
      <w:r>
        <w:rPr>
          <w:rFonts w:ascii="FangSong" w:hAnsi="FangSong" w:eastAsia="FangSong" w:cs="FangSong"/>
          <w:sz w:val="24"/>
          <w:szCs w:val="24"/>
          <w:spacing w:val="1"/>
        </w:rPr>
        <w:t>机构有办公室、教研室、政教室、培训股、教务处。其中：领导</w:t>
      </w:r>
      <w:r>
        <w:rPr>
          <w:rFonts w:ascii="FangSong" w:hAnsi="FangSong" w:eastAsia="FangSong" w:cs="FangSong"/>
          <w:sz w:val="24"/>
          <w:szCs w:val="24"/>
        </w:rPr>
        <w:t>职数2人，校长1人，</w:t>
      </w:r>
      <w:r>
        <w:rPr>
          <w:rFonts w:ascii="FangSong" w:hAnsi="FangSong" w:eastAsia="FangSong" w:cs="FangSong"/>
          <w:sz w:val="24"/>
          <w:szCs w:val="24"/>
          <w:spacing w:val="-3"/>
        </w:rPr>
        <w:t>副校长1人。单位共有在职人员19人。</w:t>
      </w:r>
    </w:p>
    <w:p>
      <w:pPr>
        <w:spacing w:line="311"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36" w:id="6"/>
      <w:bookmarkEnd w:id="6"/>
      <w:bookmarkStart w:name="bookmark5" w:id="7"/>
      <w:bookmarkEnd w:id="7"/>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7"/>
          <w:position w:val="-1"/>
        </w:rPr>
        <w:t xml:space="preserve"> </w:t>
      </w:r>
      <w:r>
        <w:rPr>
          <w:rFonts w:ascii="Microsoft YaHei" w:hAnsi="Microsoft YaHei" w:eastAsia="Microsoft YaHei" w:cs="Microsoft YaHei"/>
          <w:sz w:val="23"/>
          <w:szCs w:val="23"/>
          <w:spacing w:val="3"/>
          <w:position w:val="-1"/>
        </w:rPr>
        <w:t>2025年单位预算报表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19"/>
        <w:gridCol w:w="1153"/>
        <w:gridCol w:w="2201"/>
        <w:gridCol w:w="1168"/>
        <w:gridCol w:w="1153"/>
        <w:gridCol w:w="75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8"/>
            <w:bookmarkEnd w:id="8"/>
            <w:r>
              <w:rPr>
                <w:rFonts w:ascii="Microsoft YaHei" w:hAnsi="Microsoft YaHei" w:eastAsia="Microsoft YaHei" w:cs="Microsoft YaHei"/>
                <w:sz w:val="23"/>
                <w:szCs w:val="23"/>
                <w:color w:val="212529"/>
                <w:position w:val="-1"/>
              </w:rPr>
              <w:t>2025年预算收支总表</w:t>
            </w:r>
          </w:p>
        </w:tc>
      </w:tr>
      <w:tr>
        <w:trPr>
          <w:trHeight w:val="524" w:hRule="atLeast"/>
        </w:trPr>
        <w:tc>
          <w:tcPr>
            <w:tcW w:w="5473" w:type="dxa"/>
            <w:vAlign w:val="top"/>
            <w:gridSpan w:val="3"/>
            <w:tcBorders>
              <w:top w:val="single" w:color="FFFFFF" w:sz="6" w:space="0"/>
              <w:left w:val="single" w:color="FFFFFF" w:sz="2" w:space="0"/>
              <w:right w:val="single" w:color="FFFFFF" w:sz="2" w:space="0"/>
            </w:tcBorders>
          </w:tcPr>
          <w:p>
            <w:pPr>
              <w:ind w:left="13"/>
              <w:spacing w:before="169" w:line="219" w:lineRule="auto"/>
              <w:rPr>
                <w:rFonts w:ascii="SimSun" w:hAnsi="SimSun" w:eastAsia="SimSun" w:cs="SimSun"/>
                <w:sz w:val="18"/>
                <w:szCs w:val="18"/>
              </w:rPr>
            </w:pPr>
            <w:r>
              <w:rPr>
                <w:rFonts w:ascii="SimSun" w:hAnsi="SimSun" w:eastAsia="SimSun" w:cs="SimSun"/>
                <w:sz w:val="18"/>
                <w:szCs w:val="18"/>
                <w:color w:val="212529"/>
                <w:spacing w:val="-1"/>
              </w:rPr>
              <w:t>单位名称：山西广播电视大学吕梁分校兴县工作站</w:t>
            </w:r>
          </w:p>
        </w:tc>
        <w:tc>
          <w:tcPr>
            <w:tcW w:w="3077" w:type="dxa"/>
            <w:vAlign w:val="top"/>
            <w:gridSpan w:val="3"/>
            <w:tcBorders>
              <w:top w:val="single" w:color="FFFFFF" w:sz="6" w:space="0"/>
              <w:left w:val="single" w:color="FFFFFF" w:sz="2" w:space="0"/>
              <w:right w:val="single" w:color="FFFFFF" w:sz="2" w:space="0"/>
            </w:tcBorders>
          </w:tcPr>
          <w:p>
            <w:pPr>
              <w:ind w:left="2145"/>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272" w:type="dxa"/>
            <w:vAlign w:val="top"/>
            <w:gridSpan w:val="2"/>
          </w:tcPr>
          <w:p>
            <w:pPr>
              <w:ind w:left="1444"/>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278" w:type="dxa"/>
            <w:vAlign w:val="top"/>
            <w:gridSpan w:val="4"/>
          </w:tcPr>
          <w:p>
            <w:pPr>
              <w:ind w:left="2442"/>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2119" w:type="dxa"/>
            <w:vAlign w:val="top"/>
          </w:tcPr>
          <w:p>
            <w:pPr>
              <w:ind w:left="86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53" w:type="dxa"/>
            <w:vAlign w:val="top"/>
          </w:tcPr>
          <w:p>
            <w:pPr>
              <w:ind w:left="294"/>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201" w:type="dxa"/>
            <w:vAlign w:val="top"/>
          </w:tcPr>
          <w:p>
            <w:pPr>
              <w:ind w:left="90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68" w:type="dxa"/>
            <w:vAlign w:val="top"/>
          </w:tcPr>
          <w:p>
            <w:pPr>
              <w:ind w:left="12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53" w:type="dxa"/>
            <w:vAlign w:val="top"/>
          </w:tcPr>
          <w:p>
            <w:pPr>
              <w:ind w:left="30"/>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756" w:type="dxa"/>
            <w:vAlign w:val="top"/>
          </w:tcPr>
          <w:p>
            <w:pPr>
              <w:ind w:left="90"/>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w:t>
            </w:r>
          </w:p>
          <w:p>
            <w:pPr>
              <w:ind w:left="91"/>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转安排</w:t>
            </w:r>
          </w:p>
        </w:tc>
      </w:tr>
      <w:tr>
        <w:trPr>
          <w:trHeight w:val="524" w:hRule="atLeast"/>
        </w:trPr>
        <w:tc>
          <w:tcPr>
            <w:tcW w:w="211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53" w:type="dxa"/>
            <w:vAlign w:val="top"/>
          </w:tcPr>
          <w:p>
            <w:pPr>
              <w:ind w:right="28"/>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289.37</w:t>
            </w:r>
          </w:p>
        </w:tc>
        <w:tc>
          <w:tcPr>
            <w:tcW w:w="2201"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53" w:type="dxa"/>
            <w:vAlign w:val="top"/>
          </w:tcPr>
          <w:p>
            <w:pPr>
              <w:pStyle w:val="TableText"/>
              <w:rPr/>
            </w:pPr>
            <w:r/>
          </w:p>
        </w:tc>
        <w:tc>
          <w:tcPr>
            <w:tcW w:w="2201" w:type="dxa"/>
            <w:vAlign w:val="top"/>
          </w:tcPr>
          <w:p>
            <w:pPr>
              <w:ind w:left="10"/>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53" w:type="dxa"/>
            <w:vAlign w:val="top"/>
          </w:tcPr>
          <w:p>
            <w:pPr>
              <w:pStyle w:val="TableText"/>
              <w:rPr/>
            </w:pPr>
            <w:r/>
          </w:p>
        </w:tc>
        <w:tc>
          <w:tcPr>
            <w:tcW w:w="2201" w:type="dxa"/>
            <w:vAlign w:val="top"/>
          </w:tcPr>
          <w:p>
            <w:pPr>
              <w:ind w:left="6"/>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53" w:type="dxa"/>
            <w:vAlign w:val="top"/>
          </w:tcPr>
          <w:p>
            <w:pPr>
              <w:pStyle w:val="TableText"/>
              <w:rPr/>
            </w:pPr>
            <w:r/>
          </w:p>
        </w:tc>
        <w:tc>
          <w:tcPr>
            <w:tcW w:w="2201" w:type="dxa"/>
            <w:vAlign w:val="top"/>
          </w:tcPr>
          <w:p>
            <w:pPr>
              <w:ind w:left="24"/>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53" w:type="dxa"/>
            <w:vAlign w:val="top"/>
          </w:tcPr>
          <w:p>
            <w:pPr>
              <w:pStyle w:val="TableText"/>
              <w:rPr/>
            </w:pPr>
            <w:r/>
          </w:p>
        </w:tc>
        <w:tc>
          <w:tcPr>
            <w:tcW w:w="2201" w:type="dxa"/>
            <w:vAlign w:val="top"/>
          </w:tcPr>
          <w:p>
            <w:pPr>
              <w:ind w:left="10"/>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68" w:type="dxa"/>
            <w:vAlign w:val="top"/>
          </w:tcPr>
          <w:p>
            <w:pPr>
              <w:ind w:right="25"/>
              <w:spacing w:before="177"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153" w:type="dxa"/>
            <w:vAlign w:val="top"/>
          </w:tcPr>
          <w:p>
            <w:pPr>
              <w:ind w:right="23"/>
              <w:spacing w:before="177"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68" w:type="dxa"/>
            <w:vAlign w:val="top"/>
          </w:tcPr>
          <w:p>
            <w:pPr>
              <w:ind w:right="26"/>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42.37</w:t>
            </w:r>
          </w:p>
        </w:tc>
        <w:tc>
          <w:tcPr>
            <w:tcW w:w="1153" w:type="dxa"/>
            <w:vAlign w:val="top"/>
          </w:tcPr>
          <w:p>
            <w:pPr>
              <w:ind w:right="23"/>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42.37</w:t>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68" w:type="dxa"/>
            <w:vAlign w:val="top"/>
          </w:tcPr>
          <w:p>
            <w:pPr>
              <w:ind w:right="25"/>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153" w:type="dxa"/>
            <w:vAlign w:val="top"/>
          </w:tcPr>
          <w:p>
            <w:pPr>
              <w:ind w:right="22"/>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68" w:type="dxa"/>
            <w:vAlign w:val="top"/>
          </w:tcPr>
          <w:p>
            <w:pPr>
              <w:ind w:right="23"/>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153" w:type="dxa"/>
            <w:vAlign w:val="top"/>
          </w:tcPr>
          <w:p>
            <w:pPr>
              <w:ind w:right="20"/>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756" w:type="dxa"/>
            <w:vAlign w:val="top"/>
          </w:tcPr>
          <w:p>
            <w:pPr>
              <w:pStyle w:val="TableText"/>
              <w:rPr/>
            </w:pPr>
            <w:r/>
          </w:p>
        </w:tc>
      </w:tr>
      <w:tr>
        <w:trPr>
          <w:trHeight w:val="532"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22" w:right="215"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bl>
    <w:p>
      <w:pPr>
        <w:pStyle w:val="BodyText"/>
        <w:rPr/>
      </w:pPr>
      <w:r/>
    </w:p>
    <w:p>
      <w:pPr>
        <w:sectPr>
          <w:footerReference w:type="default" r:id="rId7"/>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19"/>
        <w:gridCol w:w="1153"/>
        <w:gridCol w:w="2201"/>
        <w:gridCol w:w="1168"/>
        <w:gridCol w:w="1153"/>
        <w:gridCol w:w="756"/>
      </w:tblGrid>
      <w:tr>
        <w:trPr>
          <w:trHeight w:val="531"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firstLine="2"/>
              <w:spacing w:before="55" w:line="218" w:lineRule="auto"/>
              <w:rPr>
                <w:rFonts w:ascii="SimSun" w:hAnsi="SimSun" w:eastAsia="SimSun" w:cs="SimSun"/>
                <w:sz w:val="18"/>
                <w:szCs w:val="18"/>
              </w:rPr>
            </w:pPr>
            <w:bookmarkStart w:name="bookmark37" w:id="9"/>
            <w:bookmarkEnd w:id="9"/>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3"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right="205"/>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22" w:right="205"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21" w:right="205"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pStyle w:val="TableText"/>
              <w:rPr/>
            </w:pPr>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53" w:type="dxa"/>
            <w:vAlign w:val="top"/>
          </w:tcPr>
          <w:p>
            <w:pPr>
              <w:pStyle w:val="TableText"/>
              <w:ind w:left="577"/>
              <w:spacing w:before="186" w:line="183" w:lineRule="auto"/>
              <w:rPr>
                <w:sz w:val="15"/>
                <w:szCs w:val="15"/>
              </w:rPr>
            </w:pPr>
            <w:r>
              <w:rPr>
                <w:sz w:val="15"/>
                <w:szCs w:val="15"/>
                <w:color w:val="212529"/>
                <w:spacing w:val="2"/>
              </w:rPr>
              <w:t>289.</w:t>
            </w:r>
            <w:r>
              <w:rPr>
                <w:sz w:val="15"/>
                <w:szCs w:val="15"/>
                <w:color w:val="212529"/>
                <w:spacing w:val="14"/>
              </w:rPr>
              <w:t xml:space="preserve"> </w:t>
            </w:r>
            <w:r>
              <w:rPr>
                <w:sz w:val="15"/>
                <w:szCs w:val="15"/>
                <w:color w:val="212529"/>
                <w:spacing w:val="2"/>
              </w:rPr>
              <w:t>37</w:t>
            </w:r>
          </w:p>
        </w:tc>
        <w:tc>
          <w:tcPr>
            <w:tcW w:w="2201" w:type="dxa"/>
            <w:vAlign w:val="top"/>
          </w:tcPr>
          <w:p>
            <w:pPr>
              <w:ind w:left="7"/>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68" w:type="dxa"/>
            <w:vAlign w:val="top"/>
          </w:tcPr>
          <w:p>
            <w:pPr>
              <w:pStyle w:val="TableText"/>
              <w:ind w:left="594"/>
              <w:spacing w:before="186" w:line="183" w:lineRule="auto"/>
              <w:rPr>
                <w:sz w:val="15"/>
                <w:szCs w:val="15"/>
              </w:rPr>
            </w:pPr>
            <w:r>
              <w:rPr>
                <w:sz w:val="15"/>
                <w:szCs w:val="15"/>
                <w:color w:val="212529"/>
                <w:spacing w:val="2"/>
              </w:rPr>
              <w:t>289.</w:t>
            </w:r>
            <w:r>
              <w:rPr>
                <w:sz w:val="15"/>
                <w:szCs w:val="15"/>
                <w:color w:val="212529"/>
                <w:spacing w:val="14"/>
              </w:rPr>
              <w:t xml:space="preserve"> </w:t>
            </w:r>
            <w:r>
              <w:rPr>
                <w:sz w:val="15"/>
                <w:szCs w:val="15"/>
                <w:color w:val="212529"/>
                <w:spacing w:val="2"/>
              </w:rPr>
              <w:t>37</w:t>
            </w:r>
          </w:p>
        </w:tc>
        <w:tc>
          <w:tcPr>
            <w:tcW w:w="1153" w:type="dxa"/>
            <w:vAlign w:val="top"/>
          </w:tcPr>
          <w:p>
            <w:pPr>
              <w:pStyle w:val="TableText"/>
              <w:ind w:left="582"/>
              <w:spacing w:before="186" w:line="183" w:lineRule="auto"/>
              <w:rPr>
                <w:sz w:val="15"/>
                <w:szCs w:val="15"/>
              </w:rPr>
            </w:pPr>
            <w:r>
              <w:rPr>
                <w:sz w:val="15"/>
                <w:szCs w:val="15"/>
                <w:color w:val="212529"/>
                <w:spacing w:val="1"/>
              </w:rPr>
              <w:t>289.</w:t>
            </w:r>
            <w:r>
              <w:rPr>
                <w:sz w:val="15"/>
                <w:szCs w:val="15"/>
                <w:color w:val="212529"/>
                <w:spacing w:val="20"/>
              </w:rPr>
              <w:t xml:space="preserve"> </w:t>
            </w:r>
            <w:r>
              <w:rPr>
                <w:sz w:val="15"/>
                <w:szCs w:val="15"/>
                <w:color w:val="212529"/>
                <w:spacing w:val="1"/>
              </w:rPr>
              <w:t>37</w:t>
            </w:r>
          </w:p>
        </w:tc>
        <w:tc>
          <w:tcPr>
            <w:tcW w:w="756" w:type="dxa"/>
            <w:vAlign w:val="top"/>
          </w:tcPr>
          <w:p>
            <w:pPr>
              <w:pStyle w:val="TableText"/>
              <w:rPr/>
            </w:pPr>
            <w:r/>
          </w:p>
        </w:tc>
      </w:tr>
      <w:tr>
        <w:trPr>
          <w:trHeight w:val="524" w:hRule="atLeast"/>
        </w:trPr>
        <w:tc>
          <w:tcPr>
            <w:tcW w:w="211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53" w:type="dxa"/>
            <w:vAlign w:val="top"/>
          </w:tcPr>
          <w:p>
            <w:pPr>
              <w:pStyle w:val="TableText"/>
              <w:rPr/>
            </w:pPr>
            <w:r/>
          </w:p>
        </w:tc>
        <w:tc>
          <w:tcPr>
            <w:tcW w:w="2201" w:type="dxa"/>
            <w:vAlign w:val="top"/>
          </w:tcPr>
          <w:p>
            <w:pPr>
              <w:ind w:left="195"/>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31" w:hRule="atLeast"/>
        </w:trPr>
        <w:tc>
          <w:tcPr>
            <w:tcW w:w="211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53" w:type="dxa"/>
            <w:vAlign w:val="top"/>
          </w:tcPr>
          <w:p>
            <w:pPr>
              <w:pStyle w:val="TableText"/>
              <w:ind w:left="577"/>
              <w:spacing w:before="188" w:line="183" w:lineRule="auto"/>
              <w:rPr>
                <w:sz w:val="15"/>
                <w:szCs w:val="15"/>
              </w:rPr>
            </w:pPr>
            <w:r>
              <w:rPr>
                <w:sz w:val="15"/>
                <w:szCs w:val="15"/>
                <w:color w:val="212529"/>
                <w:spacing w:val="2"/>
              </w:rPr>
              <w:t>289.</w:t>
            </w:r>
            <w:r>
              <w:rPr>
                <w:sz w:val="15"/>
                <w:szCs w:val="15"/>
                <w:color w:val="212529"/>
                <w:spacing w:val="14"/>
              </w:rPr>
              <w:t xml:space="preserve"> </w:t>
            </w:r>
            <w:r>
              <w:rPr>
                <w:sz w:val="15"/>
                <w:szCs w:val="15"/>
                <w:color w:val="212529"/>
                <w:spacing w:val="2"/>
              </w:rPr>
              <w:t>37</w:t>
            </w:r>
          </w:p>
        </w:tc>
        <w:tc>
          <w:tcPr>
            <w:tcW w:w="2201" w:type="dxa"/>
            <w:vAlign w:val="top"/>
          </w:tcPr>
          <w:p>
            <w:pPr>
              <w:ind w:left="6"/>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68" w:type="dxa"/>
            <w:vAlign w:val="top"/>
          </w:tcPr>
          <w:p>
            <w:pPr>
              <w:pStyle w:val="TableText"/>
              <w:ind w:left="594"/>
              <w:spacing w:before="188" w:line="183" w:lineRule="auto"/>
              <w:rPr>
                <w:sz w:val="15"/>
                <w:szCs w:val="15"/>
              </w:rPr>
            </w:pPr>
            <w:r>
              <w:rPr>
                <w:sz w:val="15"/>
                <w:szCs w:val="15"/>
                <w:color w:val="212529"/>
                <w:spacing w:val="2"/>
              </w:rPr>
              <w:t>289.</w:t>
            </w:r>
            <w:r>
              <w:rPr>
                <w:sz w:val="15"/>
                <w:szCs w:val="15"/>
                <w:color w:val="212529"/>
                <w:spacing w:val="14"/>
              </w:rPr>
              <w:t xml:space="preserve"> </w:t>
            </w:r>
            <w:r>
              <w:rPr>
                <w:sz w:val="15"/>
                <w:szCs w:val="15"/>
                <w:color w:val="212529"/>
                <w:spacing w:val="2"/>
              </w:rPr>
              <w:t>37</w:t>
            </w:r>
          </w:p>
        </w:tc>
        <w:tc>
          <w:tcPr>
            <w:tcW w:w="1153" w:type="dxa"/>
            <w:vAlign w:val="top"/>
          </w:tcPr>
          <w:p>
            <w:pPr>
              <w:pStyle w:val="TableText"/>
              <w:ind w:left="582"/>
              <w:spacing w:before="188" w:line="183" w:lineRule="auto"/>
              <w:rPr>
                <w:sz w:val="15"/>
                <w:szCs w:val="15"/>
              </w:rPr>
            </w:pPr>
            <w:r>
              <w:rPr>
                <w:sz w:val="15"/>
                <w:szCs w:val="15"/>
                <w:color w:val="212529"/>
                <w:spacing w:val="1"/>
              </w:rPr>
              <w:t>289.</w:t>
            </w:r>
            <w:r>
              <w:rPr>
                <w:sz w:val="15"/>
                <w:szCs w:val="15"/>
                <w:color w:val="212529"/>
                <w:spacing w:val="20"/>
              </w:rPr>
              <w:t xml:space="preserve"> </w:t>
            </w:r>
            <w:r>
              <w:rPr>
                <w:sz w:val="15"/>
                <w:szCs w:val="15"/>
                <w:color w:val="212529"/>
                <w:spacing w:val="1"/>
              </w:rPr>
              <w:t>37</w:t>
            </w:r>
          </w:p>
        </w:tc>
        <w:tc>
          <w:tcPr>
            <w:tcW w:w="756" w:type="dxa"/>
            <w:vAlign w:val="top"/>
          </w:tcPr>
          <w:p>
            <w:pPr>
              <w:pStyle w:val="TableText"/>
              <w:rPr/>
            </w:pPr>
            <w:r/>
          </w:p>
        </w:tc>
      </w:tr>
    </w:tbl>
    <w:p>
      <w:pPr>
        <w:pStyle w:val="BodyText"/>
        <w:rPr/>
      </w:pPr>
      <w:r/>
    </w:p>
    <w:p>
      <w:pPr>
        <w:sectPr>
          <w:headerReference w:type="default" r:id="rId8"/>
          <w:footerReference w:type="default" r:id="rId9"/>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11"/>
        <w:gridCol w:w="3116"/>
        <w:gridCol w:w="1573"/>
        <w:gridCol w:w="1348"/>
        <w:gridCol w:w="1079"/>
        <w:gridCol w:w="1318"/>
        <w:gridCol w:w="1304"/>
        <w:gridCol w:w="1034"/>
        <w:gridCol w:w="1086"/>
      </w:tblGrid>
      <w:tr>
        <w:trPr>
          <w:trHeight w:val="442" w:hRule="atLeast"/>
        </w:trPr>
        <w:tc>
          <w:tcPr>
            <w:tcW w:w="161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311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57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4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07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1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0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120" w:type="dxa"/>
            <w:vAlign w:val="top"/>
            <w:gridSpan w:val="2"/>
            <w:tcBorders>
              <w:left w:val="single" w:color="FFFFFF" w:sz="2" w:space="0"/>
              <w:right w:val="single" w:color="FFFFFF" w:sz="2" w:space="0"/>
              <w:bottom w:val="single" w:color="FFFFFF" w:sz="6" w:space="0"/>
              <w:top w:val="single" w:color="FFFFFF" w:sz="6" w:space="0"/>
            </w:tcBorders>
          </w:tcPr>
          <w:p>
            <w:pPr>
              <w:ind w:left="109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7"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727" w:type="dxa"/>
            <w:vAlign w:val="top"/>
            <w:gridSpan w:val="2"/>
            <w:tcBorders>
              <w:left w:val="single" w:color="FFFFFF" w:sz="2" w:space="0"/>
              <w:right w:val="single" w:color="FFFFFF" w:sz="2" w:space="0"/>
              <w:top w:val="single" w:color="FFFFFF" w:sz="6" w:space="0"/>
            </w:tcBorders>
          </w:tcPr>
          <w:p>
            <w:pPr>
              <w:ind w:left="13"/>
              <w:spacing w:before="124" w:line="219" w:lineRule="auto"/>
              <w:rPr>
                <w:rFonts w:ascii="SimSun" w:hAnsi="SimSun" w:eastAsia="SimSun" w:cs="SimSun"/>
                <w:sz w:val="18"/>
                <w:szCs w:val="18"/>
              </w:rPr>
            </w:pPr>
            <w:r>
              <w:rPr>
                <w:rFonts w:ascii="SimSun" w:hAnsi="SimSun" w:eastAsia="SimSun" w:cs="SimSun"/>
                <w:sz w:val="18"/>
                <w:szCs w:val="18"/>
                <w:color w:val="212529"/>
                <w:spacing w:val="-1"/>
              </w:rPr>
              <w:t>单位名称：山西广播电视大学吕梁分校兴县工作站</w:t>
            </w:r>
          </w:p>
        </w:tc>
        <w:tc>
          <w:tcPr>
            <w:tcW w:w="1573" w:type="dxa"/>
            <w:vAlign w:val="top"/>
            <w:tcBorders>
              <w:left w:val="single" w:color="FFFFFF" w:sz="2" w:space="0"/>
              <w:right w:val="single" w:color="FFFFFF" w:sz="2" w:space="0"/>
              <w:top w:val="single" w:color="FFFFFF" w:sz="6" w:space="0"/>
            </w:tcBorders>
          </w:tcPr>
          <w:p>
            <w:pPr>
              <w:pStyle w:val="TableText"/>
              <w:rPr/>
            </w:pPr>
            <w:r/>
          </w:p>
        </w:tc>
        <w:tc>
          <w:tcPr>
            <w:tcW w:w="1348" w:type="dxa"/>
            <w:vAlign w:val="top"/>
            <w:tcBorders>
              <w:left w:val="single" w:color="FFFFFF" w:sz="2" w:space="0"/>
              <w:right w:val="single" w:color="FFFFFF" w:sz="2" w:space="0"/>
              <w:top w:val="single" w:color="FFFFFF" w:sz="6" w:space="0"/>
            </w:tcBorders>
          </w:tcPr>
          <w:p>
            <w:pPr>
              <w:pStyle w:val="TableText"/>
              <w:rPr/>
            </w:pPr>
            <w:r/>
          </w:p>
        </w:tc>
        <w:tc>
          <w:tcPr>
            <w:tcW w:w="1079" w:type="dxa"/>
            <w:vAlign w:val="top"/>
            <w:tcBorders>
              <w:left w:val="single" w:color="FFFFFF" w:sz="2" w:space="0"/>
              <w:right w:val="single" w:color="FFFFFF" w:sz="2" w:space="0"/>
              <w:top w:val="single" w:color="FFFFFF" w:sz="6" w:space="0"/>
            </w:tcBorders>
          </w:tcPr>
          <w:p>
            <w:pPr>
              <w:pStyle w:val="TableText"/>
              <w:rPr/>
            </w:pPr>
            <w:r/>
          </w:p>
        </w:tc>
        <w:tc>
          <w:tcPr>
            <w:tcW w:w="1318" w:type="dxa"/>
            <w:vAlign w:val="top"/>
            <w:tcBorders>
              <w:left w:val="single" w:color="FFFFFF" w:sz="2" w:space="0"/>
              <w:right w:val="single" w:color="FFFFFF" w:sz="2" w:space="0"/>
              <w:top w:val="single" w:color="FFFFFF" w:sz="6" w:space="0"/>
            </w:tcBorders>
          </w:tcPr>
          <w:p>
            <w:pPr>
              <w:pStyle w:val="TableText"/>
              <w:rPr/>
            </w:pPr>
            <w:r/>
          </w:p>
        </w:tc>
        <w:tc>
          <w:tcPr>
            <w:tcW w:w="1304" w:type="dxa"/>
            <w:vAlign w:val="top"/>
            <w:tcBorders>
              <w:left w:val="single" w:color="FFFFFF" w:sz="2" w:space="0"/>
              <w:right w:val="single" w:color="FFFFFF" w:sz="2" w:space="0"/>
              <w:top w:val="single" w:color="FFFFFF" w:sz="6" w:space="0"/>
            </w:tcBorders>
          </w:tcPr>
          <w:p>
            <w:pPr>
              <w:pStyle w:val="TableText"/>
              <w:rPr/>
            </w:pPr>
            <w:r/>
          </w:p>
        </w:tc>
        <w:tc>
          <w:tcPr>
            <w:tcW w:w="2120" w:type="dxa"/>
            <w:vAlign w:val="top"/>
            <w:gridSpan w:val="2"/>
            <w:tcBorders>
              <w:left w:val="single" w:color="FFFFFF" w:sz="2" w:space="0"/>
              <w:right w:val="single" w:color="FFFFFF" w:sz="2" w:space="0"/>
              <w:top w:val="single" w:color="FFFFFF" w:sz="6" w:space="0"/>
            </w:tcBorders>
          </w:tcPr>
          <w:p>
            <w:pPr>
              <w:ind w:left="118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727" w:type="dxa"/>
            <w:vAlign w:val="top"/>
            <w:gridSpan w:val="2"/>
          </w:tcPr>
          <w:p>
            <w:pPr>
              <w:ind w:left="2167"/>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656" w:type="dxa"/>
            <w:vAlign w:val="top"/>
            <w:gridSpan w:val="6"/>
          </w:tcPr>
          <w:p>
            <w:pPr>
              <w:ind w:left="3455"/>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086" w:type="dxa"/>
            <w:vAlign w:val="top"/>
            <w:vMerge w:val="restart"/>
            <w:tcBorders>
              <w:bottom w:val="nil"/>
            </w:tcBorders>
          </w:tcPr>
          <w:p>
            <w:pPr>
              <w:pStyle w:val="TableText"/>
              <w:spacing w:line="273" w:lineRule="auto"/>
              <w:rPr/>
            </w:pPr>
            <w:r/>
          </w:p>
          <w:p>
            <w:pPr>
              <w:ind w:left="164"/>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611" w:type="dxa"/>
            <w:vAlign w:val="top"/>
          </w:tcPr>
          <w:p>
            <w:pPr>
              <w:ind w:left="41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3116" w:type="dxa"/>
            <w:vAlign w:val="top"/>
          </w:tcPr>
          <w:p>
            <w:pPr>
              <w:ind w:left="1174"/>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573" w:type="dxa"/>
            <w:vAlign w:val="top"/>
          </w:tcPr>
          <w:p>
            <w:pPr>
              <w:ind w:left="591"/>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348" w:type="dxa"/>
            <w:vAlign w:val="top"/>
          </w:tcPr>
          <w:p>
            <w:pPr>
              <w:ind w:left="117"/>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079" w:type="dxa"/>
            <w:vAlign w:val="top"/>
          </w:tcPr>
          <w:p>
            <w:pPr>
              <w:ind w:left="7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318" w:type="dxa"/>
            <w:vAlign w:val="top"/>
          </w:tcPr>
          <w:p>
            <w:pPr>
              <w:ind w:left="551" w:right="27" w:hanging="517"/>
              <w:spacing w:before="19"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rPr>
              <w:t>国有资本经营预</w:t>
            </w:r>
            <w:r>
              <w:rPr>
                <w:rFonts w:ascii="Microsoft YaHei" w:hAnsi="Microsoft YaHei" w:eastAsia="Microsoft YaHei" w:cs="Microsoft YaHei"/>
                <w:sz w:val="17"/>
                <w:szCs w:val="17"/>
                <w:color w:val="212529"/>
                <w:spacing w:val="12"/>
              </w:rPr>
              <w:t>算</w:t>
            </w:r>
          </w:p>
        </w:tc>
        <w:tc>
          <w:tcPr>
            <w:tcW w:w="1304" w:type="dxa"/>
            <w:vAlign w:val="top"/>
          </w:tcPr>
          <w:p>
            <w:pPr>
              <w:ind w:left="463" w:right="112" w:hanging="366"/>
              <w:spacing w:before="18"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财政专户管理</w:t>
            </w:r>
            <w:r>
              <w:rPr>
                <w:rFonts w:ascii="Microsoft YaHei" w:hAnsi="Microsoft YaHei" w:eastAsia="Microsoft YaHei" w:cs="Microsoft YaHei"/>
                <w:sz w:val="17"/>
                <w:szCs w:val="17"/>
                <w:color w:val="212529"/>
                <w:spacing w:val="4"/>
              </w:rPr>
              <w:t>资金</w:t>
            </w:r>
          </w:p>
        </w:tc>
        <w:tc>
          <w:tcPr>
            <w:tcW w:w="1034" w:type="dxa"/>
            <w:vAlign w:val="top"/>
          </w:tcPr>
          <w:p>
            <w:pPr>
              <w:ind w:left="138"/>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086" w:type="dxa"/>
            <w:vAlign w:val="top"/>
            <w:vMerge w:val="continue"/>
            <w:tcBorders>
              <w:top w:val="nil"/>
            </w:tcBorders>
          </w:tcPr>
          <w:p>
            <w:pPr>
              <w:pStyle w:val="TableText"/>
              <w:rPr/>
            </w:pPr>
            <w:r/>
          </w:p>
        </w:tc>
      </w:tr>
      <w:tr>
        <w:trPr>
          <w:trHeight w:val="434" w:hRule="atLeast"/>
        </w:trPr>
        <w:tc>
          <w:tcPr>
            <w:tcW w:w="4727" w:type="dxa"/>
            <w:vAlign w:val="top"/>
            <w:gridSpan w:val="2"/>
          </w:tcPr>
          <w:p>
            <w:pPr>
              <w:ind w:left="2169"/>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573" w:type="dxa"/>
            <w:vAlign w:val="top"/>
          </w:tcPr>
          <w:p>
            <w:pPr>
              <w:pStyle w:val="TableText"/>
              <w:ind w:left="993"/>
              <w:spacing w:before="149" w:line="183" w:lineRule="auto"/>
              <w:rPr>
                <w:sz w:val="15"/>
                <w:szCs w:val="15"/>
              </w:rPr>
            </w:pPr>
            <w:r>
              <w:rPr>
                <w:sz w:val="15"/>
                <w:szCs w:val="15"/>
                <w:color w:val="212529"/>
                <w:spacing w:val="2"/>
              </w:rPr>
              <w:t>289.</w:t>
            </w:r>
            <w:r>
              <w:rPr>
                <w:sz w:val="15"/>
                <w:szCs w:val="15"/>
                <w:color w:val="212529"/>
                <w:spacing w:val="14"/>
              </w:rPr>
              <w:t xml:space="preserve"> </w:t>
            </w:r>
            <w:r>
              <w:rPr>
                <w:sz w:val="15"/>
                <w:szCs w:val="15"/>
                <w:color w:val="212529"/>
                <w:spacing w:val="2"/>
              </w:rPr>
              <w:t>37</w:t>
            </w:r>
          </w:p>
        </w:tc>
        <w:tc>
          <w:tcPr>
            <w:tcW w:w="1348" w:type="dxa"/>
            <w:vAlign w:val="top"/>
          </w:tcPr>
          <w:p>
            <w:pPr>
              <w:pStyle w:val="TableText"/>
              <w:ind w:left="779"/>
              <w:spacing w:before="149" w:line="183" w:lineRule="auto"/>
              <w:rPr>
                <w:sz w:val="15"/>
                <w:szCs w:val="15"/>
              </w:rPr>
            </w:pPr>
            <w:r>
              <w:rPr>
                <w:sz w:val="15"/>
                <w:szCs w:val="15"/>
                <w:color w:val="212529"/>
                <w:spacing w:val="2"/>
              </w:rPr>
              <w:t>289.</w:t>
            </w:r>
            <w:r>
              <w:rPr>
                <w:sz w:val="15"/>
                <w:szCs w:val="15"/>
                <w:color w:val="212529"/>
                <w:spacing w:val="14"/>
              </w:rPr>
              <w:t xml:space="preserve"> </w:t>
            </w:r>
            <w:r>
              <w:rPr>
                <w:sz w:val="15"/>
                <w:szCs w:val="15"/>
                <w:color w:val="212529"/>
                <w:spacing w:val="2"/>
              </w:rPr>
              <w:t>37</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205</w:t>
            </w:r>
          </w:p>
        </w:tc>
        <w:tc>
          <w:tcPr>
            <w:tcW w:w="3116" w:type="dxa"/>
            <w:vAlign w:val="top"/>
          </w:tcPr>
          <w:p>
            <w:pPr>
              <w:spacing w:before="128" w:line="219" w:lineRule="auto"/>
              <w:rPr>
                <w:rFonts w:ascii="SimSun" w:hAnsi="SimSun" w:eastAsia="SimSun" w:cs="SimSun"/>
                <w:sz w:val="18"/>
                <w:szCs w:val="18"/>
              </w:rPr>
            </w:pPr>
            <w:r>
              <w:rPr>
                <w:rFonts w:ascii="SimSun" w:hAnsi="SimSun" w:eastAsia="SimSun" w:cs="SimSun"/>
                <w:sz w:val="18"/>
                <w:szCs w:val="18"/>
                <w:color w:val="212529"/>
                <w:spacing w:val="-3"/>
              </w:rPr>
              <w:t>教育支出</w:t>
            </w:r>
          </w:p>
        </w:tc>
        <w:tc>
          <w:tcPr>
            <w:tcW w:w="1573" w:type="dxa"/>
            <w:vAlign w:val="top"/>
          </w:tcPr>
          <w:p>
            <w:pPr>
              <w:ind w:right="31"/>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348" w:type="dxa"/>
            <w:vAlign w:val="top"/>
          </w:tcPr>
          <w:p>
            <w:pPr>
              <w:ind w:right="21"/>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20504</w:t>
            </w:r>
          </w:p>
        </w:tc>
        <w:tc>
          <w:tcPr>
            <w:tcW w:w="3116" w:type="dxa"/>
            <w:vAlign w:val="top"/>
          </w:tcPr>
          <w:p>
            <w:pPr>
              <w:spacing w:before="129" w:line="219" w:lineRule="auto"/>
              <w:rPr>
                <w:rFonts w:ascii="SimSun" w:hAnsi="SimSun" w:eastAsia="SimSun" w:cs="SimSun"/>
                <w:sz w:val="18"/>
                <w:szCs w:val="18"/>
              </w:rPr>
            </w:pPr>
            <w:r>
              <w:rPr>
                <w:rFonts w:ascii="SimSun" w:hAnsi="SimSun" w:eastAsia="SimSun" w:cs="SimSun"/>
                <w:sz w:val="18"/>
                <w:szCs w:val="18"/>
                <w:color w:val="212529"/>
                <w:spacing w:val="-3"/>
              </w:rPr>
              <w:t>成人教育</w:t>
            </w:r>
          </w:p>
        </w:tc>
        <w:tc>
          <w:tcPr>
            <w:tcW w:w="1573" w:type="dxa"/>
            <w:vAlign w:val="top"/>
          </w:tcPr>
          <w:p>
            <w:pPr>
              <w:ind w:right="3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348" w:type="dxa"/>
            <w:vAlign w:val="top"/>
          </w:tcPr>
          <w:p>
            <w:pPr>
              <w:ind w:right="2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2050404</w:t>
            </w:r>
          </w:p>
        </w:tc>
        <w:tc>
          <w:tcPr>
            <w:tcW w:w="3116" w:type="dxa"/>
            <w:vAlign w:val="top"/>
          </w:tcPr>
          <w:p>
            <w:pPr>
              <w:spacing w:before="130" w:line="219" w:lineRule="auto"/>
              <w:rPr>
                <w:rFonts w:ascii="SimSun" w:hAnsi="SimSun" w:eastAsia="SimSun" w:cs="SimSun"/>
                <w:sz w:val="18"/>
                <w:szCs w:val="18"/>
              </w:rPr>
            </w:pPr>
            <w:r>
              <w:rPr>
                <w:rFonts w:ascii="SimSun" w:hAnsi="SimSun" w:eastAsia="SimSun" w:cs="SimSun"/>
                <w:sz w:val="18"/>
                <w:szCs w:val="18"/>
                <w:color w:val="212529"/>
                <w:spacing w:val="-2"/>
              </w:rPr>
              <w:t>成人广播电视教育</w:t>
            </w:r>
          </w:p>
        </w:tc>
        <w:tc>
          <w:tcPr>
            <w:tcW w:w="1573" w:type="dxa"/>
            <w:vAlign w:val="top"/>
          </w:tcPr>
          <w:p>
            <w:pPr>
              <w:ind w:right="31"/>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348" w:type="dxa"/>
            <w:vAlign w:val="top"/>
          </w:tcPr>
          <w:p>
            <w:pPr>
              <w:ind w:right="21"/>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218.32</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3116" w:type="dxa"/>
            <w:vAlign w:val="top"/>
          </w:tcPr>
          <w:p>
            <w:pPr>
              <w:spacing w:before="131" w:line="218"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573" w:type="dxa"/>
            <w:vAlign w:val="top"/>
          </w:tcPr>
          <w:p>
            <w:pPr>
              <w:ind w:right="32"/>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42.37</w:t>
            </w:r>
          </w:p>
        </w:tc>
        <w:tc>
          <w:tcPr>
            <w:tcW w:w="1348" w:type="dxa"/>
            <w:vAlign w:val="top"/>
          </w:tcPr>
          <w:p>
            <w:pPr>
              <w:ind w:right="2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42.37</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3116" w:type="dxa"/>
            <w:vAlign w:val="top"/>
          </w:tcPr>
          <w:p>
            <w:pPr>
              <w:spacing w:before="132"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573" w:type="dxa"/>
            <w:vAlign w:val="top"/>
          </w:tcPr>
          <w:p>
            <w:pPr>
              <w:ind w:right="3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42.37</w:t>
            </w:r>
          </w:p>
        </w:tc>
        <w:tc>
          <w:tcPr>
            <w:tcW w:w="1348" w:type="dxa"/>
            <w:vAlign w:val="top"/>
          </w:tcPr>
          <w:p>
            <w:pPr>
              <w:ind w:right="21"/>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42.37</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2080502</w:t>
            </w:r>
          </w:p>
        </w:tc>
        <w:tc>
          <w:tcPr>
            <w:tcW w:w="3116" w:type="dxa"/>
            <w:vAlign w:val="top"/>
          </w:tcPr>
          <w:p>
            <w:pPr>
              <w:spacing w:before="133" w:line="219" w:lineRule="auto"/>
              <w:rPr>
                <w:rFonts w:ascii="SimSun" w:hAnsi="SimSun" w:eastAsia="SimSun" w:cs="SimSun"/>
                <w:sz w:val="18"/>
                <w:szCs w:val="18"/>
              </w:rPr>
            </w:pPr>
            <w:r>
              <w:rPr>
                <w:rFonts w:ascii="SimSun" w:hAnsi="SimSun" w:eastAsia="SimSun" w:cs="SimSun"/>
                <w:sz w:val="18"/>
                <w:szCs w:val="18"/>
                <w:color w:val="212529"/>
                <w:spacing w:val="-2"/>
              </w:rPr>
              <w:t>事业单位离退休</w:t>
            </w:r>
          </w:p>
        </w:tc>
        <w:tc>
          <w:tcPr>
            <w:tcW w:w="1573" w:type="dxa"/>
            <w:vAlign w:val="top"/>
          </w:tcPr>
          <w:p>
            <w:pPr>
              <w:ind w:right="29"/>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4"/>
              </w:rPr>
              <w:t>10.73</w:t>
            </w:r>
          </w:p>
        </w:tc>
        <w:tc>
          <w:tcPr>
            <w:tcW w:w="1348" w:type="dxa"/>
            <w:vAlign w:val="top"/>
          </w:tcPr>
          <w:p>
            <w:pPr>
              <w:ind w:right="19"/>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4"/>
              </w:rPr>
              <w:t>10.73</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3116" w:type="dxa"/>
            <w:vAlign w:val="top"/>
          </w:tcPr>
          <w:p>
            <w:pPr>
              <w:spacing w:before="134"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573" w:type="dxa"/>
            <w:vAlign w:val="top"/>
          </w:tcPr>
          <w:p>
            <w:pPr>
              <w:ind w:right="3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23.64</w:t>
            </w:r>
          </w:p>
        </w:tc>
        <w:tc>
          <w:tcPr>
            <w:tcW w:w="1348" w:type="dxa"/>
            <w:vAlign w:val="top"/>
          </w:tcPr>
          <w:p>
            <w:pPr>
              <w:ind w:right="2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23.64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2080506</w:t>
            </w:r>
          </w:p>
        </w:tc>
        <w:tc>
          <w:tcPr>
            <w:tcW w:w="3116" w:type="dxa"/>
            <w:vAlign w:val="top"/>
          </w:tcPr>
          <w:p>
            <w:pPr>
              <w:spacing w:before="135" w:line="218"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573" w:type="dxa"/>
            <w:vAlign w:val="top"/>
          </w:tcPr>
          <w:p>
            <w:pPr>
              <w:ind w:right="31"/>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8.00</w:t>
            </w:r>
          </w:p>
        </w:tc>
        <w:tc>
          <w:tcPr>
            <w:tcW w:w="1348" w:type="dxa"/>
            <w:vAlign w:val="top"/>
          </w:tcPr>
          <w:p>
            <w:pPr>
              <w:ind w:right="21"/>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8.00</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3116" w:type="dxa"/>
            <w:vAlign w:val="top"/>
          </w:tcPr>
          <w:p>
            <w:pPr>
              <w:spacing w:before="136"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573" w:type="dxa"/>
            <w:vAlign w:val="top"/>
          </w:tcPr>
          <w:p>
            <w:pPr>
              <w:ind w:right="3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348" w:type="dxa"/>
            <w:vAlign w:val="top"/>
          </w:tcPr>
          <w:p>
            <w:pPr>
              <w:ind w:right="2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573" w:type="dxa"/>
            <w:vAlign w:val="top"/>
          </w:tcPr>
          <w:p>
            <w:pPr>
              <w:ind w:right="3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348" w:type="dxa"/>
            <w:vAlign w:val="top"/>
          </w:tcPr>
          <w:p>
            <w:pPr>
              <w:ind w:right="2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3116"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57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348"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9.74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9"/>
              <w:rPr>
                <w:rFonts w:ascii="SimSun" w:hAnsi="SimSun" w:eastAsia="SimSun" w:cs="SimSun"/>
                <w:sz w:val="18"/>
                <w:szCs w:val="18"/>
              </w:rPr>
            </w:pPr>
            <w:r>
              <w:rPr>
                <w:rFonts w:ascii="SimSun" w:hAnsi="SimSun" w:eastAsia="SimSun" w:cs="SimSun"/>
                <w:sz w:val="18"/>
                <w:szCs w:val="18"/>
                <w:color w:val="212529"/>
                <w:spacing w:val="-3"/>
              </w:rPr>
              <w:t>221</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573"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348" w:type="dxa"/>
            <w:vAlign w:val="top"/>
          </w:tcPr>
          <w:p>
            <w:pPr>
              <w:ind w:right="1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573"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348" w:type="dxa"/>
            <w:vAlign w:val="top"/>
          </w:tcPr>
          <w:p>
            <w:pPr>
              <w:ind w:right="1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42"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3116"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3"/>
              </w:rPr>
              <w:t>住房公积金</w:t>
            </w:r>
          </w:p>
        </w:tc>
        <w:tc>
          <w:tcPr>
            <w:tcW w:w="1573"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348" w:type="dxa"/>
            <w:vAlign w:val="top"/>
          </w:tcPr>
          <w:p>
            <w:pPr>
              <w:ind w:right="1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18.93</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bl>
    <w:p>
      <w:pPr>
        <w:pStyle w:val="BodyText"/>
        <w:rPr/>
      </w:pPr>
      <w:r/>
    </w:p>
    <w:p>
      <w:pPr>
        <w:sectPr>
          <w:headerReference w:type="default" r:id="rId10"/>
          <w:footerReference w:type="default" r:id="rId11"/>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20"/>
        <w:gridCol w:w="3186"/>
        <w:gridCol w:w="1447"/>
        <w:gridCol w:w="1393"/>
        <w:gridCol w:w="1312"/>
      </w:tblGrid>
      <w:tr>
        <w:trPr>
          <w:trHeight w:val="319" w:hRule="atLeast"/>
        </w:trPr>
        <w:tc>
          <w:tcPr>
            <w:tcW w:w="18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18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4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12" w:type="dxa"/>
            <w:vAlign w:val="top"/>
            <w:tcBorders>
              <w:bottom w:val="single" w:color="FFFFFF" w:sz="4" w:space="0"/>
              <w:top w:val="single" w:color="FFFFFF" w:sz="4" w:space="0"/>
              <w:left w:val="single" w:color="FFFFFF" w:sz="2" w:space="0"/>
              <w:right w:val="single" w:color="FFFFFF" w:sz="2" w:space="0"/>
            </w:tcBorders>
          </w:tcPr>
          <w:p>
            <w:pPr>
              <w:ind w:left="573"/>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38" w:id="11"/>
            <w:bookmarkEnd w:id="11"/>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3" w:hRule="atLeast"/>
        </w:trPr>
        <w:tc>
          <w:tcPr>
            <w:tcW w:w="6453" w:type="dxa"/>
            <w:vAlign w:val="top"/>
            <w:gridSpan w:val="3"/>
            <w:tcBorders>
              <w:top w:val="single" w:color="FFFFFF" w:sz="4" w:space="0"/>
              <w:left w:val="single" w:color="FFFFFF" w:sz="2" w:space="0"/>
              <w:right w:val="single" w:color="FFFFFF" w:sz="2" w:space="0"/>
            </w:tcBorders>
          </w:tcPr>
          <w:p>
            <w:pPr>
              <w:ind w:left="9"/>
              <w:spacing w:before="90"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393" w:type="dxa"/>
            <w:vAlign w:val="top"/>
            <w:tcBorders>
              <w:top w:val="single" w:color="FFFFFF" w:sz="4" w:space="0"/>
              <w:left w:val="single" w:color="FFFFFF" w:sz="2" w:space="0"/>
              <w:right w:val="single" w:color="FFFFFF" w:sz="2" w:space="0"/>
            </w:tcBorders>
          </w:tcPr>
          <w:p>
            <w:pPr>
              <w:pStyle w:val="TableText"/>
              <w:rPr/>
            </w:pPr>
            <w:r/>
          </w:p>
        </w:tc>
        <w:tc>
          <w:tcPr>
            <w:tcW w:w="1312" w:type="dxa"/>
            <w:vAlign w:val="top"/>
            <w:tcBorders>
              <w:top w:val="single" w:color="FFFFFF" w:sz="4" w:space="0"/>
              <w:left w:val="single" w:color="FFFFFF" w:sz="2" w:space="0"/>
              <w:right w:val="single" w:color="FFFFFF" w:sz="2" w:space="0"/>
            </w:tcBorders>
          </w:tcPr>
          <w:p>
            <w:pPr>
              <w:ind w:left="639"/>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5006" w:type="dxa"/>
            <w:vAlign w:val="top"/>
            <w:gridSpan w:val="2"/>
          </w:tcPr>
          <w:p>
            <w:pPr>
              <w:ind w:left="2330"/>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52" w:type="dxa"/>
            <w:vAlign w:val="top"/>
            <w:gridSpan w:val="3"/>
          </w:tcPr>
          <w:p>
            <w:pPr>
              <w:ind w:left="1583"/>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3" w:hRule="atLeast"/>
        </w:trPr>
        <w:tc>
          <w:tcPr>
            <w:tcW w:w="1820" w:type="dxa"/>
            <w:vAlign w:val="top"/>
          </w:tcPr>
          <w:p>
            <w:pPr>
              <w:ind w:left="572"/>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86" w:type="dxa"/>
            <w:vAlign w:val="top"/>
          </w:tcPr>
          <w:p>
            <w:pPr>
              <w:ind w:left="1256"/>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47" w:type="dxa"/>
            <w:vAlign w:val="top"/>
          </w:tcPr>
          <w:p>
            <w:pPr>
              <w:ind w:left="553"/>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357"/>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312" w:type="dxa"/>
            <w:vAlign w:val="top"/>
          </w:tcPr>
          <w:p>
            <w:pPr>
              <w:ind w:left="319"/>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5006" w:type="dxa"/>
            <w:vAlign w:val="top"/>
            <w:gridSpan w:val="2"/>
          </w:tcPr>
          <w:p>
            <w:pPr>
              <w:ind w:left="2333"/>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47" w:type="dxa"/>
            <w:vAlign w:val="top"/>
          </w:tcPr>
          <w:p>
            <w:pPr>
              <w:pStyle w:val="TableText"/>
              <w:ind w:left="937"/>
              <w:spacing w:before="99"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1393" w:type="dxa"/>
            <w:vAlign w:val="top"/>
          </w:tcPr>
          <w:p>
            <w:pPr>
              <w:pStyle w:val="TableText"/>
              <w:ind w:left="881"/>
              <w:spacing w:before="99" w:line="172" w:lineRule="auto"/>
              <w:rPr>
                <w:sz w:val="14"/>
                <w:szCs w:val="14"/>
              </w:rPr>
            </w:pPr>
            <w:r>
              <w:rPr>
                <w:sz w:val="14"/>
                <w:szCs w:val="14"/>
                <w:color w:val="212529"/>
              </w:rPr>
              <w:t>267.</w:t>
            </w:r>
            <w:r>
              <w:rPr>
                <w:sz w:val="14"/>
                <w:szCs w:val="14"/>
                <w:color w:val="212529"/>
                <w:spacing w:val="6"/>
              </w:rPr>
              <w:t xml:space="preserve"> </w:t>
            </w:r>
            <w:r>
              <w:rPr>
                <w:sz w:val="14"/>
                <w:szCs w:val="14"/>
                <w:color w:val="212529"/>
              </w:rPr>
              <w:t>37</w:t>
            </w:r>
          </w:p>
        </w:tc>
        <w:tc>
          <w:tcPr>
            <w:tcW w:w="1312" w:type="dxa"/>
            <w:vAlign w:val="top"/>
          </w:tcPr>
          <w:p>
            <w:pPr>
              <w:pStyle w:val="TableText"/>
              <w:ind w:left="882"/>
              <w:spacing w:before="99" w:line="186" w:lineRule="auto"/>
              <w:rPr>
                <w:sz w:val="13"/>
                <w:szCs w:val="13"/>
              </w:rPr>
            </w:pPr>
            <w:r>
              <w:rPr>
                <w:sz w:val="13"/>
                <w:szCs w:val="13"/>
                <w:color w:val="212529"/>
                <w:spacing w:val="4"/>
              </w:rPr>
              <w:t>22.</w:t>
            </w:r>
            <w:r>
              <w:rPr>
                <w:sz w:val="13"/>
                <w:szCs w:val="13"/>
                <w:color w:val="212529"/>
                <w:spacing w:val="11"/>
                <w:w w:val="101"/>
              </w:rPr>
              <w:t xml:space="preserve"> </w:t>
            </w:r>
            <w:r>
              <w:rPr>
                <w:sz w:val="13"/>
                <w:szCs w:val="13"/>
                <w:color w:val="212529"/>
                <w:spacing w:val="4"/>
              </w:rPr>
              <w:t>00</w:t>
            </w:r>
          </w:p>
        </w:tc>
      </w:tr>
      <w:tr>
        <w:trPr>
          <w:trHeight w:val="314" w:hRule="atLeast"/>
        </w:trPr>
        <w:tc>
          <w:tcPr>
            <w:tcW w:w="1820"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2"/>
                <w:position w:val="1"/>
              </w:rPr>
              <w:t>205</w:t>
            </w:r>
          </w:p>
        </w:tc>
        <w:tc>
          <w:tcPr>
            <w:tcW w:w="3186" w:type="dxa"/>
            <w:vAlign w:val="top"/>
          </w:tcPr>
          <w:p>
            <w:pPr>
              <w:ind w:left="7"/>
              <w:spacing w:before="80" w:line="229" w:lineRule="auto"/>
              <w:rPr>
                <w:rFonts w:ascii="SimSun" w:hAnsi="SimSun" w:eastAsia="SimSun" w:cs="SimSun"/>
                <w:sz w:val="15"/>
                <w:szCs w:val="15"/>
              </w:rPr>
            </w:pPr>
            <w:r>
              <w:rPr>
                <w:rFonts w:ascii="SimSun" w:hAnsi="SimSun" w:eastAsia="SimSun" w:cs="SimSun"/>
                <w:sz w:val="15"/>
                <w:szCs w:val="15"/>
                <w:color w:val="212529"/>
                <w:spacing w:val="9"/>
              </w:rPr>
              <w:t>教育支出</w:t>
            </w:r>
          </w:p>
        </w:tc>
        <w:tc>
          <w:tcPr>
            <w:tcW w:w="1447" w:type="dxa"/>
            <w:vAlign w:val="top"/>
          </w:tcPr>
          <w:p>
            <w:pPr>
              <w:ind w:right="22"/>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393" w:type="dxa"/>
            <w:vAlign w:val="top"/>
          </w:tcPr>
          <w:p>
            <w:pPr>
              <w:pStyle w:val="TableText"/>
              <w:ind w:left="891"/>
              <w:spacing w:before="99" w:line="187" w:lineRule="auto"/>
              <w:rPr>
                <w:sz w:val="13"/>
                <w:szCs w:val="13"/>
              </w:rPr>
            </w:pPr>
            <w:r>
              <w:rPr>
                <w:sz w:val="13"/>
                <w:szCs w:val="13"/>
                <w:color w:val="212529"/>
                <w:spacing w:val="3"/>
              </w:rPr>
              <w:t>196.</w:t>
            </w:r>
            <w:r>
              <w:rPr>
                <w:sz w:val="13"/>
                <w:szCs w:val="13"/>
                <w:color w:val="212529"/>
                <w:spacing w:val="11"/>
              </w:rPr>
              <w:t xml:space="preserve"> </w:t>
            </w:r>
            <w:r>
              <w:rPr>
                <w:sz w:val="13"/>
                <w:szCs w:val="13"/>
                <w:color w:val="212529"/>
                <w:spacing w:val="3"/>
              </w:rPr>
              <w:t>32</w:t>
            </w:r>
          </w:p>
        </w:tc>
        <w:tc>
          <w:tcPr>
            <w:tcW w:w="1312" w:type="dxa"/>
            <w:vAlign w:val="top"/>
          </w:tcPr>
          <w:p>
            <w:pPr>
              <w:pStyle w:val="TableText"/>
              <w:ind w:left="882"/>
              <w:spacing w:before="99" w:line="186" w:lineRule="auto"/>
              <w:rPr>
                <w:sz w:val="13"/>
                <w:szCs w:val="13"/>
              </w:rPr>
            </w:pPr>
            <w:r>
              <w:rPr>
                <w:sz w:val="13"/>
                <w:szCs w:val="13"/>
                <w:color w:val="212529"/>
                <w:spacing w:val="4"/>
              </w:rPr>
              <w:t>22.</w:t>
            </w:r>
            <w:r>
              <w:rPr>
                <w:sz w:val="13"/>
                <w:szCs w:val="13"/>
                <w:color w:val="212529"/>
                <w:spacing w:val="11"/>
                <w:w w:val="101"/>
              </w:rPr>
              <w:t xml:space="preserve"> </w:t>
            </w:r>
            <w:r>
              <w:rPr>
                <w:sz w:val="13"/>
                <w:szCs w:val="13"/>
                <w:color w:val="212529"/>
                <w:spacing w:val="4"/>
              </w:rPr>
              <w:t>00</w:t>
            </w:r>
          </w:p>
        </w:tc>
      </w:tr>
      <w:tr>
        <w:trPr>
          <w:trHeight w:val="313" w:hRule="atLeast"/>
        </w:trPr>
        <w:tc>
          <w:tcPr>
            <w:tcW w:w="1820"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20504</w:t>
            </w:r>
          </w:p>
        </w:tc>
        <w:tc>
          <w:tcPr>
            <w:tcW w:w="3186" w:type="dxa"/>
            <w:vAlign w:val="top"/>
          </w:tcPr>
          <w:p>
            <w:pPr>
              <w:ind w:left="7"/>
              <w:spacing w:before="80" w:line="229" w:lineRule="auto"/>
              <w:rPr>
                <w:rFonts w:ascii="SimSun" w:hAnsi="SimSun" w:eastAsia="SimSun" w:cs="SimSun"/>
                <w:sz w:val="15"/>
                <w:szCs w:val="15"/>
              </w:rPr>
            </w:pPr>
            <w:r>
              <w:rPr>
                <w:rFonts w:ascii="SimSun" w:hAnsi="SimSun" w:eastAsia="SimSun" w:cs="SimSun"/>
                <w:sz w:val="15"/>
                <w:szCs w:val="15"/>
                <w:color w:val="212529"/>
                <w:spacing w:val="9"/>
              </w:rPr>
              <w:t>成人教育</w:t>
            </w:r>
          </w:p>
        </w:tc>
        <w:tc>
          <w:tcPr>
            <w:tcW w:w="1447" w:type="dxa"/>
            <w:vAlign w:val="top"/>
          </w:tcPr>
          <w:p>
            <w:pPr>
              <w:ind w:right="22"/>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393" w:type="dxa"/>
            <w:vAlign w:val="top"/>
          </w:tcPr>
          <w:p>
            <w:pPr>
              <w:pStyle w:val="TableText"/>
              <w:ind w:left="891"/>
              <w:spacing w:before="99" w:line="162" w:lineRule="auto"/>
              <w:rPr>
                <w:sz w:val="15"/>
                <w:szCs w:val="15"/>
              </w:rPr>
            </w:pPr>
            <w:r>
              <w:rPr>
                <w:sz w:val="15"/>
                <w:szCs w:val="15"/>
                <w:color w:val="212529"/>
              </w:rPr>
              <w:t>196.32</w:t>
            </w:r>
          </w:p>
        </w:tc>
        <w:tc>
          <w:tcPr>
            <w:tcW w:w="1312" w:type="dxa"/>
            <w:vAlign w:val="top"/>
          </w:tcPr>
          <w:p>
            <w:pPr>
              <w:pStyle w:val="TableText"/>
              <w:ind w:left="882"/>
              <w:spacing w:before="99" w:line="186" w:lineRule="auto"/>
              <w:rPr>
                <w:sz w:val="13"/>
                <w:szCs w:val="13"/>
              </w:rPr>
            </w:pPr>
            <w:r>
              <w:rPr>
                <w:sz w:val="13"/>
                <w:szCs w:val="13"/>
                <w:color w:val="212529"/>
                <w:spacing w:val="4"/>
              </w:rPr>
              <w:t>22.</w:t>
            </w:r>
            <w:r>
              <w:rPr>
                <w:sz w:val="13"/>
                <w:szCs w:val="13"/>
                <w:color w:val="212529"/>
                <w:spacing w:val="11"/>
                <w:w w:val="101"/>
              </w:rPr>
              <w:t xml:space="preserve"> </w:t>
            </w:r>
            <w:r>
              <w:rPr>
                <w:sz w:val="13"/>
                <w:szCs w:val="13"/>
                <w:color w:val="212529"/>
                <w:spacing w:val="4"/>
              </w:rPr>
              <w:t>00</w:t>
            </w:r>
          </w:p>
        </w:tc>
      </w:tr>
      <w:tr>
        <w:trPr>
          <w:trHeight w:val="314" w:hRule="atLeast"/>
        </w:trPr>
        <w:tc>
          <w:tcPr>
            <w:tcW w:w="1820"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2050404</w:t>
            </w:r>
          </w:p>
        </w:tc>
        <w:tc>
          <w:tcPr>
            <w:tcW w:w="3186" w:type="dxa"/>
            <w:vAlign w:val="top"/>
          </w:tcPr>
          <w:p>
            <w:pPr>
              <w:ind w:left="7"/>
              <w:spacing w:before="82" w:line="229" w:lineRule="auto"/>
              <w:rPr>
                <w:rFonts w:ascii="SimSun" w:hAnsi="SimSun" w:eastAsia="SimSun" w:cs="SimSun"/>
                <w:sz w:val="15"/>
                <w:szCs w:val="15"/>
              </w:rPr>
            </w:pPr>
            <w:r>
              <w:rPr>
                <w:rFonts w:ascii="SimSun" w:hAnsi="SimSun" w:eastAsia="SimSun" w:cs="SimSun"/>
                <w:sz w:val="15"/>
                <w:szCs w:val="15"/>
                <w:color w:val="212529"/>
                <w:spacing w:val="10"/>
              </w:rPr>
              <w:t>成人广播电视教育</w:t>
            </w:r>
          </w:p>
        </w:tc>
        <w:tc>
          <w:tcPr>
            <w:tcW w:w="1447"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393"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196.32</w:t>
            </w:r>
          </w:p>
        </w:tc>
        <w:tc>
          <w:tcPr>
            <w:tcW w:w="1312"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r>
      <w:tr>
        <w:trPr>
          <w:trHeight w:val="314" w:hRule="atLeast"/>
        </w:trPr>
        <w:tc>
          <w:tcPr>
            <w:tcW w:w="1820"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86" w:type="dxa"/>
            <w:vAlign w:val="top"/>
          </w:tcPr>
          <w:p>
            <w:pPr>
              <w:ind w:left="7"/>
              <w:spacing w:before="82"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47"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393" w:type="dxa"/>
            <w:vAlign w:val="top"/>
          </w:tcPr>
          <w:p>
            <w:pPr>
              <w:pStyle w:val="TableText"/>
              <w:ind w:left="960"/>
              <w:spacing w:before="101" w:line="186" w:lineRule="auto"/>
              <w:rPr>
                <w:sz w:val="13"/>
                <w:szCs w:val="13"/>
              </w:rPr>
            </w:pPr>
            <w:r>
              <w:rPr>
                <w:sz w:val="13"/>
                <w:szCs w:val="13"/>
                <w:color w:val="212529"/>
                <w:spacing w:val="4"/>
              </w:rPr>
              <w:t>42.</w:t>
            </w:r>
            <w:r>
              <w:rPr>
                <w:sz w:val="13"/>
                <w:szCs w:val="13"/>
                <w:color w:val="212529"/>
                <w:spacing w:val="12"/>
                <w:w w:val="102"/>
              </w:rPr>
              <w:t xml:space="preserve"> </w:t>
            </w:r>
            <w:r>
              <w:rPr>
                <w:sz w:val="13"/>
                <w:szCs w:val="13"/>
                <w:color w:val="212529"/>
                <w:spacing w:val="4"/>
              </w:rPr>
              <w:t>37</w:t>
            </w:r>
          </w:p>
        </w:tc>
        <w:tc>
          <w:tcPr>
            <w:tcW w:w="1312" w:type="dxa"/>
            <w:vAlign w:val="top"/>
          </w:tcPr>
          <w:p>
            <w:pPr>
              <w:pStyle w:val="TableText"/>
              <w:rPr/>
            </w:pPr>
            <w:r/>
          </w:p>
        </w:tc>
      </w:tr>
      <w:tr>
        <w:trPr>
          <w:trHeight w:val="314" w:hRule="atLeast"/>
        </w:trPr>
        <w:tc>
          <w:tcPr>
            <w:tcW w:w="1820"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86" w:type="dxa"/>
            <w:vAlign w:val="top"/>
          </w:tcPr>
          <w:p>
            <w:pPr>
              <w:ind w:left="5"/>
              <w:spacing w:before="82"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47"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393" w:type="dxa"/>
            <w:vAlign w:val="top"/>
          </w:tcPr>
          <w:p>
            <w:pPr>
              <w:pStyle w:val="TableText"/>
              <w:ind w:left="960"/>
              <w:spacing w:before="102" w:line="186" w:lineRule="auto"/>
              <w:rPr>
                <w:sz w:val="13"/>
                <w:szCs w:val="13"/>
              </w:rPr>
            </w:pPr>
            <w:r>
              <w:rPr>
                <w:sz w:val="13"/>
                <w:szCs w:val="13"/>
                <w:color w:val="212529"/>
                <w:spacing w:val="4"/>
              </w:rPr>
              <w:t>42.</w:t>
            </w:r>
            <w:r>
              <w:rPr>
                <w:sz w:val="13"/>
                <w:szCs w:val="13"/>
                <w:color w:val="212529"/>
                <w:spacing w:val="12"/>
                <w:w w:val="102"/>
              </w:rPr>
              <w:t xml:space="preserve"> </w:t>
            </w:r>
            <w:r>
              <w:rPr>
                <w:sz w:val="13"/>
                <w:szCs w:val="13"/>
                <w:color w:val="212529"/>
                <w:spacing w:val="4"/>
              </w:rPr>
              <w:t>37</w:t>
            </w:r>
          </w:p>
        </w:tc>
        <w:tc>
          <w:tcPr>
            <w:tcW w:w="1312" w:type="dxa"/>
            <w:vAlign w:val="top"/>
          </w:tcPr>
          <w:p>
            <w:pPr>
              <w:pStyle w:val="TableText"/>
              <w:rPr/>
            </w:pPr>
            <w:r/>
          </w:p>
        </w:tc>
      </w:tr>
      <w:tr>
        <w:trPr>
          <w:trHeight w:val="314" w:hRule="atLeast"/>
        </w:trPr>
        <w:tc>
          <w:tcPr>
            <w:tcW w:w="1820"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2080502</w:t>
            </w:r>
          </w:p>
        </w:tc>
        <w:tc>
          <w:tcPr>
            <w:tcW w:w="3186" w:type="dxa"/>
            <w:vAlign w:val="top"/>
          </w:tcPr>
          <w:p>
            <w:pPr>
              <w:ind w:left="7"/>
              <w:spacing w:before="83" w:line="229" w:lineRule="auto"/>
              <w:rPr>
                <w:rFonts w:ascii="SimSun" w:hAnsi="SimSun" w:eastAsia="SimSun" w:cs="SimSun"/>
                <w:sz w:val="15"/>
                <w:szCs w:val="15"/>
              </w:rPr>
            </w:pPr>
            <w:r>
              <w:rPr>
                <w:rFonts w:ascii="SimSun" w:hAnsi="SimSun" w:eastAsia="SimSun" w:cs="SimSun"/>
                <w:sz w:val="15"/>
                <w:szCs w:val="15"/>
                <w:color w:val="212529"/>
                <w:spacing w:val="10"/>
              </w:rPr>
              <w:t>事业单位离退休</w:t>
            </w:r>
          </w:p>
        </w:tc>
        <w:tc>
          <w:tcPr>
            <w:tcW w:w="1447"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393"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312" w:type="dxa"/>
            <w:vAlign w:val="top"/>
          </w:tcPr>
          <w:p>
            <w:pPr>
              <w:pStyle w:val="TableText"/>
              <w:rPr/>
            </w:pPr>
            <w:r/>
          </w:p>
        </w:tc>
      </w:tr>
      <w:tr>
        <w:trPr>
          <w:trHeight w:val="314" w:hRule="atLeast"/>
        </w:trPr>
        <w:tc>
          <w:tcPr>
            <w:tcW w:w="1820"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86" w:type="dxa"/>
            <w:vAlign w:val="top"/>
          </w:tcPr>
          <w:p>
            <w:pPr>
              <w:ind w:left="5"/>
              <w:spacing w:before="8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47"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w:t>
            </w:r>
          </w:p>
        </w:tc>
        <w:tc>
          <w:tcPr>
            <w:tcW w:w="1393"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w:t>
            </w:r>
          </w:p>
        </w:tc>
        <w:tc>
          <w:tcPr>
            <w:tcW w:w="1312" w:type="dxa"/>
            <w:vAlign w:val="top"/>
          </w:tcPr>
          <w:p>
            <w:pPr>
              <w:pStyle w:val="TableText"/>
              <w:rPr/>
            </w:pPr>
            <w:r/>
          </w:p>
        </w:tc>
      </w:tr>
      <w:tr>
        <w:trPr>
          <w:trHeight w:val="314" w:hRule="atLeast"/>
        </w:trPr>
        <w:tc>
          <w:tcPr>
            <w:tcW w:w="1820"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186" w:type="dxa"/>
            <w:vAlign w:val="top"/>
          </w:tcPr>
          <w:p>
            <w:pPr>
              <w:ind w:left="5"/>
              <w:spacing w:before="84"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447" w:type="dxa"/>
            <w:vAlign w:val="top"/>
          </w:tcPr>
          <w:p>
            <w:pPr>
              <w:ind w:right="22"/>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393" w:type="dxa"/>
            <w:vAlign w:val="top"/>
          </w:tcPr>
          <w:p>
            <w:pPr>
              <w:ind w:right="24"/>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312" w:type="dxa"/>
            <w:vAlign w:val="top"/>
          </w:tcPr>
          <w:p>
            <w:pPr>
              <w:pStyle w:val="TableText"/>
              <w:rPr/>
            </w:pPr>
            <w:r/>
          </w:p>
        </w:tc>
      </w:tr>
      <w:tr>
        <w:trPr>
          <w:trHeight w:val="314" w:hRule="atLeast"/>
        </w:trPr>
        <w:tc>
          <w:tcPr>
            <w:tcW w:w="1820"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86" w:type="dxa"/>
            <w:vAlign w:val="top"/>
          </w:tcPr>
          <w:p>
            <w:pPr>
              <w:ind w:left="7"/>
              <w:spacing w:before="84"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47"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393" w:type="dxa"/>
            <w:vAlign w:val="top"/>
          </w:tcPr>
          <w:p>
            <w:pPr>
              <w:pStyle w:val="TableText"/>
              <w:rPr/>
            </w:pPr>
            <w:r/>
          </w:p>
        </w:tc>
        <w:tc>
          <w:tcPr>
            <w:tcW w:w="1312" w:type="dxa"/>
            <w:vAlign w:val="top"/>
          </w:tcPr>
          <w:p>
            <w:pPr>
              <w:pStyle w:val="TableText"/>
              <w:rPr/>
            </w:pPr>
            <w:r/>
          </w:p>
        </w:tc>
      </w:tr>
      <w:tr>
        <w:trPr>
          <w:trHeight w:val="314" w:hRule="atLeast"/>
        </w:trPr>
        <w:tc>
          <w:tcPr>
            <w:tcW w:w="1820"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86" w:type="dxa"/>
            <w:vAlign w:val="top"/>
          </w:tcPr>
          <w:p>
            <w:pPr>
              <w:ind w:left="5"/>
              <w:spacing w:before="84"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47"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393" w:type="dxa"/>
            <w:vAlign w:val="top"/>
          </w:tcPr>
          <w:p>
            <w:pPr>
              <w:pStyle w:val="TableText"/>
              <w:ind w:left="1042"/>
              <w:spacing w:before="103" w:line="186" w:lineRule="auto"/>
              <w:rPr>
                <w:sz w:val="13"/>
                <w:szCs w:val="13"/>
              </w:rPr>
            </w:pPr>
            <w:r>
              <w:rPr>
                <w:sz w:val="13"/>
                <w:szCs w:val="13"/>
                <w:color w:val="212529"/>
                <w:spacing w:val="4"/>
              </w:rPr>
              <w:t>9.</w:t>
            </w:r>
            <w:r>
              <w:rPr>
                <w:sz w:val="13"/>
                <w:szCs w:val="13"/>
                <w:color w:val="212529"/>
                <w:spacing w:val="10"/>
                <w:w w:val="101"/>
              </w:rPr>
              <w:t xml:space="preserve"> </w:t>
            </w:r>
            <w:r>
              <w:rPr>
                <w:sz w:val="13"/>
                <w:szCs w:val="13"/>
                <w:color w:val="212529"/>
                <w:spacing w:val="4"/>
              </w:rPr>
              <w:t>74</w:t>
            </w:r>
          </w:p>
        </w:tc>
        <w:tc>
          <w:tcPr>
            <w:tcW w:w="1312" w:type="dxa"/>
            <w:vAlign w:val="top"/>
          </w:tcPr>
          <w:p>
            <w:pPr>
              <w:pStyle w:val="TableText"/>
              <w:rPr/>
            </w:pPr>
            <w:r/>
          </w:p>
        </w:tc>
      </w:tr>
      <w:tr>
        <w:trPr>
          <w:trHeight w:val="314" w:hRule="atLeast"/>
        </w:trPr>
        <w:tc>
          <w:tcPr>
            <w:tcW w:w="1820"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86" w:type="dxa"/>
            <w:vAlign w:val="top"/>
          </w:tcPr>
          <w:p>
            <w:pPr>
              <w:ind w:left="7"/>
              <w:spacing w:before="8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47" w:type="dxa"/>
            <w:vAlign w:val="top"/>
          </w:tcPr>
          <w:p>
            <w:pPr>
              <w:ind w:right="22"/>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393" w:type="dxa"/>
            <w:vAlign w:val="top"/>
          </w:tcPr>
          <w:p>
            <w:pPr>
              <w:ind w:right="24"/>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312" w:type="dxa"/>
            <w:vAlign w:val="top"/>
          </w:tcPr>
          <w:p>
            <w:pPr>
              <w:pStyle w:val="TableText"/>
              <w:rPr/>
            </w:pPr>
            <w:r/>
          </w:p>
        </w:tc>
      </w:tr>
      <w:tr>
        <w:trPr>
          <w:trHeight w:val="314" w:hRule="atLeast"/>
        </w:trPr>
        <w:tc>
          <w:tcPr>
            <w:tcW w:w="1820" w:type="dxa"/>
            <w:vAlign w:val="top"/>
          </w:tcPr>
          <w:p>
            <w:pPr>
              <w:ind w:left="8"/>
              <w:spacing w:before="8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86" w:type="dxa"/>
            <w:vAlign w:val="top"/>
          </w:tcPr>
          <w:p>
            <w:pPr>
              <w:ind w:left="6"/>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47" w:type="dxa"/>
            <w:vAlign w:val="top"/>
          </w:tcPr>
          <w:p>
            <w:pPr>
              <w:ind w:right="22"/>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93" w:type="dxa"/>
            <w:vAlign w:val="top"/>
          </w:tcPr>
          <w:p>
            <w:pPr>
              <w:pStyle w:val="TableText"/>
              <w:ind w:left="972"/>
              <w:spacing w:before="104" w:line="186" w:lineRule="auto"/>
              <w:rPr>
                <w:sz w:val="13"/>
                <w:szCs w:val="13"/>
              </w:rPr>
            </w:pPr>
            <w:r>
              <w:rPr>
                <w:sz w:val="13"/>
                <w:szCs w:val="13"/>
                <w:color w:val="212529"/>
                <w:spacing w:val="1"/>
              </w:rPr>
              <w:t>18.</w:t>
            </w:r>
            <w:r>
              <w:rPr>
                <w:sz w:val="13"/>
                <w:szCs w:val="13"/>
                <w:color w:val="212529"/>
                <w:spacing w:val="14"/>
                <w:w w:val="102"/>
              </w:rPr>
              <w:t xml:space="preserve"> </w:t>
            </w:r>
            <w:r>
              <w:rPr>
                <w:sz w:val="13"/>
                <w:szCs w:val="13"/>
                <w:color w:val="212529"/>
                <w:spacing w:val="1"/>
              </w:rPr>
              <w:t>93</w:t>
            </w:r>
          </w:p>
        </w:tc>
        <w:tc>
          <w:tcPr>
            <w:tcW w:w="1312" w:type="dxa"/>
            <w:vAlign w:val="top"/>
          </w:tcPr>
          <w:p>
            <w:pPr>
              <w:pStyle w:val="TableText"/>
              <w:rPr/>
            </w:pPr>
            <w:r/>
          </w:p>
        </w:tc>
      </w:tr>
      <w:tr>
        <w:trPr>
          <w:trHeight w:val="314" w:hRule="atLeast"/>
        </w:trPr>
        <w:tc>
          <w:tcPr>
            <w:tcW w:w="1820"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86" w:type="dxa"/>
            <w:vAlign w:val="top"/>
          </w:tcPr>
          <w:p>
            <w:pPr>
              <w:ind w:left="6"/>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47" w:type="dxa"/>
            <w:vAlign w:val="top"/>
          </w:tcPr>
          <w:p>
            <w:pPr>
              <w:ind w:right="22"/>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93" w:type="dxa"/>
            <w:vAlign w:val="top"/>
          </w:tcPr>
          <w:p>
            <w:pPr>
              <w:pStyle w:val="TableText"/>
              <w:ind w:left="972"/>
              <w:spacing w:before="104" w:line="186" w:lineRule="auto"/>
              <w:rPr>
                <w:sz w:val="13"/>
                <w:szCs w:val="13"/>
              </w:rPr>
            </w:pPr>
            <w:r>
              <w:rPr>
                <w:sz w:val="13"/>
                <w:szCs w:val="13"/>
                <w:color w:val="212529"/>
                <w:spacing w:val="1"/>
              </w:rPr>
              <w:t>18.</w:t>
            </w:r>
            <w:r>
              <w:rPr>
                <w:sz w:val="13"/>
                <w:szCs w:val="13"/>
                <w:color w:val="212529"/>
                <w:spacing w:val="14"/>
                <w:w w:val="102"/>
              </w:rPr>
              <w:t xml:space="preserve"> </w:t>
            </w:r>
            <w:r>
              <w:rPr>
                <w:sz w:val="13"/>
                <w:szCs w:val="13"/>
                <w:color w:val="212529"/>
                <w:spacing w:val="1"/>
              </w:rPr>
              <w:t>93</w:t>
            </w:r>
          </w:p>
        </w:tc>
        <w:tc>
          <w:tcPr>
            <w:tcW w:w="1312" w:type="dxa"/>
            <w:vAlign w:val="top"/>
          </w:tcPr>
          <w:p>
            <w:pPr>
              <w:pStyle w:val="TableText"/>
              <w:rPr/>
            </w:pPr>
            <w:r/>
          </w:p>
        </w:tc>
      </w:tr>
      <w:tr>
        <w:trPr>
          <w:trHeight w:val="319" w:hRule="atLeast"/>
        </w:trPr>
        <w:tc>
          <w:tcPr>
            <w:tcW w:w="1820"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86" w:type="dxa"/>
            <w:vAlign w:val="top"/>
          </w:tcPr>
          <w:p>
            <w:pPr>
              <w:ind w:left="6"/>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47" w:type="dxa"/>
            <w:vAlign w:val="top"/>
          </w:tcPr>
          <w:p>
            <w:pPr>
              <w:ind w:right="22"/>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93" w:type="dxa"/>
            <w:vAlign w:val="top"/>
          </w:tcPr>
          <w:p>
            <w:pPr>
              <w:ind w:right="24"/>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12" w:type="dxa"/>
            <w:vAlign w:val="top"/>
          </w:tcPr>
          <w:p>
            <w:pPr>
              <w:pStyle w:val="TableText"/>
              <w:rPr/>
            </w:pPr>
            <w:r/>
          </w:p>
        </w:tc>
      </w:tr>
    </w:tbl>
    <w:p>
      <w:pPr>
        <w:pStyle w:val="BodyText"/>
        <w:rPr/>
      </w:pPr>
      <w:r/>
    </w:p>
    <w:p>
      <w:pPr>
        <w:sectPr>
          <w:headerReference w:type="default" r:id="rId12"/>
          <w:footerReference w:type="default" r:id="rId13"/>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17"/>
        <w:gridCol w:w="1069"/>
        <w:gridCol w:w="1998"/>
        <w:gridCol w:w="1069"/>
        <w:gridCol w:w="1101"/>
        <w:gridCol w:w="886"/>
        <w:gridCol w:w="1118"/>
      </w:tblGrid>
      <w:tr>
        <w:trPr>
          <w:trHeight w:val="384" w:hRule="atLeast"/>
        </w:trPr>
        <w:tc>
          <w:tcPr>
            <w:tcW w:w="19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9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004" w:type="dxa"/>
            <w:vAlign w:val="top"/>
            <w:gridSpan w:val="2"/>
            <w:tcBorders>
              <w:bottom w:val="single" w:color="FFFFFF" w:sz="4" w:space="0"/>
              <w:top w:val="single" w:color="FFFFFF" w:sz="4" w:space="0"/>
              <w:left w:val="single" w:color="FFFFFF" w:sz="2" w:space="0"/>
              <w:right w:val="single" w:color="FFFFFF" w:sz="2" w:space="0"/>
            </w:tcBorders>
          </w:tcPr>
          <w:p>
            <w:pPr>
              <w:ind w:left="1188"/>
              <w:spacing w:before="115" w:line="225" w:lineRule="auto"/>
              <w:rPr>
                <w:rFonts w:ascii="SimSun" w:hAnsi="SimSun" w:eastAsia="SimSun" w:cs="SimSun"/>
                <w:sz w:val="14"/>
                <w:szCs w:val="14"/>
              </w:rPr>
            </w:pPr>
            <w:r>
              <w:rPr>
                <w:rFonts w:ascii="SimSun" w:hAnsi="SimSun" w:eastAsia="SimSun" w:cs="SimSun"/>
                <w:sz w:val="14"/>
                <w:szCs w:val="14"/>
                <w:color w:val="212529"/>
              </w:rPr>
              <w:t>预</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9"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040" w:type="dxa"/>
            <w:vAlign w:val="top"/>
            <w:gridSpan w:val="6"/>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118" w:type="dxa"/>
            <w:vAlign w:val="top"/>
            <w:tcBorders>
              <w:top w:val="single" w:color="FFFFFF" w:sz="4" w:space="0"/>
              <w:left w:val="single" w:color="FFFFFF" w:sz="2" w:space="0"/>
              <w:right w:val="single" w:color="FFFFFF" w:sz="2" w:space="0"/>
            </w:tcBorders>
          </w:tcPr>
          <w:p>
            <w:pPr>
              <w:ind w:left="445"/>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86" w:type="dxa"/>
            <w:vAlign w:val="top"/>
            <w:gridSpan w:val="2"/>
          </w:tcPr>
          <w:p>
            <w:pPr>
              <w:ind w:left="132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72" w:type="dxa"/>
            <w:vAlign w:val="top"/>
            <w:gridSpan w:val="5"/>
          </w:tcPr>
          <w:p>
            <w:pPr>
              <w:ind w:left="2914"/>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917" w:type="dxa"/>
            <w:vAlign w:val="top"/>
            <w:vMerge w:val="restart"/>
            <w:tcBorders>
              <w:bottom w:val="nil"/>
            </w:tcBorders>
          </w:tcPr>
          <w:p>
            <w:pPr>
              <w:ind w:left="782"/>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069" w:type="dxa"/>
            <w:vAlign w:val="top"/>
            <w:vMerge w:val="restart"/>
            <w:tcBorders>
              <w:bottom w:val="nil"/>
            </w:tcBorders>
          </w:tcPr>
          <w:p>
            <w:pPr>
              <w:ind w:left="359"/>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98" w:type="dxa"/>
            <w:vAlign w:val="top"/>
            <w:vMerge w:val="restart"/>
            <w:tcBorders>
              <w:bottom w:val="nil"/>
            </w:tcBorders>
          </w:tcPr>
          <w:p>
            <w:pPr>
              <w:ind w:left="826"/>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74" w:type="dxa"/>
            <w:vAlign w:val="top"/>
            <w:gridSpan w:val="4"/>
          </w:tcPr>
          <w:p>
            <w:pPr>
              <w:ind w:left="191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917" w:type="dxa"/>
            <w:vAlign w:val="top"/>
            <w:vMerge w:val="continue"/>
            <w:tcBorders>
              <w:top w:val="nil"/>
            </w:tcBorders>
          </w:tcPr>
          <w:p>
            <w:pPr>
              <w:pStyle w:val="TableText"/>
              <w:rPr/>
            </w:pPr>
            <w:r/>
          </w:p>
        </w:tc>
        <w:tc>
          <w:tcPr>
            <w:tcW w:w="1069" w:type="dxa"/>
            <w:vAlign w:val="top"/>
            <w:vMerge w:val="continue"/>
            <w:tcBorders>
              <w:top w:val="nil"/>
            </w:tcBorders>
          </w:tcPr>
          <w:p>
            <w:pPr>
              <w:pStyle w:val="TableText"/>
              <w:rPr/>
            </w:pPr>
            <w:r/>
          </w:p>
        </w:tc>
        <w:tc>
          <w:tcPr>
            <w:tcW w:w="1998" w:type="dxa"/>
            <w:vAlign w:val="top"/>
            <w:vMerge w:val="continue"/>
            <w:tcBorders>
              <w:top w:val="nil"/>
            </w:tcBorders>
          </w:tcPr>
          <w:p>
            <w:pPr>
              <w:pStyle w:val="TableText"/>
              <w:rPr/>
            </w:pPr>
            <w:r/>
          </w:p>
        </w:tc>
        <w:tc>
          <w:tcPr>
            <w:tcW w:w="1069" w:type="dxa"/>
            <w:vAlign w:val="top"/>
          </w:tcPr>
          <w:p>
            <w:pPr>
              <w:ind w:left="368"/>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01" w:type="dxa"/>
            <w:vAlign w:val="top"/>
          </w:tcPr>
          <w:p>
            <w:pPr>
              <w:ind w:left="57"/>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86" w:type="dxa"/>
            <w:vAlign w:val="top"/>
          </w:tcPr>
          <w:p>
            <w:pPr>
              <w:ind w:left="273" w:right="37"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118" w:type="dxa"/>
            <w:vAlign w:val="top"/>
          </w:tcPr>
          <w:p>
            <w:pPr>
              <w:ind w:left="386" w:right="77"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917"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069" w:type="dxa"/>
            <w:vAlign w:val="top"/>
          </w:tcPr>
          <w:p>
            <w:pPr>
              <w:ind w:right="20"/>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289.37</w:t>
            </w:r>
          </w:p>
        </w:tc>
        <w:tc>
          <w:tcPr>
            <w:tcW w:w="1998"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069" w:type="dxa"/>
            <w:vAlign w:val="top"/>
          </w:tcPr>
          <w:p>
            <w:pPr>
              <w:pStyle w:val="TableText"/>
              <w:rPr/>
            </w:pPr>
            <w:r/>
          </w:p>
        </w:tc>
        <w:tc>
          <w:tcPr>
            <w:tcW w:w="1998" w:type="dxa"/>
            <w:vAlign w:val="top"/>
          </w:tcPr>
          <w:p>
            <w:pPr>
              <w:ind w:left="12"/>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069" w:type="dxa"/>
            <w:vAlign w:val="top"/>
          </w:tcPr>
          <w:p>
            <w:pPr>
              <w:pStyle w:val="TableText"/>
              <w:rPr/>
            </w:pPr>
            <w:r/>
          </w:p>
        </w:tc>
        <w:tc>
          <w:tcPr>
            <w:tcW w:w="1998" w:type="dxa"/>
            <w:vAlign w:val="top"/>
          </w:tcPr>
          <w:p>
            <w:pPr>
              <w:ind w:left="9"/>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069" w:type="dxa"/>
            <w:vAlign w:val="top"/>
          </w:tcPr>
          <w:p>
            <w:pPr>
              <w:ind w:right="17"/>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101" w:type="dxa"/>
            <w:vAlign w:val="top"/>
          </w:tcPr>
          <w:p>
            <w:pPr>
              <w:ind w:right="17"/>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22" w:right="41" w:hanging="13"/>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七、文化旅游体育与传媒支</w:t>
            </w:r>
            <w:r>
              <w:rPr>
                <w:rFonts w:ascii="SimSun" w:hAnsi="SimSun" w:eastAsia="SimSun" w:cs="SimSun"/>
                <w:sz w:val="15"/>
                <w:szCs w:val="15"/>
                <w:color w:val="212529"/>
              </w:rPr>
              <w:t>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069" w:type="dxa"/>
            <w:vAlign w:val="top"/>
          </w:tcPr>
          <w:p>
            <w:pPr>
              <w:ind w:right="1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101" w:type="dxa"/>
            <w:vAlign w:val="top"/>
          </w:tcPr>
          <w:p>
            <w:pPr>
              <w:ind w:right="1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.37</w:t>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069" w:type="dxa"/>
            <w:vAlign w:val="top"/>
          </w:tcPr>
          <w:p>
            <w:pPr>
              <w:ind w:right="1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101" w:type="dxa"/>
            <w:vAlign w:val="top"/>
          </w:tcPr>
          <w:p>
            <w:pPr>
              <w:ind w:right="1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十五、资源勘探工业信息等</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5"/>
              </w:rPr>
              <w:t xml:space="preserve"> </w:t>
            </w:r>
            <w:r>
              <w:rPr>
                <w:rFonts w:ascii="SimSun" w:hAnsi="SimSun" w:eastAsia="SimSun" w:cs="SimSun"/>
                <w:sz w:val="15"/>
                <w:szCs w:val="15"/>
                <w:color w:val="212529"/>
                <w:spacing w:val="7"/>
              </w:rPr>
              <w:t>自然资源海洋气象等</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069"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101"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6" w:line="228" w:lineRule="auto"/>
              <w:rPr>
                <w:rFonts w:ascii="SimSun" w:hAnsi="SimSun" w:eastAsia="SimSun" w:cs="SimSun"/>
                <w:sz w:val="15"/>
                <w:szCs w:val="15"/>
              </w:rPr>
            </w:pPr>
            <w:r>
              <w:rPr>
                <w:rFonts w:ascii="SimSun" w:hAnsi="SimSun" w:eastAsia="SimSun" w:cs="SimSun"/>
                <w:sz w:val="15"/>
                <w:szCs w:val="15"/>
                <w:color w:val="212529"/>
                <w:spacing w:val="11"/>
              </w:rPr>
              <w:t>二十一、粮油物资储备支出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firstLine="1"/>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39"/>
              </w:rPr>
              <w:t xml:space="preserve"> </w:t>
            </w:r>
            <w:r>
              <w:rPr>
                <w:rFonts w:ascii="SimSun" w:hAnsi="SimSun" w:eastAsia="SimSun" w:cs="SimSun"/>
                <w:sz w:val="15"/>
                <w:szCs w:val="15"/>
                <w:color w:val="212529"/>
                <w:spacing w:val="8"/>
              </w:rPr>
              <w:t>国有资本经营预算</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1" w:right="4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二十三、灾害防治及应急管</w:t>
            </w:r>
            <w:r>
              <w:rPr>
                <w:rFonts w:ascii="SimSun" w:hAnsi="SimSun" w:eastAsia="SimSun" w:cs="SimSun"/>
                <w:sz w:val="15"/>
                <w:szCs w:val="15"/>
                <w:color w:val="212529"/>
                <w:spacing w:val="8"/>
              </w:rPr>
              <w:t>理支出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8" w:line="229" w:lineRule="auto"/>
              <w:rPr>
                <w:rFonts w:ascii="SimSun" w:hAnsi="SimSun" w:eastAsia="SimSun" w:cs="SimSun"/>
                <w:sz w:val="15"/>
                <w:szCs w:val="15"/>
              </w:rPr>
            </w:pPr>
            <w:r>
              <w:rPr>
                <w:rFonts w:ascii="SimSun" w:hAnsi="SimSun" w:eastAsia="SimSun" w:cs="SimSun"/>
                <w:sz w:val="15"/>
                <w:szCs w:val="15"/>
                <w:color w:val="212529"/>
                <w:spacing w:val="11"/>
              </w:rPr>
              <w:t>二十九、债务发行费用支出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hanging="1"/>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三十、抗疫特别国债安排的</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84" w:hRule="atLeast"/>
        </w:trPr>
        <w:tc>
          <w:tcPr>
            <w:tcW w:w="1917" w:type="dxa"/>
            <w:vAlign w:val="top"/>
          </w:tcPr>
          <w:p>
            <w:pPr>
              <w:ind w:left="460"/>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069" w:type="dxa"/>
            <w:vAlign w:val="top"/>
          </w:tcPr>
          <w:p>
            <w:pPr>
              <w:pStyle w:val="TableText"/>
              <w:ind w:left="283"/>
              <w:spacing w:before="138"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1998" w:type="dxa"/>
            <w:vAlign w:val="top"/>
          </w:tcPr>
          <w:p>
            <w:pPr>
              <w:ind w:left="504"/>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069" w:type="dxa"/>
            <w:vAlign w:val="top"/>
          </w:tcPr>
          <w:p>
            <w:pPr>
              <w:pStyle w:val="TableText"/>
              <w:ind w:left="286"/>
              <w:spacing w:before="138"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1101" w:type="dxa"/>
            <w:vAlign w:val="top"/>
          </w:tcPr>
          <w:p>
            <w:pPr>
              <w:pStyle w:val="TableText"/>
              <w:ind w:left="305"/>
              <w:spacing w:before="138"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886" w:type="dxa"/>
            <w:vAlign w:val="top"/>
          </w:tcPr>
          <w:p>
            <w:pPr>
              <w:pStyle w:val="TableText"/>
              <w:rPr/>
            </w:pPr>
            <w:r/>
          </w:p>
        </w:tc>
        <w:tc>
          <w:tcPr>
            <w:tcW w:w="1118" w:type="dxa"/>
            <w:vAlign w:val="top"/>
          </w:tcPr>
          <w:p>
            <w:pPr>
              <w:pStyle w:val="TableText"/>
              <w:rPr/>
            </w:pPr>
            <w:r/>
          </w:p>
        </w:tc>
      </w:tr>
    </w:tbl>
    <w:p>
      <w:pPr>
        <w:pStyle w:val="BodyText"/>
        <w:rPr/>
      </w:pPr>
      <w:r/>
    </w:p>
    <w:p>
      <w:pPr>
        <w:sectPr>
          <w:headerReference w:type="default" r:id="rId14"/>
          <w:footerReference w:type="default" r:id="rId15"/>
          <w:pgSz w:w="11900" w:h="16840"/>
          <w:pgMar w:top="642" w:right="0" w:bottom="340" w:left="0" w:header="326" w:footer="93"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17"/>
        <w:gridCol w:w="1069"/>
        <w:gridCol w:w="1998"/>
        <w:gridCol w:w="1069"/>
        <w:gridCol w:w="1101"/>
        <w:gridCol w:w="886"/>
        <w:gridCol w:w="1118"/>
      </w:tblGrid>
      <w:tr>
        <w:trPr>
          <w:trHeight w:val="383" w:hRule="atLeast"/>
        </w:trPr>
        <w:tc>
          <w:tcPr>
            <w:tcW w:w="1917"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8"/>
              </w:rPr>
              <w:t>上年财</w:t>
            </w:r>
          </w:p>
        </w:tc>
        <w:tc>
          <w:tcPr>
            <w:tcW w:w="1069" w:type="dxa"/>
            <w:vAlign w:val="top"/>
          </w:tcPr>
          <w:p>
            <w:pPr>
              <w:pStyle w:val="TableText"/>
              <w:rPr/>
            </w:pPr>
            <w:r/>
          </w:p>
        </w:tc>
        <w:tc>
          <w:tcPr>
            <w:tcW w:w="1998" w:type="dxa"/>
            <w:vAlign w:val="top"/>
          </w:tcPr>
          <w:p>
            <w:pPr>
              <w:ind w:left="10"/>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7" w:hRule="atLeast"/>
        </w:trPr>
        <w:tc>
          <w:tcPr>
            <w:tcW w:w="1917"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7" w:hRule="atLeast"/>
        </w:trPr>
        <w:tc>
          <w:tcPr>
            <w:tcW w:w="1917"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83" w:hRule="atLeast"/>
        </w:trPr>
        <w:tc>
          <w:tcPr>
            <w:tcW w:w="1917" w:type="dxa"/>
            <w:vAlign w:val="top"/>
          </w:tcPr>
          <w:p>
            <w:pPr>
              <w:ind w:left="626"/>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069" w:type="dxa"/>
            <w:vAlign w:val="top"/>
          </w:tcPr>
          <w:p>
            <w:pPr>
              <w:pStyle w:val="TableText"/>
              <w:ind w:left="283"/>
              <w:spacing w:before="136"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1998" w:type="dxa"/>
            <w:vAlign w:val="top"/>
          </w:tcPr>
          <w:p>
            <w:pPr>
              <w:ind w:left="665"/>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069" w:type="dxa"/>
            <w:vAlign w:val="top"/>
          </w:tcPr>
          <w:p>
            <w:pPr>
              <w:pStyle w:val="TableText"/>
              <w:ind w:left="286"/>
              <w:spacing w:before="136"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1101" w:type="dxa"/>
            <w:vAlign w:val="top"/>
          </w:tcPr>
          <w:p>
            <w:pPr>
              <w:pStyle w:val="TableText"/>
              <w:ind w:left="305"/>
              <w:spacing w:before="136"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886" w:type="dxa"/>
            <w:vAlign w:val="top"/>
          </w:tcPr>
          <w:p>
            <w:pPr>
              <w:pStyle w:val="TableText"/>
              <w:rPr/>
            </w:pPr>
            <w:r/>
          </w:p>
        </w:tc>
        <w:tc>
          <w:tcPr>
            <w:tcW w:w="1118" w:type="dxa"/>
            <w:vAlign w:val="top"/>
          </w:tcPr>
          <w:p>
            <w:pPr>
              <w:pStyle w:val="TableText"/>
              <w:rPr/>
            </w:pPr>
            <w:r/>
          </w:p>
        </w:tc>
      </w:tr>
    </w:tbl>
    <w:p>
      <w:pPr>
        <w:pStyle w:val="BodyText"/>
        <w:rPr/>
      </w:pPr>
      <w:r/>
    </w:p>
    <w:p>
      <w:pPr>
        <w:sectPr>
          <w:headerReference w:type="default" r:id="rId16"/>
          <w:footerReference w:type="default" r:id="rId17"/>
          <w:pgSz w:w="11900" w:h="16840"/>
          <w:pgMar w:top="642" w:right="0" w:bottom="340" w:left="0" w:header="326" w:footer="9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79"/>
        <w:gridCol w:w="3143"/>
        <w:gridCol w:w="1544"/>
        <w:gridCol w:w="1415"/>
        <w:gridCol w:w="137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10"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78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377" w:type="dxa"/>
            <w:vAlign w:val="top"/>
            <w:tcBorders>
              <w:top w:val="single" w:color="FFFFFF" w:sz="4" w:space="0"/>
              <w:left w:val="single" w:color="FFFFFF" w:sz="2" w:space="0"/>
              <w:right w:val="single" w:color="FFFFFF" w:sz="2" w:space="0"/>
            </w:tcBorders>
          </w:tcPr>
          <w:p>
            <w:pPr>
              <w:ind w:left="70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822" w:type="dxa"/>
            <w:vAlign w:val="top"/>
            <w:gridSpan w:val="2"/>
          </w:tcPr>
          <w:p>
            <w:pPr>
              <w:ind w:left="223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336" w:type="dxa"/>
            <w:vAlign w:val="top"/>
            <w:gridSpan w:val="3"/>
          </w:tcPr>
          <w:p>
            <w:pPr>
              <w:ind w:left="1675"/>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79" w:type="dxa"/>
            <w:vAlign w:val="top"/>
          </w:tcPr>
          <w:p>
            <w:pPr>
              <w:ind w:left="49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43" w:type="dxa"/>
            <w:vAlign w:val="top"/>
          </w:tcPr>
          <w:p>
            <w:pPr>
              <w:ind w:left="1232"/>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44" w:type="dxa"/>
            <w:vAlign w:val="top"/>
          </w:tcPr>
          <w:p>
            <w:pPr>
              <w:ind w:left="603"/>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15" w:type="dxa"/>
            <w:vAlign w:val="top"/>
          </w:tcPr>
          <w:p>
            <w:pPr>
              <w:ind w:left="36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377" w:type="dxa"/>
            <w:vAlign w:val="top"/>
          </w:tcPr>
          <w:p>
            <w:pPr>
              <w:ind w:left="352"/>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822" w:type="dxa"/>
            <w:vAlign w:val="top"/>
            <w:gridSpan w:val="2"/>
          </w:tcPr>
          <w:p>
            <w:pPr>
              <w:ind w:left="224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44" w:type="dxa"/>
            <w:vAlign w:val="top"/>
          </w:tcPr>
          <w:p>
            <w:pPr>
              <w:pStyle w:val="TableText"/>
              <w:ind w:left="1035"/>
              <w:spacing w:before="87" w:line="172" w:lineRule="auto"/>
              <w:rPr>
                <w:sz w:val="14"/>
                <w:szCs w:val="14"/>
              </w:rPr>
            </w:pPr>
            <w:r>
              <w:rPr>
                <w:sz w:val="14"/>
                <w:szCs w:val="14"/>
                <w:color w:val="212529"/>
              </w:rPr>
              <w:t>289.</w:t>
            </w:r>
            <w:r>
              <w:rPr>
                <w:sz w:val="14"/>
                <w:szCs w:val="14"/>
                <w:color w:val="212529"/>
                <w:spacing w:val="6"/>
              </w:rPr>
              <w:t xml:space="preserve"> </w:t>
            </w:r>
            <w:r>
              <w:rPr>
                <w:sz w:val="14"/>
                <w:szCs w:val="14"/>
                <w:color w:val="212529"/>
              </w:rPr>
              <w:t>37</w:t>
            </w:r>
          </w:p>
        </w:tc>
        <w:tc>
          <w:tcPr>
            <w:tcW w:w="1415" w:type="dxa"/>
            <w:vAlign w:val="top"/>
          </w:tcPr>
          <w:p>
            <w:pPr>
              <w:pStyle w:val="TableText"/>
              <w:ind w:left="904"/>
              <w:spacing w:before="87" w:line="172" w:lineRule="auto"/>
              <w:rPr>
                <w:sz w:val="14"/>
                <w:szCs w:val="14"/>
              </w:rPr>
            </w:pPr>
            <w:r>
              <w:rPr>
                <w:sz w:val="14"/>
                <w:szCs w:val="14"/>
                <w:color w:val="212529"/>
              </w:rPr>
              <w:t>267.</w:t>
            </w:r>
            <w:r>
              <w:rPr>
                <w:sz w:val="14"/>
                <w:szCs w:val="14"/>
                <w:color w:val="212529"/>
                <w:spacing w:val="6"/>
              </w:rPr>
              <w:t xml:space="preserve"> </w:t>
            </w:r>
            <w:r>
              <w:rPr>
                <w:sz w:val="14"/>
                <w:szCs w:val="14"/>
                <w:color w:val="212529"/>
              </w:rPr>
              <w:t>37</w:t>
            </w:r>
          </w:p>
        </w:tc>
        <w:tc>
          <w:tcPr>
            <w:tcW w:w="1377" w:type="dxa"/>
            <w:vAlign w:val="top"/>
          </w:tcPr>
          <w:p>
            <w:pPr>
              <w:pStyle w:val="TableText"/>
              <w:ind w:left="947"/>
              <w:spacing w:before="87" w:line="186" w:lineRule="auto"/>
              <w:rPr>
                <w:sz w:val="13"/>
                <w:szCs w:val="13"/>
              </w:rPr>
            </w:pPr>
            <w:r>
              <w:rPr>
                <w:sz w:val="13"/>
                <w:szCs w:val="13"/>
                <w:color w:val="212529"/>
                <w:spacing w:val="4"/>
              </w:rPr>
              <w:t>22.</w:t>
            </w:r>
            <w:r>
              <w:rPr>
                <w:sz w:val="13"/>
                <w:szCs w:val="13"/>
                <w:color w:val="212529"/>
                <w:spacing w:val="11"/>
                <w:w w:val="101"/>
              </w:rPr>
              <w:t xml:space="preserve"> </w:t>
            </w:r>
            <w:r>
              <w:rPr>
                <w:sz w:val="13"/>
                <w:szCs w:val="13"/>
                <w:color w:val="212529"/>
                <w:spacing w:val="4"/>
              </w:rPr>
              <w:t>00</w:t>
            </w:r>
          </w:p>
        </w:tc>
      </w:tr>
      <w:tr>
        <w:trPr>
          <w:trHeight w:val="292" w:hRule="atLeast"/>
        </w:trPr>
        <w:tc>
          <w:tcPr>
            <w:tcW w:w="1679"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205</w:t>
            </w:r>
          </w:p>
        </w:tc>
        <w:tc>
          <w:tcPr>
            <w:tcW w:w="3143" w:type="dxa"/>
            <w:vAlign w:val="top"/>
          </w:tcPr>
          <w:p>
            <w:pPr>
              <w:spacing w:before="69" w:line="229" w:lineRule="auto"/>
              <w:rPr>
                <w:rFonts w:ascii="SimSun" w:hAnsi="SimSun" w:eastAsia="SimSun" w:cs="SimSun"/>
                <w:sz w:val="15"/>
                <w:szCs w:val="15"/>
              </w:rPr>
            </w:pPr>
            <w:r>
              <w:rPr>
                <w:rFonts w:ascii="SimSun" w:hAnsi="SimSun" w:eastAsia="SimSun" w:cs="SimSun"/>
                <w:sz w:val="15"/>
                <w:szCs w:val="15"/>
                <w:color w:val="212529"/>
                <w:spacing w:val="9"/>
              </w:rPr>
              <w:t>教育支出</w:t>
            </w:r>
          </w:p>
        </w:tc>
        <w:tc>
          <w:tcPr>
            <w:tcW w:w="1544" w:type="dxa"/>
            <w:vAlign w:val="top"/>
          </w:tcPr>
          <w:p>
            <w:pPr>
              <w:ind w:right="22"/>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415"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196.32</w:t>
            </w:r>
          </w:p>
        </w:tc>
        <w:tc>
          <w:tcPr>
            <w:tcW w:w="1377"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r>
      <w:tr>
        <w:trPr>
          <w:trHeight w:val="292" w:hRule="atLeast"/>
        </w:trPr>
        <w:tc>
          <w:tcPr>
            <w:tcW w:w="1679"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20504</w:t>
            </w:r>
          </w:p>
        </w:tc>
        <w:tc>
          <w:tcPr>
            <w:tcW w:w="3143" w:type="dxa"/>
            <w:vAlign w:val="top"/>
          </w:tcPr>
          <w:p>
            <w:pPr>
              <w:spacing w:before="69" w:line="229" w:lineRule="auto"/>
              <w:rPr>
                <w:rFonts w:ascii="SimSun" w:hAnsi="SimSun" w:eastAsia="SimSun" w:cs="SimSun"/>
                <w:sz w:val="15"/>
                <w:szCs w:val="15"/>
              </w:rPr>
            </w:pPr>
            <w:r>
              <w:rPr>
                <w:rFonts w:ascii="SimSun" w:hAnsi="SimSun" w:eastAsia="SimSun" w:cs="SimSun"/>
                <w:sz w:val="15"/>
                <w:szCs w:val="15"/>
                <w:color w:val="212529"/>
                <w:spacing w:val="9"/>
              </w:rPr>
              <w:t>成人教育</w:t>
            </w:r>
          </w:p>
        </w:tc>
        <w:tc>
          <w:tcPr>
            <w:tcW w:w="1544"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41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196.32</w:t>
            </w:r>
          </w:p>
        </w:tc>
        <w:tc>
          <w:tcPr>
            <w:tcW w:w="1377"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r>
      <w:tr>
        <w:trPr>
          <w:trHeight w:val="292" w:hRule="atLeast"/>
        </w:trPr>
        <w:tc>
          <w:tcPr>
            <w:tcW w:w="1679"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2050404</w:t>
            </w:r>
          </w:p>
        </w:tc>
        <w:tc>
          <w:tcPr>
            <w:tcW w:w="3143" w:type="dxa"/>
            <w:vAlign w:val="top"/>
          </w:tcPr>
          <w:p>
            <w:pPr>
              <w:spacing w:before="70" w:line="229" w:lineRule="auto"/>
              <w:rPr>
                <w:rFonts w:ascii="SimSun" w:hAnsi="SimSun" w:eastAsia="SimSun" w:cs="SimSun"/>
                <w:sz w:val="15"/>
                <w:szCs w:val="15"/>
              </w:rPr>
            </w:pPr>
            <w:r>
              <w:rPr>
                <w:rFonts w:ascii="SimSun" w:hAnsi="SimSun" w:eastAsia="SimSun" w:cs="SimSun"/>
                <w:sz w:val="15"/>
                <w:szCs w:val="15"/>
                <w:color w:val="212529"/>
                <w:spacing w:val="10"/>
              </w:rPr>
              <w:t>成人广播电视教育</w:t>
            </w:r>
          </w:p>
        </w:tc>
        <w:tc>
          <w:tcPr>
            <w:tcW w:w="1544"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218.32</w:t>
            </w:r>
          </w:p>
        </w:tc>
        <w:tc>
          <w:tcPr>
            <w:tcW w:w="1415"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196.32</w:t>
            </w:r>
          </w:p>
        </w:tc>
        <w:tc>
          <w:tcPr>
            <w:tcW w:w="1377"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r>
      <w:tr>
        <w:trPr>
          <w:trHeight w:val="292" w:hRule="atLeast"/>
        </w:trPr>
        <w:tc>
          <w:tcPr>
            <w:tcW w:w="1679"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43" w:type="dxa"/>
            <w:vAlign w:val="top"/>
          </w:tcPr>
          <w:p>
            <w:pPr>
              <w:spacing w:before="71"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44"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415"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377" w:type="dxa"/>
            <w:vAlign w:val="top"/>
          </w:tcPr>
          <w:p>
            <w:pPr>
              <w:pStyle w:val="TableText"/>
              <w:rPr/>
            </w:pPr>
            <w:r/>
          </w:p>
        </w:tc>
      </w:tr>
      <w:tr>
        <w:trPr>
          <w:trHeight w:val="292" w:hRule="atLeast"/>
        </w:trPr>
        <w:tc>
          <w:tcPr>
            <w:tcW w:w="1679"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43" w:type="dxa"/>
            <w:vAlign w:val="top"/>
          </w:tcPr>
          <w:p>
            <w:pPr>
              <w:spacing w:before="71"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44"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415"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42.37</w:t>
            </w:r>
          </w:p>
        </w:tc>
        <w:tc>
          <w:tcPr>
            <w:tcW w:w="1377" w:type="dxa"/>
            <w:vAlign w:val="top"/>
          </w:tcPr>
          <w:p>
            <w:pPr>
              <w:pStyle w:val="TableText"/>
              <w:rPr/>
            </w:pPr>
            <w:r/>
          </w:p>
        </w:tc>
      </w:tr>
      <w:tr>
        <w:trPr>
          <w:trHeight w:val="292" w:hRule="atLeast"/>
        </w:trPr>
        <w:tc>
          <w:tcPr>
            <w:tcW w:w="1679"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2080502</w:t>
            </w:r>
          </w:p>
        </w:tc>
        <w:tc>
          <w:tcPr>
            <w:tcW w:w="3143" w:type="dxa"/>
            <w:vAlign w:val="top"/>
          </w:tcPr>
          <w:p>
            <w:pPr>
              <w:spacing w:before="72" w:line="229" w:lineRule="auto"/>
              <w:rPr>
                <w:rFonts w:ascii="SimSun" w:hAnsi="SimSun" w:eastAsia="SimSun" w:cs="SimSun"/>
                <w:sz w:val="15"/>
                <w:szCs w:val="15"/>
              </w:rPr>
            </w:pPr>
            <w:r>
              <w:rPr>
                <w:rFonts w:ascii="SimSun" w:hAnsi="SimSun" w:eastAsia="SimSun" w:cs="SimSun"/>
                <w:sz w:val="15"/>
                <w:szCs w:val="15"/>
                <w:color w:val="212529"/>
                <w:spacing w:val="10"/>
              </w:rPr>
              <w:t>事业单位离退休</w:t>
            </w:r>
          </w:p>
        </w:tc>
        <w:tc>
          <w:tcPr>
            <w:tcW w:w="1544"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415"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377" w:type="dxa"/>
            <w:vAlign w:val="top"/>
          </w:tcPr>
          <w:p>
            <w:pPr>
              <w:pStyle w:val="TableText"/>
              <w:rPr/>
            </w:pPr>
            <w:r/>
          </w:p>
        </w:tc>
      </w:tr>
      <w:tr>
        <w:trPr>
          <w:trHeight w:val="292" w:hRule="atLeast"/>
        </w:trPr>
        <w:tc>
          <w:tcPr>
            <w:tcW w:w="1679"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43" w:type="dxa"/>
            <w:vAlign w:val="top"/>
          </w:tcPr>
          <w:p>
            <w:pPr>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44"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w:t>
            </w:r>
          </w:p>
        </w:tc>
        <w:tc>
          <w:tcPr>
            <w:tcW w:w="1415"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w:t>
            </w:r>
          </w:p>
        </w:tc>
        <w:tc>
          <w:tcPr>
            <w:tcW w:w="1377" w:type="dxa"/>
            <w:vAlign w:val="top"/>
          </w:tcPr>
          <w:p>
            <w:pPr>
              <w:pStyle w:val="TableText"/>
              <w:rPr/>
            </w:pPr>
            <w:r/>
          </w:p>
        </w:tc>
      </w:tr>
      <w:tr>
        <w:trPr>
          <w:trHeight w:val="292" w:hRule="atLeast"/>
        </w:trPr>
        <w:tc>
          <w:tcPr>
            <w:tcW w:w="1679"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3143" w:type="dxa"/>
            <w:vAlign w:val="top"/>
          </w:tcPr>
          <w:p>
            <w:pPr>
              <w:spacing w:before="74"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544"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415" w:type="dxa"/>
            <w:vAlign w:val="top"/>
          </w:tcPr>
          <w:p>
            <w:pPr>
              <w:ind w:right="24"/>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377" w:type="dxa"/>
            <w:vAlign w:val="top"/>
          </w:tcPr>
          <w:p>
            <w:pPr>
              <w:pStyle w:val="TableText"/>
              <w:rPr/>
            </w:pPr>
            <w:r/>
          </w:p>
        </w:tc>
      </w:tr>
      <w:tr>
        <w:trPr>
          <w:trHeight w:val="292" w:hRule="atLeast"/>
        </w:trPr>
        <w:tc>
          <w:tcPr>
            <w:tcW w:w="1679" w:type="dxa"/>
            <w:vAlign w:val="top"/>
          </w:tcPr>
          <w:p>
            <w:pPr>
              <w:pStyle w:val="TableText"/>
              <w:rPr/>
            </w:pPr>
            <w:r/>
          </w:p>
        </w:tc>
        <w:tc>
          <w:tcPr>
            <w:tcW w:w="3143" w:type="dxa"/>
            <w:vAlign w:val="top"/>
          </w:tcPr>
          <w:p>
            <w:pPr>
              <w:spacing w:before="74"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44"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415" w:type="dxa"/>
            <w:vAlign w:val="top"/>
          </w:tcPr>
          <w:p>
            <w:pPr>
              <w:ind w:left="1065"/>
              <w:spacing w:before="74" w:line="202" w:lineRule="exact"/>
              <w:rPr>
                <w:rFonts w:ascii="SimSun" w:hAnsi="SimSun" w:eastAsia="SimSun" w:cs="SimSun"/>
                <w:sz w:val="15"/>
                <w:szCs w:val="15"/>
              </w:rPr>
            </w:pPr>
            <w:r>
              <w:rPr>
                <w:rFonts w:ascii="SimSun" w:hAnsi="SimSun" w:eastAsia="SimSun" w:cs="SimSun"/>
                <w:sz w:val="15"/>
                <w:szCs w:val="15"/>
                <w:color w:val="212529"/>
                <w:spacing w:val="1"/>
                <w:position w:val="1"/>
              </w:rPr>
              <w:t>9.</w:t>
            </w:r>
          </w:p>
        </w:tc>
        <w:tc>
          <w:tcPr>
            <w:tcW w:w="1377" w:type="dxa"/>
            <w:vAlign w:val="top"/>
          </w:tcPr>
          <w:p>
            <w:pPr>
              <w:pStyle w:val="TableText"/>
              <w:rPr/>
            </w:pPr>
            <w:r/>
          </w:p>
        </w:tc>
      </w:tr>
      <w:tr>
        <w:trPr>
          <w:trHeight w:val="293" w:hRule="atLeast"/>
        </w:trPr>
        <w:tc>
          <w:tcPr>
            <w:tcW w:w="1679"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43" w:type="dxa"/>
            <w:vAlign w:val="top"/>
          </w:tcPr>
          <w:p>
            <w:pPr>
              <w:spacing w:before="75"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44"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415" w:type="dxa"/>
            <w:vAlign w:val="top"/>
          </w:tcPr>
          <w:p>
            <w:pPr>
              <w:ind w:left="1149"/>
              <w:spacing w:before="191"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377" w:type="dxa"/>
            <w:vAlign w:val="top"/>
          </w:tcPr>
          <w:p>
            <w:pPr>
              <w:pStyle w:val="TableText"/>
              <w:rPr/>
            </w:pPr>
            <w:r/>
          </w:p>
        </w:tc>
      </w:tr>
      <w:tr>
        <w:trPr>
          <w:trHeight w:val="293" w:hRule="atLeast"/>
        </w:trPr>
        <w:tc>
          <w:tcPr>
            <w:tcW w:w="1679"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43" w:type="dxa"/>
            <w:vAlign w:val="top"/>
          </w:tcPr>
          <w:p>
            <w:pPr>
              <w:spacing w:before="75"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44"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9.74</w:t>
            </w:r>
          </w:p>
        </w:tc>
        <w:tc>
          <w:tcPr>
            <w:tcW w:w="1415"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.74</w:t>
            </w:r>
          </w:p>
        </w:tc>
        <w:tc>
          <w:tcPr>
            <w:tcW w:w="1377" w:type="dxa"/>
            <w:vAlign w:val="top"/>
          </w:tcPr>
          <w:p>
            <w:pPr>
              <w:pStyle w:val="TableText"/>
              <w:rPr/>
            </w:pPr>
            <w:r/>
          </w:p>
        </w:tc>
      </w:tr>
      <w:tr>
        <w:trPr>
          <w:trHeight w:val="292" w:hRule="atLeast"/>
        </w:trPr>
        <w:tc>
          <w:tcPr>
            <w:tcW w:w="1679" w:type="dxa"/>
            <w:vAlign w:val="top"/>
          </w:tcPr>
          <w:p>
            <w:pPr>
              <w:ind w:left="8"/>
              <w:spacing w:before="74"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43" w:type="dxa"/>
            <w:vAlign w:val="top"/>
          </w:tcPr>
          <w:p>
            <w:pPr>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44"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415"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77" w:type="dxa"/>
            <w:vAlign w:val="top"/>
          </w:tcPr>
          <w:p>
            <w:pPr>
              <w:pStyle w:val="TableText"/>
              <w:rPr/>
            </w:pPr>
            <w:r/>
          </w:p>
        </w:tc>
      </w:tr>
      <w:tr>
        <w:trPr>
          <w:trHeight w:val="293" w:hRule="atLeast"/>
        </w:trPr>
        <w:tc>
          <w:tcPr>
            <w:tcW w:w="1679"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43" w:type="dxa"/>
            <w:vAlign w:val="top"/>
          </w:tcPr>
          <w:p>
            <w:pPr>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44"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415"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77" w:type="dxa"/>
            <w:vAlign w:val="top"/>
          </w:tcPr>
          <w:p>
            <w:pPr>
              <w:pStyle w:val="TableText"/>
              <w:rPr/>
            </w:pPr>
            <w:r/>
          </w:p>
        </w:tc>
      </w:tr>
      <w:tr>
        <w:trPr>
          <w:trHeight w:val="298" w:hRule="atLeast"/>
        </w:trPr>
        <w:tc>
          <w:tcPr>
            <w:tcW w:w="1679"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43" w:type="dxa"/>
            <w:vAlign w:val="top"/>
          </w:tcPr>
          <w:p>
            <w:pPr>
              <w:spacing w:before="75" w:line="230" w:lineRule="auto"/>
              <w:rPr>
                <w:rFonts w:ascii="SimSun" w:hAnsi="SimSun" w:eastAsia="SimSun" w:cs="SimSun"/>
                <w:sz w:val="15"/>
                <w:szCs w:val="15"/>
              </w:rPr>
            </w:pPr>
            <w:r>
              <w:rPr>
                <w:rFonts w:ascii="SimSun" w:hAnsi="SimSun" w:eastAsia="SimSun" w:cs="SimSun"/>
                <w:sz w:val="15"/>
                <w:szCs w:val="15"/>
                <w:color w:val="212529"/>
                <w:spacing w:val="9"/>
              </w:rPr>
              <w:t>住房公积金</w:t>
            </w:r>
          </w:p>
        </w:tc>
        <w:tc>
          <w:tcPr>
            <w:tcW w:w="1544"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415"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377" w:type="dxa"/>
            <w:vAlign w:val="top"/>
          </w:tcPr>
          <w:p>
            <w:pPr>
              <w:pStyle w:val="TableText"/>
              <w:rPr/>
            </w:pPr>
            <w:r/>
          </w:p>
        </w:tc>
      </w:tr>
    </w:tbl>
    <w:p>
      <w:pPr>
        <w:pStyle w:val="BodyText"/>
        <w:rPr/>
      </w:pPr>
      <w:r/>
    </w:p>
    <w:p>
      <w:pPr>
        <w:sectPr>
          <w:headerReference w:type="default" r:id="rId18"/>
          <w:footerReference w:type="default" r:id="rId19"/>
          <w:pgSz w:w="11900" w:h="16840"/>
          <w:pgMar w:top="642" w:right="0" w:bottom="340" w:left="0" w:header="326" w:footer="93"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8"/>
            <w:bookmarkEnd w:id="18"/>
            <w:bookmarkStart w:name="bookmark11" w:id="19"/>
            <w:bookmarkEnd w:id="19"/>
            <w:bookmarkStart w:name="bookmark12" w:id="20"/>
            <w:bookmarkEnd w:id="20"/>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1"/>
              <w:spacing w:before="87" w:line="172" w:lineRule="auto"/>
              <w:rPr>
                <w:sz w:val="14"/>
                <w:szCs w:val="14"/>
              </w:rPr>
            </w:pPr>
            <w:r>
              <w:rPr>
                <w:sz w:val="14"/>
                <w:szCs w:val="14"/>
                <w:color w:val="212529"/>
              </w:rPr>
              <w:t>267.</w:t>
            </w:r>
            <w:r>
              <w:rPr>
                <w:sz w:val="14"/>
                <w:szCs w:val="14"/>
                <w:color w:val="212529"/>
                <w:spacing w:val="6"/>
              </w:rPr>
              <w:t xml:space="preserve"> </w:t>
            </w:r>
            <w:r>
              <w:rPr>
                <w:sz w:val="14"/>
                <w:szCs w:val="14"/>
                <w:color w:val="212529"/>
              </w:rPr>
              <w:t>37</w:t>
            </w:r>
          </w:p>
        </w:tc>
        <w:tc>
          <w:tcPr>
            <w:tcW w:w="1188" w:type="dxa"/>
            <w:vAlign w:val="top"/>
          </w:tcPr>
          <w:p>
            <w:pPr>
              <w:pStyle w:val="TableText"/>
              <w:ind w:left="684"/>
              <w:spacing w:before="87" w:line="186" w:lineRule="auto"/>
              <w:rPr>
                <w:sz w:val="13"/>
                <w:szCs w:val="13"/>
              </w:rPr>
            </w:pPr>
            <w:r>
              <w:rPr>
                <w:sz w:val="13"/>
                <w:szCs w:val="13"/>
                <w:color w:val="212529"/>
                <w:spacing w:val="4"/>
              </w:rPr>
              <w:t>254.</w:t>
            </w:r>
            <w:r>
              <w:rPr>
                <w:sz w:val="13"/>
                <w:szCs w:val="13"/>
                <w:color w:val="212529"/>
                <w:spacing w:val="9"/>
              </w:rPr>
              <w:t xml:space="preserve"> </w:t>
            </w:r>
            <w:r>
              <w:rPr>
                <w:sz w:val="13"/>
                <w:szCs w:val="13"/>
                <w:color w:val="212529"/>
                <w:spacing w:val="4"/>
              </w:rPr>
              <w:t>51</w:t>
            </w:r>
          </w:p>
        </w:tc>
        <w:tc>
          <w:tcPr>
            <w:tcW w:w="1118" w:type="dxa"/>
            <w:vAlign w:val="top"/>
          </w:tcPr>
          <w:p>
            <w:pPr>
              <w:pStyle w:val="TableText"/>
              <w:ind w:left="699"/>
              <w:spacing w:before="87" w:line="186" w:lineRule="auto"/>
              <w:rPr>
                <w:sz w:val="13"/>
                <w:szCs w:val="13"/>
              </w:rPr>
            </w:pPr>
            <w:r>
              <w:rPr>
                <w:sz w:val="13"/>
                <w:szCs w:val="13"/>
                <w:color w:val="212529"/>
                <w:spacing w:val="2"/>
              </w:rPr>
              <w:t>12.</w:t>
            </w:r>
            <w:r>
              <w:rPr>
                <w:sz w:val="13"/>
                <w:szCs w:val="13"/>
                <w:color w:val="212529"/>
                <w:spacing w:val="11"/>
                <w:w w:val="102"/>
              </w:rPr>
              <w:t xml:space="preserve"> </w:t>
            </w:r>
            <w:r>
              <w:rPr>
                <w:sz w:val="13"/>
                <w:szCs w:val="13"/>
                <w:color w:val="212529"/>
                <w:spacing w:val="2"/>
              </w:rPr>
              <w:t>86</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243.77</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243.77</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91.70</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91.70</w:t>
            </w:r>
          </w:p>
        </w:tc>
        <w:tc>
          <w:tcPr>
            <w:tcW w:w="1118" w:type="dxa"/>
            <w:vAlign w:val="top"/>
          </w:tcPr>
          <w:p>
            <w:pPr>
              <w:pStyle w:val="TableText"/>
              <w:rPr/>
            </w:pPr>
            <w:r/>
          </w:p>
        </w:tc>
      </w:tr>
      <w:tr>
        <w:trPr>
          <w:trHeight w:val="292"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14.10</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14.10</w:t>
            </w:r>
          </w:p>
        </w:tc>
        <w:tc>
          <w:tcPr>
            <w:tcW w:w="1118" w:type="dxa"/>
            <w:vAlign w:val="top"/>
          </w:tcPr>
          <w:p>
            <w:pPr>
              <w:pStyle w:val="TableText"/>
              <w:rPr/>
            </w:pPr>
            <w:r/>
          </w:p>
        </w:tc>
      </w:tr>
      <w:tr>
        <w:trPr>
          <w:trHeight w:val="292" w:hRule="atLeast"/>
        </w:trPr>
        <w:tc>
          <w:tcPr>
            <w:tcW w:w="3310" w:type="dxa"/>
            <w:vAlign w:val="top"/>
          </w:tcPr>
          <w:p>
            <w:pPr>
              <w:ind w:left="333"/>
              <w:spacing w:before="70"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53.26</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53.26</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23.64</w:t>
            </w:r>
          </w:p>
        </w:tc>
        <w:tc>
          <w:tcPr>
            <w:tcW w:w="1118" w:type="dxa"/>
            <w:vAlign w:val="top"/>
          </w:tcPr>
          <w:p>
            <w:pPr>
              <w:pStyle w:val="TableText"/>
              <w:rPr/>
            </w:pPr>
            <w:r/>
          </w:p>
        </w:tc>
      </w:tr>
      <w:tr>
        <w:trPr>
          <w:trHeight w:val="292" w:hRule="atLeast"/>
        </w:trPr>
        <w:tc>
          <w:tcPr>
            <w:tcW w:w="3310" w:type="dxa"/>
            <w:vAlign w:val="top"/>
          </w:tcPr>
          <w:p>
            <w:pPr>
              <w:ind w:left="330"/>
              <w:spacing w:before="72" w:line="229" w:lineRule="auto"/>
              <w:rPr>
                <w:rFonts w:ascii="SimSun" w:hAnsi="SimSun" w:eastAsia="SimSun" w:cs="SimSun"/>
                <w:sz w:val="15"/>
                <w:szCs w:val="15"/>
              </w:rPr>
            </w:pPr>
            <w:r>
              <w:rPr>
                <w:rFonts w:ascii="SimSun" w:hAnsi="SimSun" w:eastAsia="SimSun" w:cs="SimSun"/>
                <w:sz w:val="15"/>
                <w:szCs w:val="15"/>
                <w:color w:val="212529"/>
                <w:spacing w:val="10"/>
              </w:rPr>
              <w:t>职业年金缴费</w:t>
            </w:r>
          </w:p>
        </w:tc>
        <w:tc>
          <w:tcPr>
            <w:tcW w:w="2278" w:type="dxa"/>
            <w:vAlign w:val="top"/>
          </w:tcPr>
          <w:p>
            <w:pPr>
              <w:ind w:left="328"/>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118" w:type="dxa"/>
            <w:vAlign w:val="top"/>
          </w:tcPr>
          <w:p>
            <w:pPr>
              <w:pStyle w:val="TableText"/>
              <w:rPr/>
            </w:pPr>
            <w:r/>
          </w:p>
        </w:tc>
      </w:tr>
      <w:tr>
        <w:trPr>
          <w:trHeight w:val="292"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9.60</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9.60</w:t>
            </w:r>
          </w:p>
        </w:tc>
        <w:tc>
          <w:tcPr>
            <w:tcW w:w="1118" w:type="dxa"/>
            <w:vAlign w:val="top"/>
          </w:tcPr>
          <w:p>
            <w:pPr>
              <w:pStyle w:val="TableText"/>
              <w:rPr/>
            </w:pPr>
            <w:r/>
          </w:p>
        </w:tc>
      </w:tr>
      <w:tr>
        <w:trPr>
          <w:trHeight w:val="293" w:hRule="atLeast"/>
        </w:trPr>
        <w:tc>
          <w:tcPr>
            <w:tcW w:w="3310" w:type="dxa"/>
            <w:vAlign w:val="top"/>
          </w:tcPr>
          <w:p>
            <w:pPr>
              <w:ind w:left="656"/>
              <w:spacing w:before="74"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1.02</w:t>
            </w:r>
          </w:p>
        </w:tc>
        <w:tc>
          <w:tcPr>
            <w:tcW w:w="1188" w:type="dxa"/>
            <w:vAlign w:val="top"/>
          </w:tcPr>
          <w:p>
            <w:pPr>
              <w:ind w:right="16"/>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1.02</w:t>
            </w:r>
          </w:p>
        </w:tc>
        <w:tc>
          <w:tcPr>
            <w:tcW w:w="1118" w:type="dxa"/>
            <w:vAlign w:val="top"/>
          </w:tcPr>
          <w:p>
            <w:pPr>
              <w:pStyle w:val="TableText"/>
              <w:rPr/>
            </w:pPr>
            <w:r/>
          </w:p>
        </w:tc>
      </w:tr>
      <w:tr>
        <w:trPr>
          <w:trHeight w:val="293" w:hRule="atLeast"/>
        </w:trPr>
        <w:tc>
          <w:tcPr>
            <w:tcW w:w="3310" w:type="dxa"/>
            <w:vAlign w:val="top"/>
          </w:tcPr>
          <w:p>
            <w:pPr>
              <w:ind w:left="331"/>
              <w:spacing w:before="73"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18.93</w:t>
            </w:r>
          </w:p>
        </w:tc>
        <w:tc>
          <w:tcPr>
            <w:tcW w:w="1188" w:type="dxa"/>
            <w:vAlign w:val="top"/>
          </w:tcPr>
          <w:p>
            <w:pPr>
              <w:ind w:left="930"/>
              <w:spacing w:before="190" w:line="62"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23.53</w:t>
            </w:r>
          </w:p>
        </w:tc>
        <w:tc>
          <w:tcPr>
            <w:tcW w:w="1188" w:type="dxa"/>
            <w:vAlign w:val="top"/>
          </w:tcPr>
          <w:p>
            <w:pPr>
              <w:ind w:left="930"/>
              <w:spacing w:before="189"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9"/>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left="772"/>
              <w:spacing w:before="73" w:line="202" w:lineRule="exact"/>
              <w:rPr>
                <w:rFonts w:ascii="SimSun" w:hAnsi="SimSun" w:eastAsia="SimSun" w:cs="SimSun"/>
                <w:sz w:val="15"/>
                <w:szCs w:val="15"/>
              </w:rPr>
            </w:pPr>
            <w:r>
              <w:rPr>
                <w:rFonts w:ascii="SimSun" w:hAnsi="SimSun" w:eastAsia="SimSun" w:cs="SimSun"/>
                <w:sz w:val="15"/>
                <w:szCs w:val="15"/>
                <w:color w:val="212529"/>
                <w:spacing w:val="-1"/>
                <w:position w:val="1"/>
              </w:rPr>
              <w:t>12.</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12.86</w:t>
            </w:r>
          </w:p>
        </w:tc>
      </w:tr>
      <w:tr>
        <w:trPr>
          <w:trHeight w:val="292" w:hRule="atLeast"/>
        </w:trPr>
        <w:tc>
          <w:tcPr>
            <w:tcW w:w="3310" w:type="dxa"/>
            <w:vAlign w:val="top"/>
          </w:tcPr>
          <w:p>
            <w:pPr>
              <w:ind w:left="334"/>
              <w:spacing w:before="72"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8"/>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left="853"/>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1.</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r>
      <w:tr>
        <w:trPr>
          <w:trHeight w:val="293" w:hRule="atLeast"/>
        </w:trPr>
        <w:tc>
          <w:tcPr>
            <w:tcW w:w="3310" w:type="dxa"/>
            <w:vAlign w:val="top"/>
          </w:tcPr>
          <w:p>
            <w:pPr>
              <w:ind w:left="344"/>
              <w:spacing w:before="73"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333"/>
              <w:spacing w:before="73"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r>
      <w:tr>
        <w:trPr>
          <w:trHeight w:val="293" w:hRule="atLeast"/>
        </w:trPr>
        <w:tc>
          <w:tcPr>
            <w:tcW w:w="3310" w:type="dxa"/>
            <w:vAlign w:val="top"/>
          </w:tcPr>
          <w:p>
            <w:pPr>
              <w:ind w:left="331"/>
              <w:spacing w:before="73" w:line="230" w:lineRule="auto"/>
              <w:rPr>
                <w:rFonts w:ascii="SimSun" w:hAnsi="SimSun" w:eastAsia="SimSun" w:cs="SimSun"/>
                <w:sz w:val="15"/>
                <w:szCs w:val="15"/>
              </w:rPr>
            </w:pPr>
            <w:r>
              <w:rPr>
                <w:rFonts w:ascii="SimSun" w:hAnsi="SimSun" w:eastAsia="SimSun" w:cs="SimSun"/>
                <w:sz w:val="15"/>
                <w:szCs w:val="15"/>
                <w:color w:val="212529"/>
                <w:spacing w:val="8"/>
              </w:rPr>
              <w:t>租赁费</w:t>
            </w:r>
          </w:p>
        </w:tc>
        <w:tc>
          <w:tcPr>
            <w:tcW w:w="2278" w:type="dxa"/>
            <w:vAlign w:val="top"/>
          </w:tcPr>
          <w:p>
            <w:pPr>
              <w:ind w:left="328"/>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r>
      <w:tr>
        <w:trPr>
          <w:trHeight w:val="293" w:hRule="atLeast"/>
        </w:trPr>
        <w:tc>
          <w:tcPr>
            <w:tcW w:w="3310" w:type="dxa"/>
            <w:vAlign w:val="top"/>
          </w:tcPr>
          <w:p>
            <w:pPr>
              <w:ind w:left="331"/>
              <w:spacing w:before="73" w:line="230" w:lineRule="auto"/>
              <w:rPr>
                <w:rFonts w:ascii="SimSun" w:hAnsi="SimSun" w:eastAsia="SimSun" w:cs="SimSun"/>
                <w:sz w:val="15"/>
                <w:szCs w:val="15"/>
              </w:rPr>
            </w:pPr>
            <w:r>
              <w:rPr>
                <w:rFonts w:ascii="SimSun" w:hAnsi="SimSun" w:eastAsia="SimSun" w:cs="SimSun"/>
                <w:sz w:val="15"/>
                <w:szCs w:val="15"/>
                <w:color w:val="212529"/>
                <w:spacing w:val="8"/>
              </w:rPr>
              <w:t>培训费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0.43</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0.43</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2.96</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2.96</w:t>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8"/>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5.17</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5.17</w:t>
            </w:r>
          </w:p>
        </w:tc>
      </w:tr>
      <w:tr>
        <w:trPr>
          <w:trHeight w:val="293"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5"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5"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188"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118" w:type="dxa"/>
            <w:vAlign w:val="top"/>
          </w:tcPr>
          <w:p>
            <w:pPr>
              <w:pStyle w:val="TableText"/>
              <w:rPr/>
            </w:pPr>
            <w:r/>
          </w:p>
        </w:tc>
      </w:tr>
      <w:tr>
        <w:trPr>
          <w:trHeight w:val="298"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10.73</w:t>
            </w:r>
          </w:p>
        </w:tc>
        <w:tc>
          <w:tcPr>
            <w:tcW w:w="1118" w:type="dxa"/>
            <w:vAlign w:val="top"/>
          </w:tcPr>
          <w:p>
            <w:pPr>
              <w:pStyle w:val="TableText"/>
              <w:rPr/>
            </w:pPr>
            <w:r/>
          </w:p>
        </w:tc>
      </w:tr>
    </w:tbl>
    <w:p>
      <w:pPr>
        <w:pStyle w:val="BodyText"/>
        <w:rPr/>
      </w:pPr>
      <w:r/>
    </w:p>
    <w:p>
      <w:pPr>
        <w:sectPr>
          <w:headerReference w:type="default" r:id="rId20"/>
          <w:footerReference w:type="default" r:id="rId21"/>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60"/>
        <w:gridCol w:w="4838"/>
        <w:gridCol w:w="1960"/>
      </w:tblGrid>
      <w:tr>
        <w:trPr>
          <w:trHeight w:val="383" w:hRule="atLeast"/>
        </w:trPr>
        <w:tc>
          <w:tcPr>
            <w:tcW w:w="23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83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1"/>
            <w:bookmarkEnd w:id="21"/>
            <w:bookmarkStart w:name="bookmark13" w:id="22"/>
            <w:bookmarkEnd w:id="22"/>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198"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960" w:type="dxa"/>
            <w:vAlign w:val="top"/>
            <w:tcBorders>
              <w:top w:val="single" w:color="FFFFFF" w:sz="4" w:space="0"/>
              <w:left w:val="single" w:color="FFFFFF" w:sz="2" w:space="0"/>
              <w:right w:val="single" w:color="FFFFFF" w:sz="2" w:space="0"/>
            </w:tcBorders>
          </w:tcPr>
          <w:p>
            <w:pPr>
              <w:ind w:left="1352"/>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198" w:type="dxa"/>
            <w:vAlign w:val="top"/>
            <w:gridSpan w:val="2"/>
          </w:tcPr>
          <w:p>
            <w:pPr>
              <w:ind w:left="3423"/>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960" w:type="dxa"/>
            <w:vAlign w:val="top"/>
            <w:vMerge w:val="restart"/>
            <w:tcBorders>
              <w:bottom w:val="nil"/>
            </w:tcBorders>
          </w:tcPr>
          <w:p>
            <w:pPr>
              <w:ind w:left="23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360" w:type="dxa"/>
            <w:vAlign w:val="top"/>
          </w:tcPr>
          <w:p>
            <w:pPr>
              <w:ind w:left="684"/>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838" w:type="dxa"/>
            <w:vAlign w:val="top"/>
          </w:tcPr>
          <w:p>
            <w:pPr>
              <w:ind w:left="2076"/>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960" w:type="dxa"/>
            <w:vAlign w:val="top"/>
            <w:vMerge w:val="continue"/>
            <w:tcBorders>
              <w:top w:val="nil"/>
            </w:tcBorders>
          </w:tcPr>
          <w:p>
            <w:pPr>
              <w:pStyle w:val="TableText"/>
              <w:rPr/>
            </w:pPr>
            <w:r/>
          </w:p>
        </w:tc>
      </w:tr>
      <w:tr>
        <w:trPr>
          <w:trHeight w:val="378" w:hRule="atLeast"/>
        </w:trPr>
        <w:tc>
          <w:tcPr>
            <w:tcW w:w="7198" w:type="dxa"/>
            <w:vAlign w:val="top"/>
            <w:gridSpan w:val="2"/>
          </w:tcPr>
          <w:p>
            <w:pPr>
              <w:ind w:left="342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960" w:type="dxa"/>
            <w:vAlign w:val="top"/>
          </w:tcPr>
          <w:p>
            <w:pPr>
              <w:pStyle w:val="TableText"/>
              <w:rPr/>
            </w:pPr>
            <w:r/>
          </w:p>
        </w:tc>
      </w:tr>
      <w:tr>
        <w:trPr>
          <w:trHeight w:val="378" w:hRule="atLeast"/>
        </w:trPr>
        <w:tc>
          <w:tcPr>
            <w:tcW w:w="2360" w:type="dxa"/>
            <w:vAlign w:val="top"/>
          </w:tcPr>
          <w:p>
            <w:pPr>
              <w:pStyle w:val="TableText"/>
              <w:rPr/>
            </w:pPr>
            <w:r/>
          </w:p>
        </w:tc>
        <w:tc>
          <w:tcPr>
            <w:tcW w:w="4838" w:type="dxa"/>
            <w:vAlign w:val="top"/>
          </w:tcPr>
          <w:p>
            <w:pPr>
              <w:pStyle w:val="TableText"/>
              <w:rPr/>
            </w:pPr>
            <w:r/>
          </w:p>
        </w:tc>
        <w:tc>
          <w:tcPr>
            <w:tcW w:w="1960"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2"/>
          <w:footerReference w:type="default" r:id="rId23"/>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22"/>
        <w:gridCol w:w="3553"/>
        <w:gridCol w:w="1145"/>
        <w:gridCol w:w="1156"/>
        <w:gridCol w:w="1182"/>
      </w:tblGrid>
      <w:tr>
        <w:trPr>
          <w:trHeight w:val="383" w:hRule="atLeast"/>
        </w:trPr>
        <w:tc>
          <w:tcPr>
            <w:tcW w:w="21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3"/>
            <w:bookmarkEnd w:id="23"/>
            <w:bookmarkStart w:name="bookmark14" w:id="24"/>
            <w:bookmarkEnd w:id="24"/>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675"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6" w:type="dxa"/>
            <w:vAlign w:val="top"/>
            <w:tcBorders>
              <w:top w:val="single" w:color="FFFFFF" w:sz="4" w:space="0"/>
              <w:left w:val="single" w:color="FFFFFF" w:sz="2" w:space="0"/>
              <w:right w:val="single" w:color="FFFFFF" w:sz="2" w:space="0"/>
            </w:tcBorders>
          </w:tcPr>
          <w:p>
            <w:pPr>
              <w:pStyle w:val="TableText"/>
              <w:rPr/>
            </w:pPr>
            <w:r/>
          </w:p>
        </w:tc>
        <w:tc>
          <w:tcPr>
            <w:tcW w:w="1182" w:type="dxa"/>
            <w:vAlign w:val="top"/>
            <w:tcBorders>
              <w:top w:val="single" w:color="FFFFFF" w:sz="4" w:space="0"/>
              <w:left w:val="single" w:color="FFFFFF" w:sz="2" w:space="0"/>
              <w:right w:val="single" w:color="FFFFFF" w:sz="2" w:space="0"/>
            </w:tcBorders>
          </w:tcPr>
          <w:p>
            <w:pPr>
              <w:ind w:left="574"/>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122" w:type="dxa"/>
            <w:vAlign w:val="top"/>
          </w:tcPr>
          <w:p>
            <w:pPr>
              <w:ind w:left="72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53" w:type="dxa"/>
            <w:vAlign w:val="top"/>
          </w:tcPr>
          <w:p>
            <w:pPr>
              <w:ind w:left="143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45" w:type="dxa"/>
            <w:vAlign w:val="top"/>
          </w:tcPr>
          <w:p>
            <w:pPr>
              <w:ind w:left="404"/>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ind w:left="24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82" w:type="dxa"/>
            <w:vAlign w:val="top"/>
          </w:tcPr>
          <w:p>
            <w:pPr>
              <w:ind w:left="254"/>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75" w:type="dxa"/>
            <w:vAlign w:val="top"/>
            <w:gridSpan w:val="2"/>
          </w:tcPr>
          <w:p>
            <w:pPr>
              <w:ind w:left="266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78" w:hRule="atLeast"/>
        </w:trPr>
        <w:tc>
          <w:tcPr>
            <w:tcW w:w="2122" w:type="dxa"/>
            <w:vAlign w:val="top"/>
          </w:tcPr>
          <w:p>
            <w:pPr>
              <w:pStyle w:val="TableText"/>
              <w:rPr/>
            </w:pPr>
            <w:r/>
          </w:p>
        </w:tc>
        <w:tc>
          <w:tcPr>
            <w:tcW w:w="3553" w:type="dxa"/>
            <w:vAlign w:val="top"/>
          </w:tcPr>
          <w:p>
            <w:pPr>
              <w:pStyle w:val="TableText"/>
              <w:rPr/>
            </w:pPr>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4"/>
          <w:footerReference w:type="default" r:id="rId25"/>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60"/>
        <w:gridCol w:w="951"/>
        <w:gridCol w:w="961"/>
        <w:gridCol w:w="1436"/>
        <w:gridCol w:w="983"/>
        <w:gridCol w:w="940"/>
        <w:gridCol w:w="988"/>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5"/>
            <w:bookmarkEnd w:id="25"/>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170"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988" w:type="dxa"/>
            <w:vAlign w:val="top"/>
            <w:tcBorders>
              <w:top w:val="single" w:color="FFFFFF" w:sz="4" w:space="0"/>
              <w:left w:val="single" w:color="FFFFFF" w:sz="2" w:space="0"/>
              <w:right w:val="single" w:color="FFFFFF" w:sz="2" w:space="0"/>
            </w:tcBorders>
          </w:tcPr>
          <w:p>
            <w:pPr>
              <w:ind w:left="315"/>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2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9"/>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99" w:type="dxa"/>
            <w:vAlign w:val="top"/>
            <w:gridSpan w:val="2"/>
          </w:tcPr>
          <w:p>
            <w:pPr>
              <w:ind w:left="1273"/>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51" w:type="dxa"/>
            <w:vAlign w:val="top"/>
            <w:vMerge w:val="restart"/>
            <w:tcBorders>
              <w:bottom w:val="nil"/>
            </w:tcBorders>
          </w:tcPr>
          <w:p>
            <w:pPr>
              <w:ind w:left="58" w:right="77" w:firstLine="15"/>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61" w:type="dxa"/>
            <w:vAlign w:val="top"/>
            <w:vMerge w:val="restart"/>
            <w:tcBorders>
              <w:bottom w:val="nil"/>
            </w:tcBorders>
          </w:tcPr>
          <w:p>
            <w:pPr>
              <w:pStyle w:val="TableText"/>
              <w:rPr/>
            </w:pPr>
            <w:r/>
          </w:p>
          <w:p>
            <w:pPr>
              <w:ind w:left="14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restart"/>
            <w:tcBorders>
              <w:bottom w:val="nil"/>
            </w:tcBorders>
          </w:tcPr>
          <w:p>
            <w:pPr>
              <w:pStyle w:val="TableText"/>
              <w:spacing w:line="241" w:lineRule="auto"/>
              <w:rPr/>
            </w:pPr>
            <w:r/>
          </w:p>
          <w:p>
            <w:pPr>
              <w:ind w:left="32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vMerge w:val="restart"/>
            <w:tcBorders>
              <w:bottom w:val="nil"/>
            </w:tcBorders>
          </w:tcPr>
          <w:p>
            <w:pPr>
              <w:ind w:left="136"/>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88" w:type="dxa"/>
            <w:vAlign w:val="top"/>
            <w:vMerge w:val="restart"/>
            <w:tcBorders>
              <w:bottom w:val="nil"/>
            </w:tcBorders>
          </w:tcPr>
          <w:p>
            <w:pPr>
              <w:pStyle w:val="TableText"/>
              <w:rPr/>
            </w:pPr>
            <w:r/>
          </w:p>
          <w:p>
            <w:pPr>
              <w:ind w:left="15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39" w:type="dxa"/>
            <w:vAlign w:val="top"/>
          </w:tcPr>
          <w:p>
            <w:pPr>
              <w:ind w:left="73"/>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60" w:type="dxa"/>
            <w:vAlign w:val="top"/>
          </w:tcPr>
          <w:p>
            <w:pPr>
              <w:ind w:left="536"/>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51"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940" w:type="dxa"/>
            <w:vAlign w:val="top"/>
            <w:vMerge w:val="continue"/>
            <w:tcBorders>
              <w:top w:val="nil"/>
            </w:tcBorders>
          </w:tcPr>
          <w:p>
            <w:pPr>
              <w:pStyle w:val="TableText"/>
              <w:rPr/>
            </w:pPr>
            <w:r/>
          </w:p>
        </w:tc>
        <w:tc>
          <w:tcPr>
            <w:tcW w:w="988" w:type="dxa"/>
            <w:vAlign w:val="top"/>
            <w:vMerge w:val="continue"/>
            <w:tcBorders>
              <w:top w:val="nil"/>
            </w:tcBorders>
          </w:tcPr>
          <w:p>
            <w:pPr>
              <w:pStyle w:val="TableText"/>
              <w:rPr/>
            </w:pPr>
            <w:r/>
          </w:p>
        </w:tc>
      </w:tr>
      <w:tr>
        <w:trPr>
          <w:trHeight w:val="378" w:hRule="atLeast"/>
        </w:trPr>
        <w:tc>
          <w:tcPr>
            <w:tcW w:w="2899" w:type="dxa"/>
            <w:vAlign w:val="top"/>
            <w:gridSpan w:val="2"/>
          </w:tcPr>
          <w:p>
            <w:pPr>
              <w:ind w:left="1275"/>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78" w:hRule="atLeast"/>
        </w:trPr>
        <w:tc>
          <w:tcPr>
            <w:tcW w:w="1139" w:type="dxa"/>
            <w:vAlign w:val="top"/>
          </w:tcPr>
          <w:p>
            <w:pPr>
              <w:pStyle w:val="TableText"/>
              <w:rPr/>
            </w:pPr>
            <w:r/>
          </w:p>
        </w:tc>
        <w:tc>
          <w:tcPr>
            <w:tcW w:w="1760" w:type="dxa"/>
            <w:vAlign w:val="top"/>
          </w:tcPr>
          <w:p>
            <w:pPr>
              <w:pStyle w:val="TableText"/>
              <w:rPr/>
            </w:pPr>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677"/>
        <w:gridCol w:w="1372"/>
        <w:gridCol w:w="1296"/>
        <w:gridCol w:w="1371"/>
        <w:gridCol w:w="1442"/>
      </w:tblGrid>
      <w:tr>
        <w:trPr>
          <w:trHeight w:val="384" w:hRule="atLeast"/>
        </w:trPr>
        <w:tc>
          <w:tcPr>
            <w:tcW w:w="367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op w:val="single" w:color="FFFFFF" w:sz="4" w:space="0"/>
            </w:tcBorders>
          </w:tcPr>
          <w:p>
            <w:pPr>
              <w:ind w:left="63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45" w:type="dxa"/>
            <w:vAlign w:val="top"/>
            <w:gridSpan w:val="3"/>
            <w:tcBorders>
              <w:left w:val="single" w:color="FFFFFF" w:sz="2" w:space="0"/>
              <w:right w:val="single" w:color="FFFFFF" w:sz="2" w:space="0"/>
              <w:top w:val="single" w:color="FFFFFF" w:sz="4"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371" w:type="dxa"/>
            <w:vAlign w:val="top"/>
            <w:tcBorders>
              <w:left w:val="single" w:color="FFFFFF" w:sz="2" w:space="0"/>
              <w:right w:val="single" w:color="FFFFFF" w:sz="2" w:space="0"/>
              <w:top w:val="single" w:color="FFFFFF" w:sz="4" w:space="0"/>
            </w:tcBorders>
          </w:tcPr>
          <w:p>
            <w:pPr>
              <w:pStyle w:val="TableText"/>
              <w:rPr/>
            </w:pPr>
            <w:r/>
          </w:p>
        </w:tc>
        <w:tc>
          <w:tcPr>
            <w:tcW w:w="1442" w:type="dxa"/>
            <w:vAlign w:val="top"/>
            <w:tcBorders>
              <w:left w:val="single" w:color="FFFFFF" w:sz="2" w:space="0"/>
              <w:right w:val="single" w:color="FFFFFF" w:sz="2" w:space="0"/>
              <w:top w:val="single" w:color="FFFFFF" w:sz="4" w:space="0"/>
            </w:tcBorders>
          </w:tcPr>
          <w:p>
            <w:pPr>
              <w:ind w:left="834"/>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677" w:type="dxa"/>
            <w:vAlign w:val="top"/>
            <w:vMerge w:val="restart"/>
            <w:tcBorders>
              <w:bottom w:val="nil"/>
            </w:tcBorders>
          </w:tcPr>
          <w:p>
            <w:pPr>
              <w:pStyle w:val="TableText"/>
              <w:rPr/>
            </w:pPr>
            <w:r/>
          </w:p>
          <w:p>
            <w:pPr>
              <w:ind w:left="166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481" w:type="dxa"/>
            <w:vAlign w:val="top"/>
            <w:gridSpan w:val="4"/>
          </w:tcPr>
          <w:p>
            <w:pPr>
              <w:ind w:left="2246"/>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677" w:type="dxa"/>
            <w:vAlign w:val="top"/>
            <w:vMerge w:val="continue"/>
            <w:tcBorders>
              <w:top w:val="nil"/>
            </w:tcBorders>
          </w:tcPr>
          <w:p>
            <w:pPr>
              <w:pStyle w:val="TableText"/>
              <w:rPr/>
            </w:pPr>
            <w:r/>
          </w:p>
        </w:tc>
        <w:tc>
          <w:tcPr>
            <w:tcW w:w="1372" w:type="dxa"/>
            <w:vAlign w:val="top"/>
          </w:tcPr>
          <w:p>
            <w:pPr>
              <w:ind w:left="517"/>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96" w:type="dxa"/>
            <w:vAlign w:val="top"/>
          </w:tcPr>
          <w:p>
            <w:pPr>
              <w:ind w:left="150"/>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71" w:type="dxa"/>
            <w:vAlign w:val="top"/>
          </w:tcPr>
          <w:p>
            <w:pPr>
              <w:ind w:left="10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42" w:type="dxa"/>
            <w:vAlign w:val="top"/>
          </w:tcPr>
          <w:p>
            <w:pPr>
              <w:ind w:left="79"/>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677" w:type="dxa"/>
            <w:vAlign w:val="top"/>
          </w:tcPr>
          <w:p>
            <w:pPr>
              <w:ind w:left="1193"/>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428"/>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023"/>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220"/>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057"/>
              <w:spacing w:before="116"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667"/>
              <w:spacing w:before="11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84" w:hRule="atLeast"/>
        </w:trPr>
        <w:tc>
          <w:tcPr>
            <w:tcW w:w="3677" w:type="dxa"/>
            <w:vAlign w:val="top"/>
            <w:tcBorders>
              <w:left w:val="single" w:color="FFFFFF" w:sz="4" w:space="0"/>
              <w:bottom w:val="single" w:color="FFFFFF" w:sz="4" w:space="0"/>
              <w:right w:val="single" w:color="000000" w:sz="2" w:space="0"/>
            </w:tcBorders>
          </w:tcPr>
          <w:p>
            <w:pPr>
              <w:ind w:left="5"/>
              <w:spacing w:before="1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372" w:type="dxa"/>
            <w:vAlign w:val="top"/>
            <w:tcBorders>
              <w:left w:val="single" w:color="FFFFFF" w:sz="2" w:space="0"/>
              <w:right w:val="single" w:color="FFFFFF" w:sz="2" w:space="0"/>
              <w:bottom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26"/>
          <w:footerReference w:type="default" r:id="rId27"/>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21"/>
        <w:gridCol w:w="1285"/>
        <w:gridCol w:w="1393"/>
        <w:gridCol w:w="1501"/>
        <w:gridCol w:w="1658"/>
      </w:tblGrid>
      <w:tr>
        <w:trPr>
          <w:trHeight w:val="383" w:hRule="atLeast"/>
        </w:trPr>
        <w:tc>
          <w:tcPr>
            <w:tcW w:w="332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nil"/>
            </w:tcBorders>
          </w:tcPr>
          <w:p>
            <w:pPr>
              <w:pStyle w:val="TableText"/>
              <w:rPr/>
            </w:pPr>
            <w:r/>
          </w:p>
        </w:tc>
        <w:tc>
          <w:tcPr>
            <w:tcW w:w="139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0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5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26"/>
            <w:bookmarkEnd w:id="26"/>
            <w:bookmarkStart w:name="bookmark16" w:id="27"/>
            <w:bookmarkEnd w:id="27"/>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321" w:type="dxa"/>
            <w:vAlign w:val="top"/>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285" w:type="dxa"/>
            <w:vAlign w:val="top"/>
            <w:tcBorders>
              <w:left w:val="single" w:color="FFFFFF" w:sz="2" w:space="0"/>
              <w:right w:val="single" w:color="FFFFFF" w:sz="2" w:space="0"/>
              <w:top w:val="single" w:color="FFFFFF" w:sz="4" w:space="0"/>
            </w:tcBorders>
          </w:tcPr>
          <w:p>
            <w:pPr>
              <w:pStyle w:val="TableText"/>
              <w:rPr/>
            </w:pPr>
            <w:r/>
          </w:p>
        </w:tc>
        <w:tc>
          <w:tcPr>
            <w:tcW w:w="1393" w:type="dxa"/>
            <w:vAlign w:val="top"/>
            <w:tcBorders>
              <w:left w:val="single" w:color="FFFFFF" w:sz="2" w:space="0"/>
              <w:right w:val="single" w:color="FFFFFF" w:sz="2" w:space="0"/>
              <w:top w:val="single" w:color="FFFFFF" w:sz="4" w:space="0"/>
            </w:tcBorders>
          </w:tcPr>
          <w:p>
            <w:pPr>
              <w:pStyle w:val="TableText"/>
              <w:rPr/>
            </w:pPr>
            <w:r/>
          </w:p>
        </w:tc>
        <w:tc>
          <w:tcPr>
            <w:tcW w:w="1501" w:type="dxa"/>
            <w:vAlign w:val="top"/>
            <w:tcBorders>
              <w:left w:val="single" w:color="FFFFFF" w:sz="2" w:space="0"/>
              <w:right w:val="single" w:color="FFFFFF" w:sz="2" w:space="0"/>
              <w:top w:val="single" w:color="FFFFFF" w:sz="4" w:space="0"/>
            </w:tcBorders>
          </w:tcPr>
          <w:p>
            <w:pPr>
              <w:pStyle w:val="TableText"/>
              <w:rPr/>
            </w:pPr>
            <w:r/>
          </w:p>
        </w:tc>
        <w:tc>
          <w:tcPr>
            <w:tcW w:w="1658" w:type="dxa"/>
            <w:vAlign w:val="top"/>
            <w:tcBorders>
              <w:left w:val="single" w:color="FFFFFF" w:sz="2" w:space="0"/>
              <w:right w:val="single" w:color="FFFFFF" w:sz="2" w:space="0"/>
              <w:top w:val="single" w:color="FFFFFF" w:sz="4" w:space="0"/>
            </w:tcBorders>
          </w:tcPr>
          <w:p>
            <w:pPr>
              <w:ind w:left="1050"/>
              <w:spacing w:before="125"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321" w:type="dxa"/>
            <w:vAlign w:val="top"/>
            <w:vMerge w:val="restart"/>
            <w:tcBorders>
              <w:bottom w:val="nil"/>
            </w:tcBorders>
          </w:tcPr>
          <w:p>
            <w:pPr>
              <w:ind w:left="1319"/>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5837" w:type="dxa"/>
            <w:vAlign w:val="top"/>
            <w:gridSpan w:val="4"/>
          </w:tcPr>
          <w:p>
            <w:pPr>
              <w:ind w:left="250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321" w:type="dxa"/>
            <w:vAlign w:val="top"/>
            <w:vMerge w:val="continue"/>
            <w:tcBorders>
              <w:top w:val="nil"/>
            </w:tcBorders>
          </w:tcPr>
          <w:p>
            <w:pPr>
              <w:pStyle w:val="TableText"/>
              <w:rPr/>
            </w:pPr>
            <w:r/>
          </w:p>
        </w:tc>
        <w:tc>
          <w:tcPr>
            <w:tcW w:w="1285" w:type="dxa"/>
            <w:vAlign w:val="top"/>
          </w:tcPr>
          <w:p>
            <w:pPr>
              <w:ind w:left="466"/>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01" w:type="dxa"/>
            <w:vAlign w:val="top"/>
          </w:tcPr>
          <w:p>
            <w:pPr>
              <w:ind w:left="172"/>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658" w:type="dxa"/>
            <w:vAlign w:val="top"/>
          </w:tcPr>
          <w:p>
            <w:pPr>
              <w:ind w:left="185"/>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321" w:type="dxa"/>
            <w:vAlign w:val="top"/>
          </w:tcPr>
          <w:p>
            <w:pPr>
              <w:ind w:left="1320"/>
              <w:spacing w:before="113"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285" w:type="dxa"/>
            <w:vAlign w:val="top"/>
          </w:tcPr>
          <w:p>
            <w:pPr>
              <w:pStyle w:val="TableText"/>
              <w:rPr/>
            </w:pPr>
            <w:r/>
          </w:p>
        </w:tc>
        <w:tc>
          <w:tcPr>
            <w:tcW w:w="1393" w:type="dxa"/>
            <w:vAlign w:val="top"/>
          </w:tcPr>
          <w:p>
            <w:pPr>
              <w:pStyle w:val="TableText"/>
              <w:rPr/>
            </w:pPr>
            <w:r/>
          </w:p>
        </w:tc>
        <w:tc>
          <w:tcPr>
            <w:tcW w:w="1501" w:type="dxa"/>
            <w:vAlign w:val="top"/>
          </w:tcPr>
          <w:p>
            <w:pPr>
              <w:pStyle w:val="TableText"/>
              <w:rPr/>
            </w:pPr>
            <w:r/>
          </w:p>
        </w:tc>
        <w:tc>
          <w:tcPr>
            <w:tcW w:w="1658" w:type="dxa"/>
            <w:vAlign w:val="top"/>
          </w:tcPr>
          <w:p>
            <w:pPr>
              <w:pStyle w:val="TableText"/>
              <w:rPr/>
            </w:pPr>
            <w:r/>
          </w:p>
        </w:tc>
      </w:tr>
      <w:tr>
        <w:trPr>
          <w:trHeight w:val="378" w:hRule="atLeast"/>
        </w:trPr>
        <w:tc>
          <w:tcPr>
            <w:tcW w:w="3321" w:type="dxa"/>
            <w:vAlign w:val="top"/>
          </w:tcPr>
          <w:p>
            <w:pPr>
              <w:pStyle w:val="TableText"/>
              <w:rPr/>
            </w:pPr>
            <w:r/>
          </w:p>
        </w:tc>
        <w:tc>
          <w:tcPr>
            <w:tcW w:w="1285" w:type="dxa"/>
            <w:vAlign w:val="top"/>
          </w:tcPr>
          <w:p>
            <w:pPr>
              <w:pStyle w:val="TableText"/>
              <w:rPr/>
            </w:pPr>
            <w:r/>
          </w:p>
        </w:tc>
        <w:tc>
          <w:tcPr>
            <w:tcW w:w="1393" w:type="dxa"/>
            <w:vAlign w:val="top"/>
          </w:tcPr>
          <w:p>
            <w:pPr>
              <w:pStyle w:val="TableText"/>
              <w:rPr/>
            </w:pPr>
            <w:r/>
          </w:p>
        </w:tc>
        <w:tc>
          <w:tcPr>
            <w:tcW w:w="1501" w:type="dxa"/>
            <w:vAlign w:val="top"/>
          </w:tcPr>
          <w:p>
            <w:pPr>
              <w:pStyle w:val="TableText"/>
              <w:rPr/>
            </w:pPr>
            <w:r/>
          </w:p>
        </w:tc>
        <w:tc>
          <w:tcPr>
            <w:tcW w:w="1658" w:type="dxa"/>
            <w:vAlign w:val="top"/>
          </w:tcPr>
          <w:p>
            <w:pPr>
              <w:pStyle w:val="TableText"/>
              <w:rPr/>
            </w:pPr>
            <w:r/>
          </w:p>
        </w:tc>
      </w:tr>
      <w:tr>
        <w:trPr>
          <w:trHeight w:val="383" w:hRule="atLeast"/>
        </w:trPr>
        <w:tc>
          <w:tcPr>
            <w:tcW w:w="3321" w:type="dxa"/>
            <w:vAlign w:val="top"/>
            <w:tcBorders>
              <w:left w:val="single" w:color="FFFFFF" w:sz="2" w:space="0"/>
              <w:right w:val="single" w:color="FFFFFF" w:sz="2" w:space="0"/>
              <w:bottom w:val="single" w:color="FFFFFF" w:sz="4" w:space="0"/>
            </w:tcBorders>
          </w:tcPr>
          <w:p>
            <w:pPr>
              <w:ind w:left="18"/>
              <w:spacing w:before="116" w:line="233" w:lineRule="auto"/>
              <w:rPr>
                <w:rFonts w:ascii="FangSong" w:hAnsi="FangSong" w:eastAsia="FangSong" w:cs="FangSong"/>
                <w:sz w:val="15"/>
                <w:szCs w:val="15"/>
              </w:rPr>
            </w:pPr>
            <w:r>
              <w:rPr>
                <w:rFonts w:ascii="FangSong" w:hAnsi="FangSong" w:eastAsia="FangSong" w:cs="FangSong"/>
                <w:sz w:val="15"/>
                <w:szCs w:val="15"/>
                <w:color w:val="212529"/>
                <w:spacing w:val="6"/>
              </w:rPr>
              <w:t>注：本表无数据</w:t>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393" w:type="dxa"/>
            <w:vAlign w:val="top"/>
            <w:tcBorders>
              <w:left w:val="single" w:color="FFFFFF" w:sz="2" w:space="0"/>
              <w:right w:val="single" w:color="FFFFFF" w:sz="2" w:space="0"/>
              <w:bottom w:val="single" w:color="FFFFFF" w:sz="4" w:space="0"/>
            </w:tcBorders>
          </w:tcPr>
          <w:p>
            <w:pPr>
              <w:pStyle w:val="TableText"/>
              <w:rPr/>
            </w:pPr>
            <w:r/>
          </w:p>
        </w:tc>
        <w:tc>
          <w:tcPr>
            <w:tcW w:w="1501" w:type="dxa"/>
            <w:vAlign w:val="top"/>
            <w:tcBorders>
              <w:left w:val="single" w:color="FFFFFF" w:sz="2" w:space="0"/>
              <w:right w:val="single" w:color="FFFFFF" w:sz="2" w:space="0"/>
              <w:bottom w:val="single" w:color="FFFFFF" w:sz="4" w:space="0"/>
            </w:tcBorders>
          </w:tcPr>
          <w:p>
            <w:pPr>
              <w:pStyle w:val="TableText"/>
              <w:rPr/>
            </w:pPr>
            <w:r/>
          </w:p>
        </w:tc>
        <w:tc>
          <w:tcPr>
            <w:tcW w:w="1658"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28"/>
          <w:footerReference w:type="default" r:id="rId29"/>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86"/>
        <w:gridCol w:w="1177"/>
        <w:gridCol w:w="1188"/>
        <w:gridCol w:w="670"/>
        <w:gridCol w:w="1155"/>
        <w:gridCol w:w="1123"/>
        <w:gridCol w:w="859"/>
      </w:tblGrid>
      <w:tr>
        <w:trPr>
          <w:trHeight w:val="383" w:hRule="atLeast"/>
        </w:trPr>
        <w:tc>
          <w:tcPr>
            <w:tcW w:w="298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7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67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82" w:type="dxa"/>
            <w:vAlign w:val="top"/>
            <w:gridSpan w:val="2"/>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47" w:id="28"/>
            <w:bookmarkEnd w:id="28"/>
            <w:bookmarkStart w:name="bookmark17" w:id="29"/>
            <w:bookmarkEnd w:id="29"/>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8" w:hRule="atLeast"/>
        </w:trPr>
        <w:tc>
          <w:tcPr>
            <w:tcW w:w="7176" w:type="dxa"/>
            <w:vAlign w:val="top"/>
            <w:gridSpan w:val="5"/>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982" w:type="dxa"/>
            <w:vAlign w:val="top"/>
            <w:gridSpan w:val="2"/>
            <w:tcBorders>
              <w:top w:val="single" w:color="FFFFFF" w:sz="4" w:space="0"/>
              <w:left w:val="single" w:color="FFFFFF" w:sz="2" w:space="0"/>
              <w:right w:val="single" w:color="FFFFFF" w:sz="2" w:space="0"/>
            </w:tcBorders>
          </w:tcPr>
          <w:p>
            <w:pPr>
              <w:ind w:left="1309"/>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2986" w:type="dxa"/>
            <w:vAlign w:val="top"/>
            <w:vMerge w:val="restart"/>
            <w:tcBorders>
              <w:bottom w:val="nil"/>
            </w:tcBorders>
          </w:tcPr>
          <w:p>
            <w:pPr>
              <w:pStyle w:val="TableText"/>
              <w:spacing w:line="325" w:lineRule="auto"/>
              <w:rPr/>
            </w:pPr>
            <w:r/>
          </w:p>
          <w:p>
            <w:pPr>
              <w:ind w:left="1155"/>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177" w:type="dxa"/>
            <w:vAlign w:val="top"/>
            <w:vMerge w:val="restart"/>
            <w:tcBorders>
              <w:bottom w:val="nil"/>
            </w:tcBorders>
          </w:tcPr>
          <w:p>
            <w:pPr>
              <w:pStyle w:val="TableText"/>
              <w:spacing w:line="325" w:lineRule="auto"/>
              <w:rPr/>
            </w:pPr>
            <w:r/>
          </w:p>
          <w:p>
            <w:pPr>
              <w:ind w:left="417"/>
              <w:spacing w:before="6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013" w:type="dxa"/>
            <w:vAlign w:val="top"/>
            <w:gridSpan w:val="3"/>
          </w:tcPr>
          <w:p>
            <w:pPr>
              <w:ind w:left="9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123" w:type="dxa"/>
            <w:vAlign w:val="top"/>
            <w:vMerge w:val="restart"/>
            <w:tcBorders>
              <w:bottom w:val="nil"/>
            </w:tcBorders>
          </w:tcPr>
          <w:p>
            <w:pPr>
              <w:ind w:left="395" w:right="78" w:hanging="329"/>
              <w:spacing w:before="30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59" w:type="dxa"/>
            <w:vAlign w:val="top"/>
            <w:vMerge w:val="restart"/>
            <w:tcBorders>
              <w:bottom w:val="nil"/>
            </w:tcBorders>
          </w:tcPr>
          <w:p>
            <w:pPr>
              <w:pStyle w:val="TableText"/>
              <w:spacing w:line="324" w:lineRule="auto"/>
              <w:rPr/>
            </w:pPr>
            <w:r/>
          </w:p>
          <w:p>
            <w:pPr>
              <w:ind w:left="9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551" w:hRule="atLeast"/>
        </w:trPr>
        <w:tc>
          <w:tcPr>
            <w:tcW w:w="2986" w:type="dxa"/>
            <w:vAlign w:val="top"/>
            <w:vMerge w:val="continue"/>
            <w:tcBorders>
              <w:top w:val="nil"/>
            </w:tcBorders>
          </w:tcPr>
          <w:p>
            <w:pPr>
              <w:pStyle w:val="TableText"/>
              <w:rPr/>
            </w:pPr>
            <w:r/>
          </w:p>
        </w:tc>
        <w:tc>
          <w:tcPr>
            <w:tcW w:w="1177" w:type="dxa"/>
            <w:vAlign w:val="top"/>
            <w:vMerge w:val="continue"/>
            <w:tcBorders>
              <w:top w:val="nil"/>
            </w:tcBorders>
          </w:tcPr>
          <w:p>
            <w:pPr>
              <w:pStyle w:val="TableText"/>
              <w:rPr/>
            </w:pPr>
            <w:r/>
          </w:p>
        </w:tc>
        <w:tc>
          <w:tcPr>
            <w:tcW w:w="1188" w:type="dxa"/>
            <w:vAlign w:val="top"/>
          </w:tcPr>
          <w:p>
            <w:pPr>
              <w:ind w:left="96"/>
              <w:spacing w:before="19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670" w:type="dxa"/>
            <w:vAlign w:val="top"/>
          </w:tcPr>
          <w:p>
            <w:pPr>
              <w:ind w:left="79"/>
              <w:spacing w:before="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政府性</w:t>
            </w:r>
          </w:p>
          <w:p>
            <w:pPr>
              <w:ind w:left="238" w:right="97" w:hanging="162"/>
              <w:spacing w:before="2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2"/>
              </w:rPr>
              <w:t>基金预</w:t>
            </w:r>
            <w:r>
              <w:rPr>
                <w:rFonts w:ascii="Microsoft YaHei" w:hAnsi="Microsoft YaHei" w:eastAsia="Microsoft YaHei" w:cs="Microsoft YaHei"/>
                <w:sz w:val="15"/>
                <w:szCs w:val="15"/>
                <w:color w:val="212529"/>
                <w:spacing w:val="10"/>
              </w:rPr>
              <w:t>算</w:t>
            </w:r>
          </w:p>
        </w:tc>
        <w:tc>
          <w:tcPr>
            <w:tcW w:w="1155" w:type="dxa"/>
            <w:vAlign w:val="top"/>
          </w:tcPr>
          <w:p>
            <w:pPr>
              <w:ind w:left="399" w:right="101" w:hanging="304"/>
              <w:spacing w:before="11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c>
          <w:tcPr>
            <w:tcW w:w="1123" w:type="dxa"/>
            <w:vAlign w:val="top"/>
            <w:vMerge w:val="continue"/>
            <w:tcBorders>
              <w:top w:val="nil"/>
            </w:tcBorders>
          </w:tcPr>
          <w:p>
            <w:pPr>
              <w:pStyle w:val="TableText"/>
              <w:rPr/>
            </w:pPr>
            <w:r/>
          </w:p>
        </w:tc>
        <w:tc>
          <w:tcPr>
            <w:tcW w:w="859" w:type="dxa"/>
            <w:vAlign w:val="top"/>
            <w:vMerge w:val="continue"/>
            <w:tcBorders>
              <w:top w:val="nil"/>
            </w:tcBorders>
          </w:tcPr>
          <w:p>
            <w:pPr>
              <w:pStyle w:val="TableText"/>
              <w:rPr/>
            </w:pPr>
            <w:r/>
          </w:p>
        </w:tc>
      </w:tr>
      <w:tr>
        <w:trPr>
          <w:trHeight w:val="378" w:hRule="atLeast"/>
        </w:trPr>
        <w:tc>
          <w:tcPr>
            <w:tcW w:w="2986" w:type="dxa"/>
            <w:vAlign w:val="top"/>
          </w:tcPr>
          <w:p>
            <w:pPr>
              <w:ind w:left="1453"/>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177" w:type="dxa"/>
            <w:vAlign w:val="top"/>
          </w:tcPr>
          <w:p>
            <w:pPr>
              <w:ind w:left="540"/>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188" w:type="dxa"/>
            <w:vAlign w:val="top"/>
          </w:tcPr>
          <w:p>
            <w:pPr>
              <w:ind w:left="548"/>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670" w:type="dxa"/>
            <w:vAlign w:val="top"/>
          </w:tcPr>
          <w:p>
            <w:pPr>
              <w:ind w:left="283"/>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55" w:type="dxa"/>
            <w:vAlign w:val="top"/>
          </w:tcPr>
          <w:p>
            <w:pPr>
              <w:ind w:left="529"/>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123" w:type="dxa"/>
            <w:vAlign w:val="top"/>
          </w:tcPr>
          <w:p>
            <w:pPr>
              <w:ind w:left="513"/>
              <w:spacing w:before="115"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59" w:type="dxa"/>
            <w:vAlign w:val="top"/>
          </w:tcPr>
          <w:p>
            <w:pPr>
              <w:ind w:left="383"/>
              <w:spacing w:before="115"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8" w:hRule="atLeast"/>
        </w:trPr>
        <w:tc>
          <w:tcPr>
            <w:tcW w:w="2986" w:type="dxa"/>
            <w:vAlign w:val="top"/>
          </w:tcPr>
          <w:p>
            <w:pPr>
              <w:ind w:left="185"/>
              <w:spacing w:before="116" w:line="229" w:lineRule="auto"/>
              <w:rPr>
                <w:rFonts w:ascii="SimSun" w:hAnsi="SimSun" w:eastAsia="SimSun" w:cs="SimSun"/>
                <w:sz w:val="15"/>
                <w:szCs w:val="15"/>
              </w:rPr>
            </w:pPr>
            <w:r>
              <w:rPr>
                <w:rFonts w:ascii="SimSun" w:hAnsi="SimSun" w:eastAsia="SimSun" w:cs="SimSun"/>
                <w:sz w:val="15"/>
                <w:szCs w:val="15"/>
                <w:color w:val="212529"/>
                <w:spacing w:val="10"/>
              </w:rPr>
              <w:t>山西广播电视大学吕梁分校兴县工作站</w:t>
            </w:r>
          </w:p>
        </w:tc>
        <w:tc>
          <w:tcPr>
            <w:tcW w:w="1177"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c>
          <w:tcPr>
            <w:tcW w:w="1188"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22.00</w:t>
            </w:r>
          </w:p>
        </w:tc>
        <w:tc>
          <w:tcPr>
            <w:tcW w:w="670" w:type="dxa"/>
            <w:vAlign w:val="top"/>
          </w:tcPr>
          <w:p>
            <w:pPr>
              <w:pStyle w:val="TableText"/>
              <w:rPr/>
            </w:pPr>
            <w:r/>
          </w:p>
        </w:tc>
        <w:tc>
          <w:tcPr>
            <w:tcW w:w="1155" w:type="dxa"/>
            <w:vAlign w:val="top"/>
          </w:tcPr>
          <w:p>
            <w:pPr>
              <w:pStyle w:val="TableText"/>
              <w:rPr/>
            </w:pPr>
            <w:r/>
          </w:p>
        </w:tc>
        <w:tc>
          <w:tcPr>
            <w:tcW w:w="1123" w:type="dxa"/>
            <w:vAlign w:val="top"/>
          </w:tcPr>
          <w:p>
            <w:pPr>
              <w:pStyle w:val="TableText"/>
              <w:rPr/>
            </w:pPr>
            <w:r/>
          </w:p>
        </w:tc>
        <w:tc>
          <w:tcPr>
            <w:tcW w:w="859" w:type="dxa"/>
            <w:vAlign w:val="top"/>
          </w:tcPr>
          <w:p>
            <w:pPr>
              <w:pStyle w:val="TableText"/>
              <w:rPr/>
            </w:pPr>
            <w:r/>
          </w:p>
        </w:tc>
      </w:tr>
      <w:tr>
        <w:trPr>
          <w:trHeight w:val="378" w:hRule="atLeast"/>
        </w:trPr>
        <w:tc>
          <w:tcPr>
            <w:tcW w:w="2986" w:type="dxa"/>
            <w:vAlign w:val="top"/>
          </w:tcPr>
          <w:p>
            <w:pPr>
              <w:ind w:left="335"/>
              <w:spacing w:before="117" w:line="230" w:lineRule="auto"/>
              <w:rPr>
                <w:rFonts w:ascii="SimSun" w:hAnsi="SimSun" w:eastAsia="SimSun" w:cs="SimSun"/>
                <w:sz w:val="15"/>
                <w:szCs w:val="15"/>
              </w:rPr>
            </w:pPr>
            <w:r>
              <w:rPr>
                <w:rFonts w:ascii="SimSun" w:hAnsi="SimSun" w:eastAsia="SimSun" w:cs="SimSun"/>
                <w:sz w:val="15"/>
                <w:szCs w:val="15"/>
                <w:color w:val="212529"/>
                <w:spacing w:val="10"/>
              </w:rPr>
              <w:t>开放大学运行经费</w:t>
            </w:r>
          </w:p>
        </w:tc>
        <w:tc>
          <w:tcPr>
            <w:tcW w:w="1177"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670" w:type="dxa"/>
            <w:vAlign w:val="top"/>
          </w:tcPr>
          <w:p>
            <w:pPr>
              <w:pStyle w:val="TableText"/>
              <w:rPr/>
            </w:pPr>
            <w:r/>
          </w:p>
        </w:tc>
        <w:tc>
          <w:tcPr>
            <w:tcW w:w="1155" w:type="dxa"/>
            <w:vAlign w:val="top"/>
          </w:tcPr>
          <w:p>
            <w:pPr>
              <w:pStyle w:val="TableText"/>
              <w:rPr/>
            </w:pPr>
            <w:r/>
          </w:p>
        </w:tc>
        <w:tc>
          <w:tcPr>
            <w:tcW w:w="1123" w:type="dxa"/>
            <w:vAlign w:val="top"/>
          </w:tcPr>
          <w:p>
            <w:pPr>
              <w:pStyle w:val="TableText"/>
              <w:rPr/>
            </w:pPr>
            <w:r/>
          </w:p>
        </w:tc>
        <w:tc>
          <w:tcPr>
            <w:tcW w:w="859" w:type="dxa"/>
            <w:vAlign w:val="top"/>
          </w:tcPr>
          <w:p>
            <w:pPr>
              <w:pStyle w:val="TableText"/>
              <w:rPr/>
            </w:pPr>
            <w:r/>
          </w:p>
        </w:tc>
      </w:tr>
      <w:tr>
        <w:trPr>
          <w:trHeight w:val="384" w:hRule="atLeast"/>
        </w:trPr>
        <w:tc>
          <w:tcPr>
            <w:tcW w:w="2986" w:type="dxa"/>
            <w:vAlign w:val="top"/>
          </w:tcPr>
          <w:p>
            <w:pPr>
              <w:ind w:left="346"/>
              <w:spacing w:before="118" w:line="229" w:lineRule="auto"/>
              <w:rPr>
                <w:rFonts w:ascii="SimSun" w:hAnsi="SimSun" w:eastAsia="SimSun" w:cs="SimSun"/>
                <w:sz w:val="15"/>
                <w:szCs w:val="15"/>
              </w:rPr>
            </w:pPr>
            <w:r>
              <w:rPr>
                <w:rFonts w:ascii="SimSun" w:hAnsi="SimSun" w:eastAsia="SimSun" w:cs="SimSun"/>
                <w:sz w:val="15"/>
                <w:szCs w:val="15"/>
                <w:color w:val="212529"/>
                <w:spacing w:val="10"/>
              </w:rPr>
              <w:t>网络信息系统运行与维护费用</w:t>
            </w:r>
          </w:p>
        </w:tc>
        <w:tc>
          <w:tcPr>
            <w:tcW w:w="1177"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670" w:type="dxa"/>
            <w:vAlign w:val="top"/>
          </w:tcPr>
          <w:p>
            <w:pPr>
              <w:pStyle w:val="TableText"/>
              <w:rPr/>
            </w:pPr>
            <w:r/>
          </w:p>
        </w:tc>
        <w:tc>
          <w:tcPr>
            <w:tcW w:w="1155" w:type="dxa"/>
            <w:vAlign w:val="top"/>
          </w:tcPr>
          <w:p>
            <w:pPr>
              <w:pStyle w:val="TableText"/>
              <w:rPr/>
            </w:pPr>
            <w:r/>
          </w:p>
        </w:tc>
        <w:tc>
          <w:tcPr>
            <w:tcW w:w="1123" w:type="dxa"/>
            <w:vAlign w:val="top"/>
          </w:tcPr>
          <w:p>
            <w:pPr>
              <w:pStyle w:val="TableText"/>
              <w:rPr/>
            </w:pPr>
            <w:r/>
          </w:p>
        </w:tc>
        <w:tc>
          <w:tcPr>
            <w:tcW w:w="859" w:type="dxa"/>
            <w:vAlign w:val="top"/>
          </w:tcPr>
          <w:p>
            <w:pPr>
              <w:pStyle w:val="TableText"/>
              <w:rPr/>
            </w:pPr>
            <w:r/>
          </w:p>
        </w:tc>
      </w:tr>
    </w:tbl>
    <w:p>
      <w:pPr>
        <w:pStyle w:val="BodyText"/>
        <w:rPr/>
      </w:pPr>
      <w:r/>
    </w:p>
    <w:p>
      <w:pPr>
        <w:sectPr>
          <w:headerReference w:type="default" r:id="rId30"/>
          <w:footerReference w:type="default" r:id="rId31"/>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142"/>
        <w:gridCol w:w="1155"/>
        <w:gridCol w:w="1285"/>
        <w:gridCol w:w="1242"/>
        <w:gridCol w:w="1334"/>
      </w:tblGrid>
      <w:tr>
        <w:trPr>
          <w:trHeight w:val="383" w:hRule="atLeast"/>
        </w:trPr>
        <w:tc>
          <w:tcPr>
            <w:tcW w:w="41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3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18" w:id="30"/>
            <w:bookmarkEnd w:id="30"/>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824" w:type="dxa"/>
            <w:vAlign w:val="top"/>
            <w:gridSpan w:val="4"/>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单位名称：山西广播电视大学吕梁分校兴县工作站</w:t>
            </w:r>
          </w:p>
        </w:tc>
        <w:tc>
          <w:tcPr>
            <w:tcW w:w="1334" w:type="dxa"/>
            <w:vAlign w:val="top"/>
            <w:tcBorders>
              <w:left w:val="single" w:color="FFFFFF" w:sz="2" w:space="0"/>
              <w:right w:val="single" w:color="FFFFFF" w:sz="2" w:space="0"/>
              <w:top w:val="single" w:color="FFFFFF" w:sz="4" w:space="0"/>
            </w:tcBorders>
          </w:tcPr>
          <w:p>
            <w:pPr>
              <w:ind w:left="6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4142" w:type="dxa"/>
            <w:vAlign w:val="top"/>
            <w:vMerge w:val="restart"/>
            <w:tcBorders>
              <w:bottom w:val="nil"/>
            </w:tcBorders>
          </w:tcPr>
          <w:p>
            <w:pPr>
              <w:ind w:left="1735"/>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155" w:type="dxa"/>
            <w:vAlign w:val="top"/>
            <w:vMerge w:val="restart"/>
            <w:tcBorders>
              <w:bottom w:val="nil"/>
            </w:tcBorders>
          </w:tcPr>
          <w:p>
            <w:pPr>
              <w:ind w:left="408"/>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861" w:type="dxa"/>
            <w:vAlign w:val="top"/>
            <w:gridSpan w:val="3"/>
          </w:tcPr>
          <w:p>
            <w:pPr>
              <w:ind w:left="135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4142" w:type="dxa"/>
            <w:vAlign w:val="top"/>
            <w:vMerge w:val="continue"/>
            <w:tcBorders>
              <w:top w:val="nil"/>
            </w:tcBorders>
          </w:tcPr>
          <w:p>
            <w:pPr>
              <w:pStyle w:val="TableText"/>
              <w:rPr/>
            </w:pPr>
            <w:r/>
          </w:p>
        </w:tc>
        <w:tc>
          <w:tcPr>
            <w:tcW w:w="1155" w:type="dxa"/>
            <w:vAlign w:val="top"/>
            <w:vMerge w:val="continue"/>
            <w:tcBorders>
              <w:top w:val="nil"/>
            </w:tcBorders>
          </w:tcPr>
          <w:p>
            <w:pPr>
              <w:pStyle w:val="TableText"/>
              <w:rPr/>
            </w:pPr>
            <w:r/>
          </w:p>
        </w:tc>
        <w:tc>
          <w:tcPr>
            <w:tcW w:w="1285" w:type="dxa"/>
            <w:vAlign w:val="top"/>
          </w:tcPr>
          <w:p>
            <w:pPr>
              <w:ind w:left="14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242" w:type="dxa"/>
            <w:vAlign w:val="top"/>
          </w:tcPr>
          <w:p>
            <w:pPr>
              <w:ind w:left="446" w:right="220"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政府性基金</w:t>
            </w:r>
            <w:r>
              <w:rPr>
                <w:rFonts w:ascii="Microsoft YaHei" w:hAnsi="Microsoft YaHei" w:eastAsia="Microsoft YaHei" w:cs="Microsoft YaHei"/>
                <w:sz w:val="15"/>
                <w:szCs w:val="15"/>
                <w:color w:val="212529"/>
                <w:spacing w:val="11"/>
              </w:rPr>
              <w:t>预算</w:t>
            </w:r>
          </w:p>
        </w:tc>
        <w:tc>
          <w:tcPr>
            <w:tcW w:w="1334" w:type="dxa"/>
            <w:vAlign w:val="top"/>
          </w:tcPr>
          <w:p>
            <w:pPr>
              <w:ind w:left="348"/>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332"/>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4142" w:type="dxa"/>
            <w:vAlign w:val="top"/>
          </w:tcPr>
          <w:p>
            <w:pPr>
              <w:ind w:left="2033"/>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155" w:type="dxa"/>
            <w:vAlign w:val="top"/>
          </w:tcPr>
          <w:p>
            <w:pPr>
              <w:ind w:left="532"/>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85" w:type="dxa"/>
            <w:vAlign w:val="top"/>
          </w:tcPr>
          <w:p>
            <w:pPr>
              <w:ind w:left="599"/>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242" w:type="dxa"/>
            <w:vAlign w:val="top"/>
          </w:tcPr>
          <w:p>
            <w:pPr>
              <w:ind w:left="572"/>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334" w:type="dxa"/>
            <w:vAlign w:val="top"/>
          </w:tcPr>
          <w:p>
            <w:pPr>
              <w:ind w:left="620"/>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4142" w:type="dxa"/>
            <w:vAlign w:val="top"/>
          </w:tcPr>
          <w:p>
            <w:pPr>
              <w:pStyle w:val="TableText"/>
              <w:rPr/>
            </w:pPr>
            <w:r/>
          </w:p>
        </w:tc>
        <w:tc>
          <w:tcPr>
            <w:tcW w:w="1155" w:type="dxa"/>
            <w:vAlign w:val="top"/>
          </w:tcPr>
          <w:p>
            <w:pPr>
              <w:pStyle w:val="TableText"/>
              <w:rPr/>
            </w:pPr>
            <w:r/>
          </w:p>
        </w:tc>
        <w:tc>
          <w:tcPr>
            <w:tcW w:w="1285" w:type="dxa"/>
            <w:vAlign w:val="top"/>
          </w:tcPr>
          <w:p>
            <w:pPr>
              <w:pStyle w:val="TableText"/>
              <w:rPr/>
            </w:pPr>
            <w:r/>
          </w:p>
        </w:tc>
        <w:tc>
          <w:tcPr>
            <w:tcW w:w="1242" w:type="dxa"/>
            <w:vAlign w:val="top"/>
          </w:tcPr>
          <w:p>
            <w:pPr>
              <w:pStyle w:val="TableText"/>
              <w:rPr/>
            </w:pPr>
            <w:r/>
          </w:p>
        </w:tc>
        <w:tc>
          <w:tcPr>
            <w:tcW w:w="1334" w:type="dxa"/>
            <w:vAlign w:val="top"/>
          </w:tcPr>
          <w:p>
            <w:pPr>
              <w:pStyle w:val="TableText"/>
              <w:rPr/>
            </w:pPr>
            <w:r/>
          </w:p>
        </w:tc>
      </w:tr>
      <w:tr>
        <w:trPr>
          <w:trHeight w:val="383" w:hRule="atLeast"/>
        </w:trPr>
        <w:tc>
          <w:tcPr>
            <w:tcW w:w="4142" w:type="dxa"/>
            <w:vAlign w:val="top"/>
            <w:tcBorders>
              <w:left w:val="single" w:color="FFFFFF" w:sz="4" w:space="0"/>
              <w:bottom w:val="single" w:color="FFFFFF" w:sz="4" w:space="0"/>
              <w:right w:val="single" w:color="000000" w:sz="2"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155" w:type="dxa"/>
            <w:vAlign w:val="top"/>
            <w:tcBorders>
              <w:left w:val="single" w:color="FFFFFF" w:sz="2" w:space="0"/>
              <w:right w:val="single" w:color="FFFFFF" w:sz="2" w:space="0"/>
              <w:bottom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cBorders>
          </w:tcPr>
          <w:p>
            <w:pPr>
              <w:pStyle w:val="TableText"/>
              <w:rPr/>
            </w:pPr>
            <w:r/>
          </w:p>
        </w:tc>
        <w:tc>
          <w:tcPr>
            <w:tcW w:w="1334"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32"/>
          <w:footerReference w:type="default" r:id="rId33"/>
          <w:pgSz w:w="11900" w:h="16840"/>
          <w:pgMar w:top="642" w:right="0" w:bottom="340" w:left="0" w:header="326" w:footer="93" w:gutter="0"/>
        </w:sectPr>
        <w:rPr/>
      </w:pPr>
    </w:p>
    <w:p>
      <w:pPr>
        <w:pStyle w:val="BodyText"/>
        <w:spacing w:line="334" w:lineRule="auto"/>
        <w:rPr/>
      </w:pPr>
      <w:r/>
    </w:p>
    <w:p>
      <w:pPr>
        <w:pStyle w:val="BodyText"/>
        <w:spacing w:line="335" w:lineRule="auto"/>
        <w:rPr/>
      </w:pPr>
      <w:r/>
    </w:p>
    <w:p>
      <w:pPr>
        <w:ind w:left="4064"/>
        <w:spacing w:before="94" w:line="230" w:lineRule="exact"/>
        <w:outlineLvl w:val="0"/>
        <w:rPr>
          <w:rFonts w:ascii="Microsoft YaHei" w:hAnsi="Microsoft YaHei" w:eastAsia="Microsoft YaHei" w:cs="Microsoft YaHei"/>
          <w:sz w:val="22"/>
          <w:szCs w:val="22"/>
        </w:rPr>
      </w:pPr>
      <w:bookmarkStart w:name="bookmark19" w:id="31"/>
      <w:bookmarkEnd w:id="31"/>
      <w:r>
        <w:rPr>
          <w:rFonts w:ascii="Microsoft YaHei" w:hAnsi="Microsoft YaHei" w:eastAsia="Microsoft YaHei" w:cs="Microsoft YaHei"/>
          <w:sz w:val="22"/>
          <w:szCs w:val="22"/>
          <w:spacing w:val="4"/>
          <w:position w:val="-1"/>
        </w:rPr>
        <w:t>第三部分</w:t>
      </w:r>
      <w:r>
        <w:rPr>
          <w:rFonts w:ascii="Microsoft YaHei" w:hAnsi="Microsoft YaHei" w:eastAsia="Microsoft YaHei" w:cs="Microsoft YaHei"/>
          <w:sz w:val="22"/>
          <w:szCs w:val="22"/>
          <w:spacing w:val="53"/>
          <w:position w:val="-1"/>
        </w:rPr>
        <w:t xml:space="preserve"> </w:t>
      </w:r>
      <w:r>
        <w:rPr>
          <w:rFonts w:ascii="Microsoft YaHei" w:hAnsi="Microsoft YaHei" w:eastAsia="Microsoft YaHei" w:cs="Microsoft YaHei"/>
          <w:sz w:val="22"/>
          <w:szCs w:val="22"/>
          <w:spacing w:val="4"/>
          <w:position w:val="-1"/>
        </w:rPr>
        <w:t>2025年度单位预算情况说明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2"/>
      <w:bookmarkEnd w:id="32"/>
      <w:r>
        <w:rPr>
          <w:rFonts w:ascii="Microsoft YaHei" w:hAnsi="Microsoft YaHei" w:eastAsia="Microsoft YaHei" w:cs="Microsoft YaHei"/>
          <w:sz w:val="22"/>
          <w:szCs w:val="22"/>
          <w:spacing w:val="9"/>
          <w:position w:val="-1"/>
        </w:rPr>
        <w:t>一、单位预算收支数据变动情况及原因</w:t>
      </w:r>
    </w:p>
    <w:p>
      <w:pPr>
        <w:ind w:left="1264" w:right="1223" w:firstLine="455"/>
        <w:spacing w:before="187" w:line="322" w:lineRule="auto"/>
        <w:jc w:val="both"/>
        <w:rPr>
          <w:rFonts w:ascii="FangSong" w:hAnsi="FangSong" w:eastAsia="FangSong" w:cs="FangSong"/>
          <w:sz w:val="23"/>
          <w:szCs w:val="23"/>
        </w:rPr>
      </w:pPr>
      <w:r>
        <w:rPr>
          <w:rFonts w:ascii="FangSong" w:hAnsi="FangSong" w:eastAsia="FangSong" w:cs="FangSong"/>
          <w:sz w:val="23"/>
          <w:szCs w:val="23"/>
          <w:spacing w:val="5"/>
        </w:rPr>
        <w:t>2025年度山西广播电视大学吕梁分校兴县工作站预算收入总计289.37万元，其中：本年</w:t>
      </w:r>
      <w:r>
        <w:rPr>
          <w:rFonts w:ascii="FangSong" w:hAnsi="FangSong" w:eastAsia="FangSong" w:cs="FangSong"/>
          <w:sz w:val="23"/>
          <w:szCs w:val="23"/>
          <w:spacing w:val="3"/>
        </w:rPr>
        <w:t>收入289.37万元，上年结转0万元，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比上年减少53.65万元，下降15.64%，主要原因是根据八</w:t>
      </w:r>
      <w:r>
        <w:rPr>
          <w:rFonts w:ascii="FangSong" w:hAnsi="FangSong" w:eastAsia="FangSong" w:cs="FangSong"/>
          <w:sz w:val="23"/>
          <w:szCs w:val="23"/>
          <w:spacing w:val="2"/>
        </w:rPr>
        <w:t>项规定缩减开支,今年减少了部分项目资金。；本年单位预算支出总计289.37万元，其中：本</w:t>
      </w:r>
      <w:r>
        <w:rPr>
          <w:rFonts w:ascii="FangSong" w:hAnsi="FangSong" w:eastAsia="FangSong" w:cs="FangSong"/>
          <w:sz w:val="23"/>
          <w:szCs w:val="23"/>
          <w:spacing w:val="3"/>
        </w:rPr>
        <w:t>年预算安排289.37万元，上年结转0万元，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比上年减少53.65万元，下降15.64%，主要原因是</w:t>
      </w:r>
      <w:r>
        <w:rPr>
          <w:rFonts w:ascii="FangSong" w:hAnsi="FangSong" w:eastAsia="FangSong" w:cs="FangSong"/>
          <w:sz w:val="23"/>
          <w:szCs w:val="23"/>
          <w:spacing w:val="-1"/>
        </w:rPr>
        <w:t>根据八项规定缩减开支,今年减少了部分项目资金。</w:t>
      </w:r>
    </w:p>
    <w:p>
      <w:pPr>
        <w:ind w:left="1261"/>
        <w:spacing w:line="229" w:lineRule="exact"/>
        <w:outlineLvl w:val="1"/>
        <w:rPr>
          <w:rFonts w:ascii="Microsoft YaHei" w:hAnsi="Microsoft YaHei" w:eastAsia="Microsoft YaHei" w:cs="Microsoft YaHei"/>
          <w:sz w:val="22"/>
          <w:szCs w:val="22"/>
        </w:rPr>
      </w:pPr>
      <w:bookmarkStart w:name="bookmark21" w:id="33"/>
      <w:bookmarkEnd w:id="33"/>
      <w:r>
        <w:rPr>
          <w:rFonts w:ascii="Microsoft YaHei" w:hAnsi="Microsoft YaHei" w:eastAsia="Microsoft YaHei" w:cs="Microsoft YaHei"/>
          <w:sz w:val="22"/>
          <w:szCs w:val="22"/>
          <w:spacing w:val="8"/>
          <w:position w:val="-1"/>
        </w:rPr>
        <w:t>二、收入预算情况说明</w:t>
      </w:r>
    </w:p>
    <w:p>
      <w:pPr>
        <w:ind w:left="1270" w:right="1223" w:firstLine="450"/>
        <w:spacing w:before="185" w:line="321" w:lineRule="auto"/>
        <w:rPr>
          <w:rFonts w:ascii="FangSong" w:hAnsi="FangSong" w:eastAsia="FangSong" w:cs="FangSong"/>
          <w:sz w:val="23"/>
          <w:szCs w:val="23"/>
        </w:rPr>
      </w:pPr>
      <w:r>
        <w:rPr>
          <w:rFonts w:ascii="FangSong" w:hAnsi="FangSong" w:eastAsia="FangSong" w:cs="FangSong"/>
          <w:sz w:val="23"/>
          <w:szCs w:val="23"/>
          <w:spacing w:val="5"/>
        </w:rPr>
        <w:t>2025年度山西广播电视大学吕梁分校兴县工作站预算收入289.37万元，主要包括一般公</w:t>
      </w:r>
      <w:r>
        <w:rPr>
          <w:rFonts w:ascii="FangSong" w:hAnsi="FangSong" w:eastAsia="FangSong" w:cs="FangSong"/>
          <w:sz w:val="23"/>
          <w:szCs w:val="23"/>
          <w:spacing w:val="2"/>
        </w:rPr>
        <w:t>共预</w:t>
      </w:r>
      <w:r>
        <w:rPr>
          <w:rFonts w:ascii="FangSong" w:hAnsi="FangSong" w:eastAsia="FangSong" w:cs="FangSong"/>
          <w:sz w:val="23"/>
          <w:szCs w:val="23"/>
          <w:spacing w:val="2"/>
        </w:rPr>
        <w:t xml:space="preserve">  </w:t>
      </w:r>
      <w:r>
        <w:rPr>
          <w:rFonts w:ascii="FangSong" w:hAnsi="FangSong" w:eastAsia="FangSong" w:cs="FangSong"/>
          <w:sz w:val="23"/>
          <w:szCs w:val="23"/>
          <w:spacing w:val="2"/>
        </w:rPr>
        <w:t>拨款收入289.37万元，</w:t>
      </w:r>
      <w:r>
        <w:rPr>
          <w:rFonts w:ascii="FangSong" w:hAnsi="FangSong" w:eastAsia="FangSong" w:cs="FangSong"/>
          <w:sz w:val="23"/>
          <w:szCs w:val="23"/>
          <w:spacing w:val="-54"/>
        </w:rPr>
        <w:t xml:space="preserve"> </w:t>
      </w:r>
      <w:r>
        <w:rPr>
          <w:rFonts w:ascii="FangSong" w:hAnsi="FangSong" w:eastAsia="FangSong" w:cs="FangSong"/>
          <w:sz w:val="23"/>
          <w:szCs w:val="23"/>
          <w:spacing w:val="2"/>
        </w:rPr>
        <w:t>占100.00%；政府性基金</w:t>
      </w:r>
      <w:r>
        <w:rPr>
          <w:rFonts w:ascii="FangSong" w:hAnsi="FangSong" w:eastAsia="FangSong" w:cs="FangSong"/>
          <w:sz w:val="23"/>
          <w:szCs w:val="23"/>
          <w:spacing w:val="1"/>
        </w:rPr>
        <w:t>预算拨款收入0万元，</w:t>
      </w:r>
      <w:r>
        <w:rPr>
          <w:rFonts w:ascii="FangSong" w:hAnsi="FangSong" w:eastAsia="FangSong" w:cs="FangSong"/>
          <w:sz w:val="23"/>
          <w:szCs w:val="23"/>
          <w:spacing w:val="-53"/>
        </w:rPr>
        <w:t xml:space="preserve"> </w:t>
      </w:r>
      <w:r>
        <w:rPr>
          <w:rFonts w:ascii="FangSong" w:hAnsi="FangSong" w:eastAsia="FangSong" w:cs="FangSong"/>
          <w:sz w:val="23"/>
          <w:szCs w:val="23"/>
          <w:spacing w:val="1"/>
        </w:rPr>
        <w:t>占0%；</w:t>
      </w:r>
      <w:r>
        <w:rPr>
          <w:rFonts w:ascii="FangSong" w:hAnsi="FangSong" w:eastAsia="FangSong" w:cs="FangSong"/>
          <w:sz w:val="23"/>
          <w:szCs w:val="23"/>
          <w:spacing w:val="1"/>
        </w:rPr>
        <w:t xml:space="preserve">    </w:t>
      </w:r>
      <w:r>
        <w:rPr>
          <w:rFonts w:ascii="FangSong" w:hAnsi="FangSong" w:eastAsia="FangSong" w:cs="FangSong"/>
          <w:sz w:val="23"/>
          <w:szCs w:val="23"/>
          <w:spacing w:val="1"/>
        </w:rPr>
        <w:t>资本</w:t>
      </w:r>
    </w:p>
    <w:p>
      <w:pPr>
        <w:ind w:left="1743"/>
        <w:spacing w:before="1" w:line="221" w:lineRule="auto"/>
        <w:rPr>
          <w:rFonts w:ascii="FangSong" w:hAnsi="FangSong" w:eastAsia="FangSong" w:cs="FangSong"/>
          <w:sz w:val="23"/>
          <w:szCs w:val="23"/>
        </w:rPr>
      </w:pPr>
      <w:r>
        <w:rPr>
          <w:rFonts w:ascii="FangSong" w:hAnsi="FangSong" w:eastAsia="FangSong" w:cs="FangSong"/>
          <w:sz w:val="23"/>
          <w:szCs w:val="23"/>
          <w:spacing w:val="3"/>
        </w:rPr>
        <w:t>预算拨款收入0万元，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占0%</w:t>
      </w:r>
      <w:r>
        <w:rPr>
          <w:rFonts w:ascii="FangSong" w:hAnsi="FangSong" w:eastAsia="FangSong" w:cs="FangSong"/>
          <w:sz w:val="23"/>
          <w:szCs w:val="23"/>
          <w:spacing w:val="3"/>
        </w:rPr>
        <w:t xml:space="preserve">  </w:t>
      </w:r>
      <w:r>
        <w:rPr>
          <w:rFonts w:ascii="FangSong" w:hAnsi="FangSong" w:eastAsia="FangSong" w:cs="FangSong"/>
          <w:sz w:val="23"/>
          <w:szCs w:val="23"/>
          <w:spacing w:val="3"/>
        </w:rPr>
        <w:t>财政专户管理资金收入0万元，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占0%</w:t>
      </w:r>
      <w:r>
        <w:rPr>
          <w:rFonts w:ascii="FangSong" w:hAnsi="FangSong" w:eastAsia="FangSong" w:cs="FangSong"/>
          <w:sz w:val="23"/>
          <w:szCs w:val="23"/>
          <w:spacing w:val="3"/>
        </w:rPr>
        <w:t xml:space="preserve">  </w:t>
      </w:r>
      <w:r>
        <w:rPr>
          <w:rFonts w:ascii="FangSong" w:hAnsi="FangSong" w:eastAsia="FangSong" w:cs="FangSong"/>
          <w:sz w:val="23"/>
          <w:szCs w:val="23"/>
          <w:spacing w:val="3"/>
        </w:rPr>
        <w:t>单位</w:t>
      </w:r>
      <w:r>
        <w:rPr>
          <w:rFonts w:ascii="FangSong" w:hAnsi="FangSong" w:eastAsia="FangSong" w:cs="FangSong"/>
          <w:sz w:val="23"/>
          <w:szCs w:val="23"/>
          <w:spacing w:val="10"/>
        </w:rPr>
        <w:t xml:space="preserve">     </w:t>
      </w:r>
      <w:r>
        <w:rPr>
          <w:rFonts w:ascii="FangSong" w:hAnsi="FangSong" w:eastAsia="FangSong" w:cs="FangSong"/>
          <w:sz w:val="23"/>
          <w:szCs w:val="23"/>
          <w:spacing w:val="3"/>
        </w:rPr>
        <w:t>万</w:t>
      </w:r>
      <w:r>
        <w:rPr>
          <w:rFonts w:ascii="FangSong" w:hAnsi="FangSong" w:eastAsia="FangSong" w:cs="FangSong"/>
          <w:sz w:val="23"/>
          <w:szCs w:val="23"/>
          <w:spacing w:val="2"/>
        </w:rPr>
        <w:t>元，</w:t>
      </w:r>
      <w:r>
        <w:rPr>
          <w:rFonts w:ascii="FangSong" w:hAnsi="FangSong" w:eastAsia="FangSong" w:cs="FangSong"/>
          <w:sz w:val="23"/>
          <w:szCs w:val="23"/>
          <w:spacing w:val="-49"/>
        </w:rPr>
        <w:t xml:space="preserve"> </w:t>
      </w:r>
      <w:r>
        <w:rPr>
          <w:rFonts w:ascii="FangSong" w:hAnsi="FangSong" w:eastAsia="FangSong" w:cs="FangSong"/>
          <w:sz w:val="23"/>
          <w:szCs w:val="23"/>
          <w:spacing w:val="2"/>
        </w:rPr>
        <w:t>占</w:t>
      </w:r>
    </w:p>
    <w:p>
      <w:pPr>
        <w:ind w:left="1258"/>
        <w:spacing w:before="135" w:line="219" w:lineRule="auto"/>
        <w:rPr>
          <w:rFonts w:ascii="FangSong" w:hAnsi="FangSong" w:eastAsia="FangSong" w:cs="FangSong"/>
          <w:sz w:val="23"/>
          <w:szCs w:val="23"/>
        </w:rPr>
      </w:pPr>
      <w:r>
        <w:rPr>
          <w:rFonts w:ascii="FangSong" w:hAnsi="FangSong" w:eastAsia="FangSong" w:cs="FangSong"/>
          <w:sz w:val="23"/>
          <w:szCs w:val="23"/>
          <w:spacing w:val="-4"/>
        </w:rPr>
        <w:t>0%；上年结转0万元，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占0%。</w:t>
      </w:r>
    </w:p>
    <w:p>
      <w:pPr>
        <w:pStyle w:val="BodyText"/>
        <w:spacing w:line="244" w:lineRule="auto"/>
        <w:rPr/>
      </w:pPr>
      <w:r/>
    </w:p>
    <w:p>
      <w:pPr>
        <w:pStyle w:val="BodyText"/>
        <w:spacing w:line="245" w:lineRule="auto"/>
        <w:rPr/>
      </w:pPr>
      <w:r/>
    </w:p>
    <w:p>
      <w:pPr>
        <w:ind w:firstLine="3685"/>
        <w:spacing w:before="1" w:line="2855" w:lineRule="exact"/>
        <w:rPr/>
      </w:pPr>
      <w:r>
        <w:rPr>
          <w:position w:val="-57"/>
        </w:rPr>
        <w:drawing>
          <wp:inline distT="0" distB="0" distL="0" distR="0">
            <wp:extent cx="2333735" cy="1813292"/>
            <wp:effectExtent l="0" t="0" r="0" b="0"/>
            <wp:docPr id="4" name="IM 4"/>
            <wp:cNvGraphicFramePr/>
            <a:graphic>
              <a:graphicData uri="http://schemas.openxmlformats.org/drawingml/2006/picture">
                <pic:pic>
                  <pic:nvPicPr>
                    <pic:cNvPr id="4" name="IM 4"/>
                    <pic:cNvPicPr/>
                  </pic:nvPicPr>
                  <pic:blipFill>
                    <a:blip r:embed="rId36"/>
                    <a:stretch>
                      <a:fillRect/>
                    </a:stretch>
                  </pic:blipFill>
                  <pic:spPr>
                    <a:xfrm rot="0">
                      <a:off x="0" y="0"/>
                      <a:ext cx="2333735" cy="1813292"/>
                    </a:xfrm>
                    <a:prstGeom prst="rect">
                      <a:avLst/>
                    </a:prstGeom>
                  </pic:spPr>
                </pic:pic>
              </a:graphicData>
            </a:graphic>
          </wp:inline>
        </w:drawing>
      </w:r>
    </w:p>
    <w:p>
      <w:pPr>
        <w:pStyle w:val="BodyText"/>
        <w:spacing w:line="284" w:lineRule="auto"/>
        <w:rPr/>
      </w:pPr>
      <w:r/>
    </w:p>
    <w:p>
      <w:pPr>
        <w:pStyle w:val="BodyText"/>
        <w:spacing w:line="284" w:lineRule="auto"/>
        <w:rPr/>
      </w:pPr>
      <w:r/>
    </w:p>
    <w:p>
      <w:pPr>
        <w:ind w:left="1262"/>
        <w:spacing w:before="95" w:line="230" w:lineRule="exact"/>
        <w:outlineLvl w:val="1"/>
        <w:rPr>
          <w:rFonts w:ascii="Microsoft YaHei" w:hAnsi="Microsoft YaHei" w:eastAsia="Microsoft YaHei" w:cs="Microsoft YaHei"/>
          <w:sz w:val="22"/>
          <w:szCs w:val="22"/>
        </w:rPr>
      </w:pPr>
      <w:bookmarkStart w:name="bookmark22" w:id="34"/>
      <w:bookmarkEnd w:id="34"/>
      <w:r>
        <w:rPr>
          <w:rFonts w:ascii="Microsoft YaHei" w:hAnsi="Microsoft YaHei" w:eastAsia="Microsoft YaHei" w:cs="Microsoft YaHei"/>
          <w:sz w:val="22"/>
          <w:szCs w:val="22"/>
          <w:spacing w:val="7"/>
          <w:position w:val="-1"/>
        </w:rPr>
        <w:t>三、支出预算情况说明</w:t>
      </w:r>
    </w:p>
    <w:p>
      <w:pPr>
        <w:ind w:left="1720"/>
        <w:spacing w:before="174" w:line="221" w:lineRule="auto"/>
        <w:rPr>
          <w:rFonts w:ascii="FangSong" w:hAnsi="FangSong" w:eastAsia="FangSong" w:cs="FangSong"/>
          <w:sz w:val="23"/>
          <w:szCs w:val="23"/>
        </w:rPr>
      </w:pPr>
      <w:r>
        <w:rPr>
          <w:rFonts w:ascii="FangSong" w:hAnsi="FangSong" w:eastAsia="FangSong" w:cs="FangSong"/>
          <w:sz w:val="23"/>
          <w:szCs w:val="23"/>
          <w:spacing w:val="5"/>
        </w:rPr>
        <w:t>2025年度</w:t>
      </w:r>
      <w:r>
        <w:rPr>
          <w:rFonts w:ascii="FangSong" w:hAnsi="FangSong" w:eastAsia="FangSong" w:cs="FangSong"/>
          <w:sz w:val="23"/>
          <w:szCs w:val="23"/>
          <w:spacing w:val="5"/>
        </w:rPr>
        <w:t xml:space="preserve">        </w:t>
      </w:r>
      <w:r>
        <w:rPr>
          <w:rFonts w:ascii="FangSong" w:hAnsi="FangSong" w:eastAsia="FangSong" w:cs="FangSong"/>
          <w:sz w:val="23"/>
          <w:szCs w:val="23"/>
          <w:spacing w:val="5"/>
        </w:rPr>
        <w:t>电视大学吕梁分校兴县工作</w:t>
      </w:r>
      <w:r>
        <w:rPr>
          <w:rFonts w:ascii="FangSong" w:hAnsi="FangSong" w:eastAsia="FangSong" w:cs="FangSong"/>
          <w:sz w:val="23"/>
          <w:szCs w:val="23"/>
          <w:spacing w:val="4"/>
        </w:rPr>
        <w:t>站支出预算289.37万元，其中：基本支出</w:t>
      </w:r>
    </w:p>
    <w:p>
      <w:pPr>
        <w:ind w:left="1259"/>
        <w:spacing w:before="136" w:line="223" w:lineRule="auto"/>
        <w:rPr>
          <w:rFonts w:ascii="FangSong" w:hAnsi="FangSong" w:eastAsia="FangSong" w:cs="FangSong"/>
          <w:sz w:val="23"/>
          <w:szCs w:val="23"/>
        </w:rPr>
      </w:pPr>
      <w:r>
        <w:rPr>
          <w:rFonts w:ascii="FangSong" w:hAnsi="FangSong" w:eastAsia="FangSong" w:cs="FangSong"/>
          <w:sz w:val="23"/>
          <w:szCs w:val="23"/>
          <w:spacing w:val="-2"/>
        </w:rPr>
        <w:t>267.3</w:t>
      </w:r>
      <w:r>
        <w:rPr>
          <w:rFonts w:ascii="FangSong" w:hAnsi="FangSong" w:eastAsia="FangSong" w:cs="FangSong"/>
          <w:sz w:val="23"/>
          <w:szCs w:val="23"/>
          <w:spacing w:val="-2"/>
        </w:rPr>
        <w:t xml:space="preserve">     </w:t>
      </w:r>
      <w:r>
        <w:rPr>
          <w:rFonts w:ascii="FangSong" w:hAnsi="FangSong" w:eastAsia="FangSong" w:cs="FangSong"/>
          <w:sz w:val="23"/>
          <w:szCs w:val="23"/>
          <w:spacing w:val="-2"/>
        </w:rPr>
        <w:t>，</w:t>
      </w:r>
      <w:r>
        <w:rPr>
          <w:rFonts w:ascii="FangSong" w:hAnsi="FangSong" w:eastAsia="FangSong" w:cs="FangSong"/>
          <w:sz w:val="23"/>
          <w:szCs w:val="23"/>
          <w:spacing w:val="7"/>
        </w:rPr>
        <w:t xml:space="preserve">  </w:t>
      </w:r>
      <w:r>
        <w:rPr>
          <w:rFonts w:ascii="FangSong" w:hAnsi="FangSong" w:eastAsia="FangSong" w:cs="FangSong"/>
          <w:sz w:val="23"/>
          <w:szCs w:val="23"/>
          <w:spacing w:val="-2"/>
        </w:rPr>
        <w:t>92.40%；项目支出22万元，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占7.60%。</w:t>
      </w:r>
    </w:p>
    <w:p>
      <w:pPr>
        <w:ind w:left="1271"/>
        <w:spacing w:before="118" w:line="230" w:lineRule="exact"/>
        <w:outlineLvl w:val="1"/>
        <w:rPr>
          <w:rFonts w:ascii="Microsoft YaHei" w:hAnsi="Microsoft YaHei" w:eastAsia="Microsoft YaHei" w:cs="Microsoft YaHei"/>
          <w:sz w:val="22"/>
          <w:szCs w:val="22"/>
        </w:rPr>
      </w:pPr>
      <w:bookmarkStart w:name="bookmark23" w:id="35"/>
      <w:bookmarkEnd w:id="35"/>
      <w:r>
        <w:rPr>
          <w:rFonts w:ascii="Microsoft YaHei" w:hAnsi="Microsoft YaHei" w:eastAsia="Microsoft YaHei" w:cs="Microsoft YaHei"/>
          <w:sz w:val="22"/>
          <w:szCs w:val="22"/>
          <w:spacing w:val="8"/>
          <w:position w:val="-1"/>
        </w:rPr>
        <w:t>四、财政拨款收支预算总体情况说明</w:t>
      </w:r>
    </w:p>
    <w:p>
      <w:pPr>
        <w:ind w:left="1267" w:right="1223" w:firstLine="453"/>
        <w:spacing w:before="175" w:line="324" w:lineRule="auto"/>
        <w:jc w:val="both"/>
        <w:rPr>
          <w:rFonts w:ascii="FangSong" w:hAnsi="FangSong" w:eastAsia="FangSong" w:cs="FangSong"/>
          <w:sz w:val="23"/>
          <w:szCs w:val="23"/>
        </w:rPr>
      </w:pPr>
      <w:r>
        <w:rPr>
          <w:rFonts w:ascii="FangSong" w:hAnsi="FangSong" w:eastAsia="FangSong" w:cs="FangSong"/>
          <w:sz w:val="23"/>
          <w:szCs w:val="23"/>
          <w:spacing w:val="11"/>
        </w:rPr>
        <w:t>2025年度山西广播电视大学吕梁分校兴县工作站财</w:t>
      </w:r>
      <w:r>
        <w:rPr>
          <w:rFonts w:ascii="FangSong" w:hAnsi="FangSong" w:eastAsia="FangSong" w:cs="FangSong"/>
          <w:sz w:val="23"/>
          <w:szCs w:val="23"/>
          <w:spacing w:val="10"/>
        </w:rPr>
        <w:t>政拨款收支总预算289.37万元。其</w:t>
      </w:r>
      <w:r>
        <w:rPr>
          <w:rFonts w:ascii="FangSong" w:hAnsi="FangSong" w:eastAsia="FangSong" w:cs="FangSong"/>
          <w:sz w:val="23"/>
          <w:szCs w:val="23"/>
          <w:spacing w:val="4"/>
        </w:rPr>
        <w:t>中：一般公共预算拨款289.37万元，政府性基金预算拨款</w:t>
      </w:r>
      <w:r>
        <w:rPr>
          <w:rFonts w:ascii="FangSong" w:hAnsi="FangSong" w:eastAsia="FangSong" w:cs="FangSong"/>
          <w:sz w:val="23"/>
          <w:szCs w:val="23"/>
          <w:spacing w:val="3"/>
        </w:rPr>
        <w:t>0万元，</w:t>
      </w:r>
      <w:r>
        <w:rPr>
          <w:rFonts w:ascii="FangSong" w:hAnsi="FangSong" w:eastAsia="FangSong" w:cs="FangSong"/>
          <w:sz w:val="23"/>
          <w:szCs w:val="23"/>
          <w:spacing w:val="-68"/>
        </w:rPr>
        <w:t xml:space="preserve"> </w:t>
      </w:r>
      <w:r>
        <w:rPr>
          <w:rFonts w:ascii="FangSong" w:hAnsi="FangSong" w:eastAsia="FangSong" w:cs="FangSong"/>
          <w:sz w:val="23"/>
          <w:szCs w:val="23"/>
          <w:spacing w:val="3"/>
        </w:rPr>
        <w:t>国有资本经营预算拨款0万</w:t>
      </w:r>
      <w:r>
        <w:rPr>
          <w:rFonts w:ascii="FangSong" w:hAnsi="FangSong" w:eastAsia="FangSong" w:cs="FangSong"/>
          <w:sz w:val="23"/>
          <w:szCs w:val="23"/>
          <w:spacing w:val="6"/>
        </w:rPr>
        <w:t>元。其中：</w:t>
      </w:r>
      <w:r>
        <w:rPr>
          <w:rFonts w:ascii="FangSong" w:hAnsi="FangSong" w:eastAsia="FangSong" w:cs="FangSong"/>
          <w:sz w:val="23"/>
          <w:szCs w:val="23"/>
          <w:spacing w:val="-57"/>
        </w:rPr>
        <w:t xml:space="preserve"> </w:t>
      </w:r>
      <w:r>
        <w:rPr>
          <w:rFonts w:ascii="FangSong" w:hAnsi="FangSong" w:eastAsia="FangSong" w:cs="FangSong"/>
          <w:sz w:val="23"/>
          <w:szCs w:val="23"/>
          <w:spacing w:val="6"/>
        </w:rPr>
        <w:t>当年拨款收入289.37万元，上年结转收入0万元。支出包括</w:t>
      </w:r>
      <w:r>
        <w:rPr>
          <w:rFonts w:ascii="FangSong" w:hAnsi="FangSong" w:eastAsia="FangSong" w:cs="FangSong"/>
          <w:sz w:val="23"/>
          <w:szCs w:val="23"/>
          <w:spacing w:val="5"/>
        </w:rPr>
        <w:t>：教育支出218.32万</w:t>
      </w:r>
      <w:r>
        <w:rPr>
          <w:rFonts w:ascii="FangSong" w:hAnsi="FangSong" w:eastAsia="FangSong" w:cs="FangSong"/>
          <w:sz w:val="23"/>
          <w:szCs w:val="23"/>
        </w:rPr>
        <w:t>元、社会保障和就业支出42.37万元、卫生健康支出9.74万元、住房保障支出18.93万元等。</w:t>
      </w:r>
    </w:p>
    <w:p>
      <w:pPr>
        <w:ind w:left="1264"/>
        <w:spacing w:before="2" w:line="230" w:lineRule="exact"/>
        <w:outlineLvl w:val="1"/>
        <w:rPr>
          <w:rFonts w:ascii="Microsoft YaHei" w:hAnsi="Microsoft YaHei" w:eastAsia="Microsoft YaHei" w:cs="Microsoft YaHei"/>
          <w:sz w:val="22"/>
          <w:szCs w:val="22"/>
        </w:rPr>
      </w:pPr>
      <w:bookmarkStart w:name="bookmark24" w:id="36"/>
      <w:bookmarkEnd w:id="36"/>
      <w:r>
        <w:rPr>
          <w:rFonts w:ascii="Microsoft YaHei" w:hAnsi="Microsoft YaHei" w:eastAsia="Microsoft YaHei" w:cs="Microsoft YaHei"/>
          <w:sz w:val="22"/>
          <w:szCs w:val="22"/>
          <w:spacing w:val="8"/>
          <w:position w:val="-1"/>
        </w:rPr>
        <w:t>五、一般公共预算支出情况说明</w:t>
      </w:r>
    </w:p>
    <w:p>
      <w:pPr>
        <w:ind w:left="1725"/>
        <w:spacing w:before="175"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268" w:right="1223" w:firstLine="452"/>
        <w:spacing w:before="124" w:line="325" w:lineRule="auto"/>
        <w:rPr>
          <w:rFonts w:ascii="FangSong" w:hAnsi="FangSong" w:eastAsia="FangSong" w:cs="FangSong"/>
          <w:sz w:val="23"/>
          <w:szCs w:val="23"/>
        </w:rPr>
      </w:pPr>
      <w:r>
        <w:rPr>
          <w:rFonts w:ascii="FangSong" w:hAnsi="FangSong" w:eastAsia="FangSong" w:cs="FangSong"/>
          <w:sz w:val="23"/>
          <w:szCs w:val="23"/>
          <w:spacing w:val="2"/>
        </w:rPr>
        <w:t>2025年度山西广播电视大学吕梁分校兴县工作站一般公共预算当年支出289.37万元,比上</w:t>
      </w:r>
      <w:r>
        <w:rPr>
          <w:rFonts w:ascii="FangSong" w:hAnsi="FangSong" w:eastAsia="FangSong" w:cs="FangSong"/>
          <w:sz w:val="23"/>
          <w:szCs w:val="23"/>
          <w:spacing w:val="-1"/>
        </w:rPr>
        <w:t>年减少53.65万元，下降15.64%。</w:t>
      </w:r>
    </w:p>
    <w:p>
      <w:pPr>
        <w:ind w:left="2204"/>
        <w:spacing w:line="222" w:lineRule="auto"/>
        <w:rPr>
          <w:rFonts w:ascii="FangSong" w:hAnsi="FangSong" w:eastAsia="FangSong" w:cs="FangSong"/>
          <w:sz w:val="23"/>
          <w:szCs w:val="23"/>
        </w:rPr>
      </w:pPr>
      <w:r>
        <w:rPr>
          <w:rFonts w:ascii="FangSong" w:hAnsi="FangSong" w:eastAsia="FangSong" w:cs="FangSong"/>
          <w:sz w:val="23"/>
          <w:szCs w:val="23"/>
          <w:spacing w:val="-4"/>
        </w:rPr>
        <w:t>)</w:t>
      </w:r>
      <w:r>
        <w:rPr>
          <w:rFonts w:ascii="FangSong" w:hAnsi="FangSong" w:eastAsia="FangSong" w:cs="FangSong"/>
          <w:sz w:val="23"/>
          <w:szCs w:val="23"/>
          <w:spacing w:val="34"/>
        </w:rPr>
        <w:t xml:space="preserve"> </w:t>
      </w:r>
      <w:r>
        <w:rPr>
          <w:rFonts w:ascii="FangSong" w:hAnsi="FangSong" w:eastAsia="FangSong" w:cs="FangSong"/>
          <w:sz w:val="23"/>
          <w:szCs w:val="23"/>
          <w:spacing w:val="-4"/>
        </w:rPr>
        <w:t>一般公共预算当年支出结构情况</w:t>
      </w:r>
    </w:p>
    <w:p>
      <w:pPr>
        <w:ind w:left="1720"/>
        <w:spacing w:before="123" w:line="221" w:lineRule="auto"/>
        <w:rPr>
          <w:rFonts w:ascii="FangSong" w:hAnsi="FangSong" w:eastAsia="FangSong" w:cs="FangSong"/>
          <w:sz w:val="23"/>
          <w:szCs w:val="23"/>
        </w:rPr>
      </w:pPr>
      <w:r>
        <w:rPr>
          <w:rFonts w:ascii="FangSong" w:hAnsi="FangSong" w:eastAsia="FangSong" w:cs="FangSong"/>
          <w:sz w:val="23"/>
          <w:szCs w:val="23"/>
          <w:spacing w:val="2"/>
        </w:rPr>
        <w:t>2025年度山西广播电视大学吕梁分校兴县工作站一般公共预算当年支</w:t>
      </w:r>
      <w:r>
        <w:rPr>
          <w:rFonts w:ascii="FangSong" w:hAnsi="FangSong" w:eastAsia="FangSong" w:cs="FangSong"/>
          <w:sz w:val="23"/>
          <w:szCs w:val="23"/>
          <w:spacing w:val="2"/>
        </w:rPr>
        <w:t xml:space="preserve">     </w:t>
      </w:r>
      <w:r>
        <w:rPr>
          <w:rFonts w:ascii="FangSong" w:hAnsi="FangSong" w:eastAsia="FangSong" w:cs="FangSong"/>
          <w:sz w:val="23"/>
          <w:szCs w:val="23"/>
          <w:spacing w:val="2"/>
        </w:rPr>
        <w:t>.</w:t>
      </w:r>
      <w:r>
        <w:rPr>
          <w:rFonts w:ascii="FangSong" w:hAnsi="FangSong" w:eastAsia="FangSong" w:cs="FangSong"/>
          <w:sz w:val="23"/>
          <w:szCs w:val="23"/>
          <w:spacing w:val="2"/>
        </w:rPr>
        <w:t xml:space="preserve">  </w:t>
      </w:r>
      <w:r>
        <w:rPr>
          <w:rFonts w:ascii="FangSong" w:hAnsi="FangSong" w:eastAsia="FangSong" w:cs="FangSong"/>
          <w:sz w:val="23"/>
          <w:szCs w:val="23"/>
          <w:spacing w:val="2"/>
        </w:rPr>
        <w:t>万元,主要</w:t>
      </w:r>
    </w:p>
    <w:p>
      <w:pPr>
        <w:ind w:left="1263"/>
        <w:spacing w:before="136" w:line="221" w:lineRule="auto"/>
        <w:rPr>
          <w:rFonts w:ascii="FangSong" w:hAnsi="FangSong" w:eastAsia="FangSong" w:cs="FangSong"/>
          <w:sz w:val="23"/>
          <w:szCs w:val="23"/>
        </w:rPr>
      </w:pPr>
      <w:r>
        <w:rPr>
          <w:rFonts w:ascii="FangSong" w:hAnsi="FangSong" w:eastAsia="FangSong" w:cs="FangSong"/>
          <w:sz w:val="23"/>
          <w:szCs w:val="23"/>
          <w:spacing w:val="6"/>
        </w:rPr>
        <w:t>用于以下方面：</w:t>
      </w:r>
      <w:r>
        <w:rPr>
          <w:rFonts w:ascii="FangSong" w:hAnsi="FangSong" w:eastAsia="FangSong" w:cs="FangSong"/>
          <w:sz w:val="23"/>
          <w:szCs w:val="23"/>
          <w:spacing w:val="-32"/>
        </w:rPr>
        <w:t xml:space="preserve"> </w:t>
      </w:r>
      <w:r>
        <w:rPr>
          <w:rFonts w:ascii="FangSong" w:hAnsi="FangSong" w:eastAsia="FangSong" w:cs="FangSong"/>
          <w:sz w:val="23"/>
          <w:szCs w:val="23"/>
          <w:spacing w:val="6"/>
        </w:rPr>
        <w:t>教育支</w:t>
      </w:r>
      <w:r>
        <w:rPr>
          <w:rFonts w:ascii="FangSong" w:hAnsi="FangSong" w:eastAsia="FangSong" w:cs="FangSong"/>
          <w:sz w:val="23"/>
          <w:szCs w:val="23"/>
          <w:spacing w:val="-51"/>
        </w:rPr>
        <w:t xml:space="preserve"> </w:t>
      </w:r>
      <w:r>
        <w:rPr>
          <w:rFonts w:ascii="FangSong" w:hAnsi="FangSong" w:eastAsia="FangSong" w:cs="FangSong"/>
          <w:sz w:val="23"/>
          <w:szCs w:val="23"/>
          <w:spacing w:val="6"/>
        </w:rPr>
        <w:t>出218.32万元</w:t>
      </w:r>
      <w:r>
        <w:rPr>
          <w:rFonts w:ascii="FangSong" w:hAnsi="FangSong" w:eastAsia="FangSong" w:cs="FangSong"/>
          <w:sz w:val="23"/>
          <w:szCs w:val="23"/>
          <w:spacing w:val="-57"/>
        </w:rPr>
        <w:t xml:space="preserve"> </w:t>
      </w:r>
      <w:r>
        <w:rPr>
          <w:rFonts w:ascii="FangSong" w:hAnsi="FangSong" w:eastAsia="FangSong" w:cs="FangSong"/>
          <w:sz w:val="23"/>
          <w:szCs w:val="23"/>
          <w:spacing w:val="6"/>
        </w:rPr>
        <w:t>，</w:t>
      </w:r>
      <w:r>
        <w:rPr>
          <w:rFonts w:ascii="FangSong" w:hAnsi="FangSong" w:eastAsia="FangSong" w:cs="FangSong"/>
          <w:sz w:val="23"/>
          <w:szCs w:val="23"/>
          <w:spacing w:val="-34"/>
        </w:rPr>
        <w:t xml:space="preserve"> </w:t>
      </w:r>
      <w:r>
        <w:rPr>
          <w:rFonts w:ascii="FangSong" w:hAnsi="FangSong" w:eastAsia="FangSong" w:cs="FangSong"/>
          <w:sz w:val="23"/>
          <w:szCs w:val="23"/>
          <w:spacing w:val="6"/>
        </w:rPr>
        <w:t>占75.45%；社会保障和</w:t>
      </w:r>
      <w:r>
        <w:rPr>
          <w:rFonts w:ascii="FangSong" w:hAnsi="FangSong" w:eastAsia="FangSong" w:cs="FangSong"/>
          <w:sz w:val="23"/>
          <w:szCs w:val="23"/>
          <w:spacing w:val="6"/>
        </w:rPr>
        <w:t xml:space="preserve">       </w:t>
      </w:r>
      <w:r>
        <w:rPr>
          <w:rFonts w:ascii="FangSong" w:hAnsi="FangSong" w:eastAsia="FangSong" w:cs="FangSong"/>
          <w:sz w:val="23"/>
          <w:szCs w:val="23"/>
          <w:spacing w:val="6"/>
        </w:rPr>
        <w:t>出42.37万元</w:t>
      </w:r>
      <w:r>
        <w:rPr>
          <w:rFonts w:ascii="FangSong" w:hAnsi="FangSong" w:eastAsia="FangSong" w:cs="FangSong"/>
          <w:sz w:val="23"/>
          <w:szCs w:val="23"/>
          <w:spacing w:val="-57"/>
        </w:rPr>
        <w:t xml:space="preserve"> </w:t>
      </w:r>
      <w:r>
        <w:rPr>
          <w:rFonts w:ascii="FangSong" w:hAnsi="FangSong" w:eastAsia="FangSong" w:cs="FangSong"/>
          <w:sz w:val="23"/>
          <w:szCs w:val="23"/>
          <w:spacing w:val="6"/>
        </w:rPr>
        <w:t>，</w:t>
      </w:r>
      <w:r>
        <w:rPr>
          <w:rFonts w:ascii="FangSong" w:hAnsi="FangSong" w:eastAsia="FangSong" w:cs="FangSong"/>
          <w:sz w:val="23"/>
          <w:szCs w:val="23"/>
          <w:spacing w:val="-34"/>
        </w:rPr>
        <w:t xml:space="preserve"> </w:t>
      </w:r>
      <w:r>
        <w:rPr>
          <w:rFonts w:ascii="FangSong" w:hAnsi="FangSong" w:eastAsia="FangSong" w:cs="FangSong"/>
          <w:sz w:val="23"/>
          <w:szCs w:val="23"/>
          <w:spacing w:val="6"/>
        </w:rPr>
        <w:t>占</w:t>
      </w:r>
    </w:p>
    <w:p>
      <w:pPr>
        <w:spacing w:line="221" w:lineRule="auto"/>
        <w:sectPr>
          <w:headerReference w:type="default" r:id="rId34"/>
          <w:footerReference w:type="default" r:id="rId35"/>
          <w:pgSz w:w="11900" w:h="16840"/>
          <w:pgMar w:top="642" w:right="0" w:bottom="340" w:left="0" w:header="326" w:footer="93"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73"/>
        <w:spacing w:before="75" w:line="221" w:lineRule="auto"/>
        <w:rPr>
          <w:rFonts w:ascii="FangSong" w:hAnsi="FangSong" w:eastAsia="FangSong" w:cs="FangSong"/>
          <w:sz w:val="23"/>
          <w:szCs w:val="23"/>
        </w:rPr>
      </w:pPr>
      <w:bookmarkStart w:name="bookmark48" w:id="37"/>
      <w:bookmarkEnd w:id="37"/>
      <w:r>
        <w:rPr>
          <w:rFonts w:ascii="FangSong" w:hAnsi="FangSong" w:eastAsia="FangSong" w:cs="FangSong"/>
          <w:sz w:val="23"/>
          <w:szCs w:val="23"/>
          <w:spacing w:val="-2"/>
        </w:rPr>
        <w:t>14.64</w:t>
      </w:r>
      <w:r>
        <w:rPr>
          <w:rFonts w:ascii="FangSong" w:hAnsi="FangSong" w:eastAsia="FangSong" w:cs="FangSong"/>
          <w:sz w:val="23"/>
          <w:szCs w:val="23"/>
          <w:spacing w:val="-2"/>
        </w:rPr>
        <w:t xml:space="preserve">         </w:t>
      </w:r>
      <w:r>
        <w:rPr>
          <w:rFonts w:ascii="FangSong" w:hAnsi="FangSong" w:eastAsia="FangSong" w:cs="FangSong"/>
          <w:sz w:val="23"/>
          <w:szCs w:val="23"/>
          <w:spacing w:val="-2"/>
        </w:rPr>
        <w:t>康支出9.74万元，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占3.37%；住房保障支出18.93万</w:t>
      </w:r>
      <w:r>
        <w:rPr>
          <w:rFonts w:ascii="FangSong" w:hAnsi="FangSong" w:eastAsia="FangSong" w:cs="FangSong"/>
          <w:sz w:val="23"/>
          <w:szCs w:val="23"/>
          <w:spacing w:val="-3"/>
        </w:rPr>
        <w:t>元，</w:t>
      </w:r>
      <w:r>
        <w:rPr>
          <w:rFonts w:ascii="FangSong" w:hAnsi="FangSong" w:eastAsia="FangSong" w:cs="FangSong"/>
          <w:sz w:val="23"/>
          <w:szCs w:val="23"/>
          <w:spacing w:val="-59"/>
        </w:rPr>
        <w:t xml:space="preserve"> </w:t>
      </w:r>
      <w:r>
        <w:rPr>
          <w:rFonts w:ascii="FangSong" w:hAnsi="FangSong" w:eastAsia="FangSong" w:cs="FangSong"/>
          <w:sz w:val="23"/>
          <w:szCs w:val="23"/>
          <w:spacing w:val="-3"/>
        </w:rPr>
        <w:t>占6.54%等。</w:t>
      </w:r>
    </w:p>
    <w:p>
      <w:pPr>
        <w:pStyle w:val="BodyText"/>
        <w:spacing w:line="270" w:lineRule="auto"/>
        <w:rPr/>
      </w:pPr>
      <w:r/>
    </w:p>
    <w:p>
      <w:pPr>
        <w:ind w:firstLine="3725"/>
        <w:spacing w:line="2205" w:lineRule="exact"/>
        <w:rPr/>
      </w:pPr>
      <w:r>
        <w:rPr>
          <w:position w:val="-44"/>
        </w:rPr>
        <w:drawing>
          <wp:inline distT="0" distB="0" distL="0" distR="0">
            <wp:extent cx="2359102" cy="1400263"/>
            <wp:effectExtent l="0" t="0" r="0" b="0"/>
            <wp:docPr id="6" name="IM 6"/>
            <wp:cNvGraphicFramePr/>
            <a:graphic>
              <a:graphicData uri="http://schemas.openxmlformats.org/drawingml/2006/picture">
                <pic:pic>
                  <pic:nvPicPr>
                    <pic:cNvPr id="6" name="IM 6"/>
                    <pic:cNvPicPr/>
                  </pic:nvPicPr>
                  <pic:blipFill>
                    <a:blip r:embed="rId39"/>
                    <a:stretch>
                      <a:fillRect/>
                    </a:stretch>
                  </pic:blipFill>
                  <pic:spPr>
                    <a:xfrm rot="0">
                      <a:off x="0" y="0"/>
                      <a:ext cx="2359102" cy="1400263"/>
                    </a:xfrm>
                    <a:prstGeom prst="rect">
                      <a:avLst/>
                    </a:prstGeom>
                  </pic:spPr>
                </pic:pic>
              </a:graphicData>
            </a:graphic>
          </wp:inline>
        </w:drawing>
      </w:r>
    </w:p>
    <w:p>
      <w:pPr>
        <w:pStyle w:val="BodyText"/>
        <w:spacing w:line="262" w:lineRule="auto"/>
        <w:rPr/>
      </w:pPr>
      <w:r/>
    </w:p>
    <w:p>
      <w:pPr>
        <w:pStyle w:val="BodyText"/>
        <w:spacing w:line="262" w:lineRule="auto"/>
        <w:rPr/>
      </w:pPr>
      <w:r/>
    </w:p>
    <w:p>
      <w:pPr>
        <w:pStyle w:val="BodyText"/>
        <w:spacing w:line="262" w:lineRule="auto"/>
        <w:rPr/>
      </w:pPr>
      <w:r/>
    </w:p>
    <w:p>
      <w:pPr>
        <w:ind w:left="1262"/>
        <w:spacing w:before="95" w:line="230" w:lineRule="exact"/>
        <w:outlineLvl w:val="1"/>
        <w:rPr>
          <w:rFonts w:ascii="Microsoft YaHei" w:hAnsi="Microsoft YaHei" w:eastAsia="Microsoft YaHei" w:cs="Microsoft YaHei"/>
          <w:sz w:val="22"/>
          <w:szCs w:val="22"/>
        </w:rPr>
      </w:pPr>
      <w:bookmarkStart w:name="bookmark25" w:id="38"/>
      <w:bookmarkEnd w:id="38"/>
      <w:r>
        <w:rPr>
          <w:rFonts w:ascii="Microsoft YaHei" w:hAnsi="Microsoft YaHei" w:eastAsia="Microsoft YaHei" w:cs="Microsoft YaHei"/>
          <w:sz w:val="22"/>
          <w:szCs w:val="22"/>
          <w:spacing w:val="8"/>
          <w:position w:val="-1"/>
        </w:rPr>
        <w:t>六、一般公共预算基本支出情况说明</w:t>
      </w:r>
    </w:p>
    <w:p>
      <w:pPr>
        <w:ind w:left="2204"/>
        <w:spacing w:before="184" w:line="221" w:lineRule="auto"/>
        <w:rPr>
          <w:rFonts w:ascii="FangSong" w:hAnsi="FangSong" w:eastAsia="FangSong" w:cs="FangSong"/>
          <w:sz w:val="23"/>
          <w:szCs w:val="23"/>
        </w:rPr>
      </w:pPr>
      <w:r>
        <w:rPr>
          <w:rFonts w:ascii="FangSong" w:hAnsi="FangSong" w:eastAsia="FangSong" w:cs="FangSong"/>
          <w:sz w:val="23"/>
          <w:szCs w:val="23"/>
          <w:spacing w:val="11"/>
        </w:rPr>
        <w:t>年度山西广播电视大学吕梁分校兴县工作站一般</w:t>
      </w:r>
      <w:r>
        <w:rPr>
          <w:rFonts w:ascii="FangSong" w:hAnsi="FangSong" w:eastAsia="FangSong" w:cs="FangSong"/>
          <w:sz w:val="23"/>
          <w:szCs w:val="23"/>
          <w:spacing w:val="10"/>
        </w:rPr>
        <w:t>公共预算安排基本</w:t>
      </w:r>
      <w:r>
        <w:rPr>
          <w:rFonts w:ascii="FangSong" w:hAnsi="FangSong" w:eastAsia="FangSong" w:cs="FangSong"/>
          <w:sz w:val="23"/>
          <w:szCs w:val="23"/>
          <w:spacing w:val="10"/>
        </w:rPr>
        <w:t xml:space="preserve">       </w:t>
      </w:r>
      <w:r>
        <w:rPr>
          <w:rFonts w:ascii="FangSong" w:hAnsi="FangSong" w:eastAsia="FangSong" w:cs="FangSong"/>
          <w:sz w:val="23"/>
          <w:szCs w:val="23"/>
          <w:spacing w:val="10"/>
        </w:rPr>
        <w:t>.37万</w:t>
      </w:r>
    </w:p>
    <w:p>
      <w:pPr>
        <w:ind w:left="1510"/>
        <w:spacing w:before="124" w:line="223" w:lineRule="auto"/>
        <w:rPr>
          <w:rFonts w:ascii="FangSong" w:hAnsi="FangSong" w:eastAsia="FangSong" w:cs="FangSong"/>
          <w:sz w:val="23"/>
          <w:szCs w:val="23"/>
        </w:rPr>
      </w:pPr>
      <w:r>
        <w:rPr>
          <w:rFonts w:ascii="FangSong" w:hAnsi="FangSong" w:eastAsia="FangSong" w:cs="FangSong"/>
          <w:sz w:val="23"/>
          <w:szCs w:val="23"/>
          <w:spacing w:val="-24"/>
        </w:rPr>
        <w:t>,</w:t>
      </w:r>
      <w:r>
        <w:rPr>
          <w:rFonts w:ascii="FangSong" w:hAnsi="FangSong" w:eastAsia="FangSong" w:cs="FangSong"/>
          <w:sz w:val="23"/>
          <w:szCs w:val="23"/>
          <w:spacing w:val="65"/>
        </w:rPr>
        <w:t xml:space="preserve"> </w:t>
      </w:r>
      <w:r>
        <w:rPr>
          <w:rFonts w:ascii="FangSong" w:hAnsi="FangSong" w:eastAsia="FangSong" w:cs="FangSong"/>
          <w:sz w:val="23"/>
          <w:szCs w:val="23"/>
          <w:spacing w:val="-24"/>
        </w:rPr>
        <w:t>其中：</w:t>
      </w:r>
    </w:p>
    <w:p>
      <w:pPr>
        <w:ind w:left="1728"/>
        <w:spacing w:before="123" w:line="222" w:lineRule="auto"/>
        <w:rPr>
          <w:rFonts w:ascii="FangSong" w:hAnsi="FangSong" w:eastAsia="FangSong" w:cs="FangSong"/>
          <w:sz w:val="23"/>
          <w:szCs w:val="23"/>
        </w:rPr>
      </w:pPr>
      <w:r>
        <w:rPr>
          <w:rFonts w:ascii="FangSong" w:hAnsi="FangSong" w:eastAsia="FangSong" w:cs="FangSong"/>
          <w:sz w:val="23"/>
          <w:szCs w:val="23"/>
          <w:spacing w:val="5"/>
        </w:rPr>
        <w:t>人员经费254.51万元，主要包括：其他</w:t>
      </w:r>
      <w:r>
        <w:rPr>
          <w:rFonts w:ascii="FangSong" w:hAnsi="FangSong" w:eastAsia="FangSong" w:cs="FangSong"/>
          <w:sz w:val="23"/>
          <w:szCs w:val="23"/>
          <w:spacing w:val="4"/>
        </w:rPr>
        <w:t>工资福利支出、其他社</w:t>
      </w:r>
      <w:r>
        <w:rPr>
          <w:rFonts w:ascii="FangSong" w:hAnsi="FangSong" w:eastAsia="FangSong" w:cs="FangSong"/>
          <w:sz w:val="23"/>
          <w:szCs w:val="23"/>
          <w:spacing w:val="4"/>
        </w:rPr>
        <w:t xml:space="preserve">        </w:t>
      </w:r>
      <w:r>
        <w:rPr>
          <w:rFonts w:ascii="FangSong" w:hAnsi="FangSong" w:eastAsia="FangSong" w:cs="FangSong"/>
          <w:sz w:val="23"/>
          <w:szCs w:val="23"/>
          <w:spacing w:val="4"/>
        </w:rPr>
        <w:t>费、绩效工资、</w:t>
      </w:r>
    </w:p>
    <w:p>
      <w:pPr>
        <w:ind w:left="1270" w:right="1223" w:hanging="7"/>
        <w:spacing w:before="134" w:line="321" w:lineRule="auto"/>
        <w:rPr>
          <w:rFonts w:ascii="FangSong" w:hAnsi="FangSong" w:eastAsia="FangSong" w:cs="FangSong"/>
          <w:sz w:val="23"/>
          <w:szCs w:val="23"/>
        </w:rPr>
      </w:pPr>
      <w:r>
        <w:rPr>
          <w:rFonts w:ascii="FangSong" w:hAnsi="FangSong" w:eastAsia="FangSong" w:cs="FangSong"/>
          <w:sz w:val="23"/>
          <w:szCs w:val="23"/>
          <w:spacing w:val="11"/>
        </w:rPr>
        <w:t>基本工资、机关事业单位基本养老保险缴费、住房公积金、退休</w:t>
      </w:r>
      <w:r>
        <w:rPr>
          <w:rFonts w:ascii="FangSong" w:hAnsi="FangSong" w:eastAsia="FangSong" w:cs="FangSong"/>
          <w:sz w:val="23"/>
          <w:szCs w:val="23"/>
          <w:spacing w:val="11"/>
        </w:rPr>
        <w:t xml:space="preserve">  </w:t>
      </w:r>
      <w:r>
        <w:rPr>
          <w:rFonts w:ascii="FangSong" w:hAnsi="FangSong" w:eastAsia="FangSong" w:cs="FangSong"/>
          <w:sz w:val="23"/>
          <w:szCs w:val="23"/>
          <w:spacing w:val="11"/>
        </w:rPr>
        <w:t>、职工基本医疗保险缴</w:t>
      </w:r>
      <w:r>
        <w:rPr>
          <w:rFonts w:ascii="FangSong" w:hAnsi="FangSong" w:eastAsia="FangSong" w:cs="FangSong"/>
          <w:sz w:val="23"/>
          <w:szCs w:val="23"/>
          <w:spacing w:val="-1"/>
        </w:rPr>
        <w:t>费、职业年金缴费、津贴补贴等；</w:t>
      </w:r>
    </w:p>
    <w:p>
      <w:pPr>
        <w:ind w:left="1271" w:right="1222" w:firstLine="458"/>
        <w:spacing w:before="1" w:line="324" w:lineRule="auto"/>
        <w:rPr>
          <w:rFonts w:ascii="FangSong" w:hAnsi="FangSong" w:eastAsia="FangSong" w:cs="FangSong"/>
          <w:sz w:val="23"/>
          <w:szCs w:val="23"/>
        </w:rPr>
      </w:pPr>
      <w:r>
        <w:rPr>
          <w:rFonts w:ascii="FangSong" w:hAnsi="FangSong" w:eastAsia="FangSong" w:cs="FangSong"/>
          <w:sz w:val="23"/>
          <w:szCs w:val="23"/>
          <w:spacing w:val="2"/>
        </w:rPr>
        <w:t>公用经费12.86万元，主要包括：办公费、印刷费、福利费、其他交通费用、差旅费、工</w:t>
      </w:r>
      <w:r>
        <w:rPr>
          <w:rFonts w:ascii="FangSong" w:hAnsi="FangSong" w:eastAsia="FangSong" w:cs="FangSong"/>
          <w:sz w:val="23"/>
          <w:szCs w:val="23"/>
          <w:spacing w:val="-2"/>
        </w:rPr>
        <w:t>会经费、培训费、租赁费等。</w:t>
      </w:r>
    </w:p>
    <w:p>
      <w:pPr>
        <w:ind w:left="1255"/>
        <w:spacing w:line="228"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726"/>
        <w:spacing w:before="175" w:line="221" w:lineRule="auto"/>
        <w:rPr>
          <w:rFonts w:ascii="FangSong" w:hAnsi="FangSong" w:eastAsia="FangSong" w:cs="FangSong"/>
          <w:sz w:val="23"/>
          <w:szCs w:val="23"/>
        </w:rPr>
      </w:pPr>
      <w:r>
        <w:rPr>
          <w:rFonts w:ascii="FangSong" w:hAnsi="FangSong" w:eastAsia="FangSong" w:cs="FangSong"/>
          <w:sz w:val="23"/>
          <w:szCs w:val="23"/>
          <w:spacing w:val="-4"/>
        </w:rPr>
        <w:t>本单位无“三公</w:t>
      </w:r>
      <w:r>
        <w:rPr>
          <w:rFonts w:ascii="FangSong" w:hAnsi="FangSong" w:eastAsia="FangSong" w:cs="FangSong"/>
          <w:sz w:val="23"/>
          <w:szCs w:val="23"/>
          <w:spacing w:val="-74"/>
        </w:rPr>
        <w:t xml:space="preserve"> </w:t>
      </w:r>
      <w:r>
        <w:rPr>
          <w:rFonts w:ascii="FangSong" w:hAnsi="FangSong" w:eastAsia="FangSong" w:cs="FangSong"/>
          <w:sz w:val="23"/>
          <w:szCs w:val="23"/>
          <w:spacing w:val="-4"/>
        </w:rPr>
        <w:t>”经费预算。</w:t>
      </w:r>
    </w:p>
    <w:p>
      <w:pPr>
        <w:ind w:left="1253"/>
        <w:spacing w:before="131" w:line="230" w:lineRule="exact"/>
        <w:outlineLvl w:val="1"/>
        <w:rPr>
          <w:rFonts w:ascii="Microsoft YaHei" w:hAnsi="Microsoft YaHei" w:eastAsia="Microsoft YaHei" w:cs="Microsoft YaHei"/>
          <w:sz w:val="23"/>
          <w:szCs w:val="23"/>
        </w:rPr>
      </w:pPr>
      <w:bookmarkStart w:name="bookmark27" w:id="40"/>
      <w:bookmarkEnd w:id="40"/>
      <w:r>
        <w:rPr>
          <w:rFonts w:ascii="Microsoft YaHei" w:hAnsi="Microsoft YaHei" w:eastAsia="Microsoft YaHei" w:cs="Microsoft YaHei"/>
          <w:sz w:val="23"/>
          <w:szCs w:val="23"/>
          <w:spacing w:val="-1"/>
          <w:position w:val="-1"/>
        </w:rPr>
        <w:t>八、机关运行经费增减变动原因说明</w:t>
      </w:r>
    </w:p>
    <w:p>
      <w:pPr>
        <w:ind w:left="1726"/>
        <w:spacing w:before="175" w:line="221" w:lineRule="auto"/>
        <w:rPr>
          <w:rFonts w:ascii="FangSong" w:hAnsi="FangSong" w:eastAsia="FangSong" w:cs="FangSong"/>
          <w:sz w:val="23"/>
          <w:szCs w:val="23"/>
        </w:rPr>
      </w:pPr>
      <w:r>
        <w:rPr>
          <w:rFonts w:ascii="FangSong" w:hAnsi="FangSong" w:eastAsia="FangSong" w:cs="FangSong"/>
          <w:sz w:val="23"/>
          <w:szCs w:val="23"/>
          <w:spacing w:val="-1"/>
        </w:rPr>
        <w:t>本单位为事业单位，无机关运行经费。</w:t>
      </w:r>
    </w:p>
    <w:p>
      <w:pPr>
        <w:ind w:left="1258"/>
        <w:spacing w:before="121" w:line="226" w:lineRule="exact"/>
        <w:outlineLvl w:val="1"/>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9"/>
          <w:position w:val="-1"/>
        </w:rPr>
        <w:t>九、政府采购情况</w:t>
      </w:r>
    </w:p>
    <w:p>
      <w:pPr>
        <w:ind w:left="1265" w:right="1223" w:firstLine="454"/>
        <w:spacing w:before="189" w:line="321" w:lineRule="auto"/>
        <w:rPr>
          <w:rFonts w:ascii="FangSong" w:hAnsi="FangSong" w:eastAsia="FangSong" w:cs="FangSong"/>
          <w:sz w:val="23"/>
          <w:szCs w:val="23"/>
        </w:rPr>
      </w:pPr>
      <w:r>
        <w:rPr>
          <w:rFonts w:ascii="FangSong" w:hAnsi="FangSong" w:eastAsia="FangSong" w:cs="FangSong"/>
          <w:sz w:val="23"/>
          <w:szCs w:val="23"/>
          <w:spacing w:val="5"/>
        </w:rPr>
        <w:t>2025年山西广播电</w:t>
      </w:r>
      <w:r>
        <w:rPr>
          <w:rFonts w:ascii="FangSong" w:hAnsi="FangSong" w:eastAsia="FangSong" w:cs="FangSong"/>
          <w:sz w:val="23"/>
          <w:szCs w:val="23"/>
          <w:spacing w:val="5"/>
        </w:rPr>
        <w:t xml:space="preserve">    </w:t>
      </w:r>
      <w:r>
        <w:rPr>
          <w:rFonts w:ascii="FangSong" w:hAnsi="FangSong" w:eastAsia="FangSong" w:cs="FangSong"/>
          <w:sz w:val="23"/>
          <w:szCs w:val="23"/>
          <w:spacing w:val="5"/>
        </w:rPr>
        <w:t>学吕梁分校兴县工作站政府采购预算总额1.50万元</w:t>
      </w:r>
      <w:r>
        <w:rPr>
          <w:rFonts w:ascii="FangSong" w:hAnsi="FangSong" w:eastAsia="FangSong" w:cs="FangSong"/>
          <w:sz w:val="23"/>
          <w:szCs w:val="23"/>
          <w:spacing w:val="4"/>
        </w:rPr>
        <w:t>。其中：政府</w:t>
      </w:r>
      <w:r>
        <w:rPr>
          <w:rFonts w:ascii="FangSong" w:hAnsi="FangSong" w:eastAsia="FangSong" w:cs="FangSong"/>
          <w:sz w:val="23"/>
          <w:szCs w:val="23"/>
        </w:rPr>
        <w:t>采购货物预算</w:t>
      </w:r>
      <w:r>
        <w:rPr>
          <w:rFonts w:ascii="FangSong" w:hAnsi="FangSong" w:eastAsia="FangSong" w:cs="FangSong"/>
          <w:sz w:val="23"/>
          <w:szCs w:val="23"/>
        </w:rPr>
        <w:t xml:space="preserve"> </w:t>
      </w:r>
      <w:r>
        <w:rPr>
          <w:rFonts w:ascii="FangSong" w:hAnsi="FangSong" w:eastAsia="FangSong" w:cs="FangSong"/>
          <w:sz w:val="23"/>
          <w:szCs w:val="23"/>
        </w:rPr>
        <w:t>.</w:t>
      </w:r>
      <w:r>
        <w:rPr>
          <w:rFonts w:ascii="FangSong" w:hAnsi="FangSong" w:eastAsia="FangSong" w:cs="FangSong"/>
          <w:sz w:val="23"/>
          <w:szCs w:val="23"/>
        </w:rPr>
        <w:t xml:space="preserve">      </w:t>
      </w:r>
      <w:r>
        <w:rPr>
          <w:rFonts w:ascii="FangSong" w:hAnsi="FangSong" w:eastAsia="FangSong" w:cs="FangSong"/>
          <w:sz w:val="23"/>
          <w:szCs w:val="23"/>
        </w:rPr>
        <w:t>、政府采购工程预算0万元、政府采购服务预算1.00万元。</w:t>
      </w:r>
    </w:p>
    <w:p>
      <w:pPr>
        <w:pStyle w:val="BodyText"/>
        <w:spacing w:line="333" w:lineRule="auto"/>
        <w:rPr/>
      </w:pPr>
      <w:r/>
    </w:p>
    <w:p>
      <w:pPr>
        <w:ind w:left="1735"/>
        <w:spacing w:before="75"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92" w:right="1223" w:hanging="33"/>
        <w:spacing w:before="123" w:line="321" w:lineRule="auto"/>
        <w:rPr>
          <w:rFonts w:ascii="FangSong" w:hAnsi="FangSong" w:eastAsia="FangSong" w:cs="FangSong"/>
          <w:sz w:val="23"/>
          <w:szCs w:val="23"/>
        </w:rPr>
      </w:pPr>
      <w:r>
        <w:rPr>
          <w:rFonts w:ascii="FangSong" w:hAnsi="FangSong" w:eastAsia="FangSong" w:cs="FangSong"/>
          <w:sz w:val="23"/>
          <w:szCs w:val="23"/>
          <w:spacing w:val="5"/>
        </w:rPr>
        <w:t>2025年，我单位无重点项目预算的绩效目标，但有其他基本运行预算绩效情况并且都及时做</w:t>
      </w:r>
      <w:r>
        <w:rPr>
          <w:rFonts w:ascii="FangSong" w:hAnsi="FangSong" w:eastAsia="FangSong" w:cs="FangSong"/>
          <w:sz w:val="23"/>
          <w:szCs w:val="23"/>
          <w:spacing w:val="-1"/>
        </w:rPr>
        <w:t>了绩效申报，涉及资金22万元，绩效目标情况详情</w:t>
      </w:r>
      <w:r>
        <w:rPr>
          <w:rFonts w:ascii="FangSong" w:hAnsi="FangSong" w:eastAsia="FangSong" w:cs="FangSong"/>
          <w:sz w:val="23"/>
          <w:szCs w:val="23"/>
          <w:spacing w:val="-2"/>
        </w:rPr>
        <w:t>见附表。</w:t>
      </w:r>
    </w:p>
    <w:p>
      <w:pPr>
        <w:ind w:left="1720"/>
        <w:spacing w:before="10"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3" w:right="1223" w:firstLine="457"/>
        <w:spacing w:before="121" w:line="324" w:lineRule="auto"/>
        <w:rPr>
          <w:rFonts w:ascii="FangSong" w:hAnsi="FangSong" w:eastAsia="FangSong" w:cs="FangSong"/>
          <w:sz w:val="23"/>
          <w:szCs w:val="23"/>
        </w:rPr>
      </w:pPr>
      <w:r>
        <w:rPr>
          <w:rFonts w:ascii="FangSong" w:hAnsi="FangSong" w:eastAsia="FangSong" w:cs="FangSong"/>
          <w:sz w:val="23"/>
          <w:szCs w:val="23"/>
          <w:spacing w:val="2"/>
        </w:rPr>
        <w:t>2025年山西广播电视大学吕梁分校兴县工作站纳入绩效目标管理的二级项目2个，共计金</w:t>
      </w:r>
      <w:r>
        <w:rPr>
          <w:rFonts w:ascii="FangSong" w:hAnsi="FangSong" w:eastAsia="FangSong" w:cs="FangSong"/>
          <w:sz w:val="23"/>
          <w:szCs w:val="23"/>
          <w:spacing w:val="5"/>
        </w:rPr>
        <w:t>额22.00万元。其中：其他运转类项目2个，涉及</w:t>
      </w:r>
      <w:r>
        <w:rPr>
          <w:rFonts w:ascii="FangSong" w:hAnsi="FangSong" w:eastAsia="FangSong" w:cs="FangSong"/>
          <w:sz w:val="23"/>
          <w:szCs w:val="23"/>
          <w:spacing w:val="4"/>
        </w:rPr>
        <w:t>金额22.00万元</w:t>
      </w:r>
      <w:r>
        <w:rPr>
          <w:rFonts w:ascii="FangSong" w:hAnsi="FangSong" w:eastAsia="FangSong" w:cs="FangSong"/>
          <w:sz w:val="23"/>
          <w:szCs w:val="23"/>
          <w:spacing w:val="4"/>
        </w:rPr>
        <w:t xml:space="preserve">  </w:t>
      </w:r>
      <w:r>
        <w:rPr>
          <w:rFonts w:ascii="FangSong" w:hAnsi="FangSong" w:eastAsia="FangSong" w:cs="FangSong"/>
          <w:sz w:val="23"/>
          <w:szCs w:val="23"/>
          <w:spacing w:val="4"/>
        </w:rPr>
        <w:t>特定目标类项目0个，涉及</w:t>
      </w:r>
      <w:r>
        <w:rPr>
          <w:rFonts w:ascii="FangSong" w:hAnsi="FangSong" w:eastAsia="FangSong" w:cs="FangSong"/>
          <w:sz w:val="23"/>
          <w:szCs w:val="23"/>
          <w:spacing w:val="1"/>
        </w:rPr>
        <w:t>金额0万元。公开项目绩效目标2个，涉及项目金额22.00万元，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占部门（单位）项</w:t>
      </w:r>
      <w:r>
        <w:rPr>
          <w:rFonts w:ascii="FangSong" w:hAnsi="FangSong" w:eastAsia="FangSong" w:cs="FangSong"/>
          <w:sz w:val="23"/>
          <w:szCs w:val="23"/>
        </w:rPr>
        <w:t>目支出总额</w:t>
      </w:r>
      <w:r>
        <w:rPr>
          <w:rFonts w:ascii="FangSong" w:hAnsi="FangSong" w:eastAsia="FangSong" w:cs="FangSong"/>
          <w:sz w:val="23"/>
          <w:szCs w:val="23"/>
          <w:spacing w:val="2"/>
        </w:rPr>
        <w:t>的100%。其中：其他运转类项目2个，涉及项目金额22.00万元；特定目标类项目0个，涉及项</w:t>
      </w:r>
      <w:r>
        <w:rPr>
          <w:rFonts w:ascii="FangSong" w:hAnsi="FangSong" w:eastAsia="FangSong" w:cs="FangSong"/>
          <w:sz w:val="23"/>
          <w:szCs w:val="23"/>
          <w:spacing w:val="-2"/>
        </w:rPr>
        <w:t>目金额0万元。</w:t>
      </w:r>
    </w:p>
    <w:p>
      <w:pPr>
        <w:ind w:left="2189"/>
        <w:spacing w:before="5" w:line="223" w:lineRule="auto"/>
        <w:rPr>
          <w:rFonts w:ascii="FangSong" w:hAnsi="FangSong" w:eastAsia="FangSong" w:cs="FangSong"/>
          <w:sz w:val="23"/>
          <w:szCs w:val="23"/>
        </w:rPr>
      </w:pPr>
      <w:r>
        <w:rPr>
          <w:rFonts w:ascii="FangSong" w:hAnsi="FangSong" w:eastAsia="FangSong" w:cs="FangSong"/>
          <w:sz w:val="23"/>
          <w:szCs w:val="23"/>
          <w:spacing w:val="-2"/>
        </w:rPr>
        <w:t>效目标表公开情况见附件）</w:t>
      </w:r>
    </w:p>
    <w:p>
      <w:pPr>
        <w:spacing w:line="223" w:lineRule="auto"/>
        <w:sectPr>
          <w:headerReference w:type="default" r:id="rId37"/>
          <w:footerReference w:type="default" r:id="rId38"/>
          <w:pgSz w:w="11900" w:h="16840"/>
          <w:pgMar w:top="642" w:right="0" w:bottom="340" w:left="0" w:header="326" w:footer="91" w:gutter="0"/>
        </w:sectPr>
        <w:rPr>
          <w:rFonts w:ascii="FangSong" w:hAnsi="FangSong" w:eastAsia="FangSong" w:cs="FangSong"/>
          <w:sz w:val="23"/>
          <w:szCs w:val="23"/>
        </w:rPr>
      </w:pPr>
    </w:p>
    <w:p>
      <w:pPr>
        <w:pStyle w:val="BodyText"/>
        <w:spacing w:line="277" w:lineRule="auto"/>
        <w:rPr/>
      </w:pPr>
      <w:r>
        <w:pict>
          <v:shape id="_x0000_s428" style="position:absolute;margin-left:491.92pt;margin-top:44.1055pt;mso-position-vertical-relative:page;mso-position-horizontal-relative:page;width:119.4pt;height:18.85pt;z-index:251661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24"/>
        <w:spacing w:line="13461" w:lineRule="exact"/>
        <w:rPr/>
      </w:pPr>
      <w:r>
        <w:pict>
          <v:shape id="_x0000_s430" style="position:absolute;margin-left:491.92pt;margin-top:472.067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pict>
          <v:shape id="_x0000_s432" style="position:absolute;margin-left:391.92pt;margin-top:228.067pt;mso-position-vertical-relative:text;mso-position-horizontal-relative:text;width:119.4pt;height:18.85pt;z-index:251659264;rotation:330;" fillcolor="#404040" filled="true" stroked="false" type="#_x0000_t136">
            <v:fill opacity="0.400000"/>
            <v:textpath style="font-family:&quot;STSong&quot;;font-size:20;v-text-kern:t;mso-text-shadow:auto" string="仅供内部审核"/>
          </v:shape>
        </w:pict>
      </w:r>
      <w:r>
        <w:pict>
          <v:shape id="_x0000_s434" style="position:absolute;margin-left:86.92pt;margin-top:472.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pict>
          <v:shape id="_x0000_s436" style="position:absolute;margin-left:-13.08pt;margin-top:228.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5890425" cy="8547295"/>
            <wp:effectExtent l="0" t="0" r="0" b="0"/>
            <wp:docPr id="8" name="IM 8"/>
            <wp:cNvGraphicFramePr/>
            <a:graphic>
              <a:graphicData uri="http://schemas.openxmlformats.org/drawingml/2006/picture">
                <pic:pic>
                  <pic:nvPicPr>
                    <pic:cNvPr id="8" name="IM 8"/>
                    <pic:cNvPicPr/>
                  </pic:nvPicPr>
                  <pic:blipFill>
                    <a:blip r:embed="rId42"/>
                    <a:stretch>
                      <a:fillRect/>
                    </a:stretch>
                  </pic:blipFill>
                  <pic:spPr>
                    <a:xfrm rot="0">
                      <a:off x="0" y="0"/>
                      <a:ext cx="5890425" cy="8547295"/>
                    </a:xfrm>
                    <a:prstGeom prst="rect">
                      <a:avLst/>
                    </a:prstGeom>
                  </pic:spPr>
                </pic:pic>
              </a:graphicData>
            </a:graphic>
          </wp:inline>
        </w:drawing>
      </w:r>
    </w:p>
    <w:p>
      <w:pPr>
        <w:spacing w:line="13461" w:lineRule="exact"/>
        <w:sectPr>
          <w:headerReference w:type="default" r:id="rId40"/>
          <w:footerReference w:type="default" r:id="rId41"/>
          <w:pgSz w:w="11900" w:h="16840"/>
          <w:pgMar w:top="642" w:right="0" w:bottom="340" w:left="0" w:header="326" w:footer="93" w:gutter="0"/>
        </w:sectPr>
        <w:rPr/>
      </w:pPr>
    </w:p>
    <w:p>
      <w:pPr>
        <w:pStyle w:val="BodyText"/>
        <w:spacing w:line="277" w:lineRule="auto"/>
        <w:rPr/>
      </w:pPr>
      <w:r>
        <w:pict>
          <v:shape id="_x0000_s438" style="position:absolute;margin-left:491.92pt;margin-top:44.1055pt;mso-position-vertical-relative:page;mso-position-horizontal-relative:page;width:119.4pt;height:18.85pt;z-index:2516633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73"/>
        <w:spacing w:line="13461" w:lineRule="exact"/>
        <w:rPr/>
      </w:pPr>
      <w:r>
        <w:pict>
          <v:shape id="_x0000_s440" style="position:absolute;margin-left:391.92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442" style="position:absolute;margin-left:-13.08pt;margin-top:228.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pict>
          <v:shape id="_x0000_s444" style="position:absolute;margin-left:491.92pt;margin-top:472.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446" style="position:absolute;margin-left:86.92pt;margin-top:472.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5574622" cy="8547295"/>
            <wp:effectExtent l="0" t="0" r="0" b="0"/>
            <wp:docPr id="10" name="IM 10"/>
            <wp:cNvGraphicFramePr/>
            <a:graphic>
              <a:graphicData uri="http://schemas.openxmlformats.org/drawingml/2006/picture">
                <pic:pic>
                  <pic:nvPicPr>
                    <pic:cNvPr id="10" name="IM 10"/>
                    <pic:cNvPicPr/>
                  </pic:nvPicPr>
                  <pic:blipFill>
                    <a:blip r:embed="rId44"/>
                    <a:stretch>
                      <a:fillRect/>
                    </a:stretch>
                  </pic:blipFill>
                  <pic:spPr>
                    <a:xfrm rot="0">
                      <a:off x="0" y="0"/>
                      <a:ext cx="5574622" cy="8547295"/>
                    </a:xfrm>
                    <a:prstGeom prst="rect">
                      <a:avLst/>
                    </a:prstGeom>
                  </pic:spPr>
                </pic:pic>
              </a:graphicData>
            </a:graphic>
          </wp:inline>
        </w:drawing>
      </w:r>
    </w:p>
    <w:p>
      <w:pPr>
        <w:spacing w:line="13461" w:lineRule="exact"/>
        <w:sectPr>
          <w:footerReference w:type="default" r:id="rId43"/>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2"/>
      <w:bookmarkEnd w:id="42"/>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58" w:right="1223" w:firstLine="466"/>
        <w:spacing w:before="135" w:line="321" w:lineRule="auto"/>
        <w:rPr>
          <w:rFonts w:ascii="FangSong" w:hAnsi="FangSong" w:eastAsia="FangSong" w:cs="FangSong"/>
          <w:sz w:val="23"/>
          <w:szCs w:val="23"/>
        </w:rPr>
      </w:pPr>
      <w:r>
        <w:rPr>
          <w:rFonts w:ascii="FangSong" w:hAnsi="FangSong" w:eastAsia="FangSong" w:cs="FangSong"/>
          <w:sz w:val="23"/>
          <w:szCs w:val="23"/>
          <w:spacing w:val="1"/>
        </w:rPr>
        <w:t>截至2025年5月1</w:t>
      </w:r>
      <w:r>
        <w:rPr>
          <w:rFonts w:ascii="FangSong" w:hAnsi="FangSong" w:eastAsia="FangSong" w:cs="FangSong"/>
          <w:sz w:val="23"/>
          <w:szCs w:val="23"/>
          <w:spacing w:val="-49"/>
        </w:rPr>
        <w:t xml:space="preserve"> </w:t>
      </w:r>
      <w:r>
        <w:rPr>
          <w:rFonts w:ascii="FangSong" w:hAnsi="FangSong" w:eastAsia="FangSong" w:cs="FangSong"/>
          <w:sz w:val="23"/>
          <w:szCs w:val="23"/>
          <w:spacing w:val="1"/>
        </w:rPr>
        <w:t>日，山西广播电视大学吕梁分校兴县工作站</w:t>
      </w:r>
      <w:r>
        <w:rPr>
          <w:rFonts w:ascii="FangSong" w:hAnsi="FangSong" w:eastAsia="FangSong" w:cs="FangSong"/>
          <w:sz w:val="23"/>
          <w:szCs w:val="23"/>
        </w:rPr>
        <w:t>共有公务用车编制0辆，实有</w:t>
      </w:r>
      <w:r>
        <w:rPr>
          <w:rFonts w:ascii="FangSong" w:hAnsi="FangSong" w:eastAsia="FangSong" w:cs="FangSong"/>
          <w:sz w:val="23"/>
          <w:szCs w:val="23"/>
          <w:spacing w:val="2"/>
        </w:rPr>
        <w:t>0辆，其中：领导用车0辆，机要通信用车0辆，应急保障用车0辆，执法执勤用车0辆，特种专</w:t>
      </w:r>
      <w:r>
        <w:rPr>
          <w:rFonts w:ascii="FangSong" w:hAnsi="FangSong" w:eastAsia="FangSong" w:cs="FangSong"/>
          <w:sz w:val="23"/>
          <w:szCs w:val="23"/>
        </w:rPr>
        <w:t>业技术用车0辆，事业单位业务用车0辆，其他公务用车0辆。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273" w:right="1223" w:firstLine="451"/>
        <w:spacing w:before="123" w:line="322" w:lineRule="auto"/>
        <w:rPr>
          <w:rFonts w:ascii="FangSong" w:hAnsi="FangSong" w:eastAsia="FangSong" w:cs="FangSong"/>
          <w:sz w:val="23"/>
          <w:szCs w:val="23"/>
        </w:rPr>
      </w:pPr>
      <w:r>
        <w:rPr>
          <w:rFonts w:ascii="FangSong" w:hAnsi="FangSong" w:eastAsia="FangSong" w:cs="FangSong"/>
          <w:sz w:val="23"/>
          <w:szCs w:val="23"/>
          <w:spacing w:val="3"/>
        </w:rPr>
        <w:t>截至2025年5月1</w:t>
      </w:r>
      <w:r>
        <w:rPr>
          <w:rFonts w:ascii="FangSong" w:hAnsi="FangSong" w:eastAsia="FangSong" w:cs="FangSong"/>
          <w:sz w:val="23"/>
          <w:szCs w:val="23"/>
          <w:spacing w:val="-28"/>
        </w:rPr>
        <w:t xml:space="preserve"> </w:t>
      </w:r>
      <w:r>
        <w:rPr>
          <w:rFonts w:ascii="FangSong" w:hAnsi="FangSong" w:eastAsia="FangSong" w:cs="FangSong"/>
          <w:sz w:val="23"/>
          <w:szCs w:val="23"/>
          <w:spacing w:val="3"/>
        </w:rPr>
        <w:t>日，山西广播电视大学吕梁分校兴县工作站使用的办公用房建筑总面积</w:t>
      </w:r>
      <w:r>
        <w:rPr>
          <w:rFonts w:ascii="FangSong" w:hAnsi="FangSong" w:eastAsia="FangSong" w:cs="FangSong"/>
          <w:sz w:val="23"/>
          <w:szCs w:val="23"/>
          <w:spacing w:val="-4"/>
        </w:rPr>
        <w:t>145平方米。</w:t>
      </w:r>
    </w:p>
    <w:p>
      <w:pPr>
        <w:ind w:left="17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3" w:right="1223" w:firstLine="461"/>
        <w:spacing w:before="125" w:line="323" w:lineRule="auto"/>
        <w:rPr>
          <w:rFonts w:ascii="FangSong" w:hAnsi="FangSong" w:eastAsia="FangSong" w:cs="FangSong"/>
          <w:sz w:val="23"/>
          <w:szCs w:val="23"/>
        </w:rPr>
      </w:pPr>
      <w:r>
        <w:rPr>
          <w:rFonts w:ascii="FangSong" w:hAnsi="FangSong" w:eastAsia="FangSong" w:cs="FangSong"/>
          <w:sz w:val="23"/>
          <w:szCs w:val="23"/>
          <w:spacing w:val="8"/>
        </w:rPr>
        <w:t>截至2025年5月1</w:t>
      </w:r>
      <w:r>
        <w:rPr>
          <w:rFonts w:ascii="FangSong" w:hAnsi="FangSong" w:eastAsia="FangSong" w:cs="FangSong"/>
          <w:sz w:val="23"/>
          <w:szCs w:val="23"/>
          <w:spacing w:val="-39"/>
        </w:rPr>
        <w:t xml:space="preserve"> </w:t>
      </w:r>
      <w:r>
        <w:rPr>
          <w:rFonts w:ascii="FangSong" w:hAnsi="FangSong" w:eastAsia="FangSong" w:cs="FangSong"/>
          <w:sz w:val="23"/>
          <w:szCs w:val="23"/>
          <w:spacing w:val="8"/>
        </w:rPr>
        <w:t>日，</w:t>
      </w:r>
      <w:r>
        <w:rPr>
          <w:rFonts w:ascii="FangSong" w:hAnsi="FangSong" w:eastAsia="FangSong" w:cs="FangSong"/>
          <w:sz w:val="23"/>
          <w:szCs w:val="23"/>
          <w:spacing w:val="-66"/>
        </w:rPr>
        <w:t xml:space="preserve"> </w:t>
      </w:r>
      <w:r>
        <w:rPr>
          <w:rFonts w:ascii="FangSong" w:hAnsi="FangSong" w:eastAsia="FangSong" w:cs="FangSong"/>
          <w:sz w:val="23"/>
          <w:szCs w:val="23"/>
          <w:spacing w:val="8"/>
        </w:rPr>
        <w:t>山西广播电视大学吕梁分校兴县工作</w:t>
      </w:r>
      <w:r>
        <w:rPr>
          <w:rFonts w:ascii="FangSong" w:hAnsi="FangSong" w:eastAsia="FangSong" w:cs="FangSong"/>
          <w:sz w:val="23"/>
          <w:szCs w:val="23"/>
          <w:spacing w:val="7"/>
        </w:rPr>
        <w:t>站占有使用价值50万元（原</w:t>
      </w:r>
      <w:r>
        <w:rPr>
          <w:rFonts w:ascii="FangSong" w:hAnsi="FangSong" w:eastAsia="FangSong" w:cs="FangSong"/>
          <w:sz w:val="23"/>
          <w:szCs w:val="23"/>
          <w:spacing w:val="3"/>
        </w:rPr>
        <w:t>值）</w:t>
      </w:r>
      <w:r>
        <w:rPr>
          <w:rFonts w:ascii="FangSong" w:hAnsi="FangSong" w:eastAsia="FangSong" w:cs="FangSong"/>
          <w:sz w:val="23"/>
          <w:szCs w:val="23"/>
          <w:spacing w:val="-64"/>
        </w:rPr>
        <w:t xml:space="preserve"> </w:t>
      </w:r>
      <w:r>
        <w:rPr>
          <w:rFonts w:ascii="FangSong" w:hAnsi="FangSong" w:eastAsia="FangSong" w:cs="FangSong"/>
          <w:sz w:val="23"/>
          <w:szCs w:val="23"/>
          <w:spacing w:val="3"/>
        </w:rPr>
        <w:t>以上的通用设备0台（套</w:t>
      </w:r>
      <w:r>
        <w:rPr>
          <w:rFonts w:ascii="FangSong" w:hAnsi="FangSong" w:eastAsia="FangSong" w:cs="FangSong"/>
          <w:sz w:val="23"/>
          <w:szCs w:val="23"/>
          <w:spacing w:val="26"/>
        </w:rPr>
        <w:t>）；</w:t>
      </w:r>
      <w:r>
        <w:rPr>
          <w:rFonts w:ascii="FangSong" w:hAnsi="FangSong" w:eastAsia="FangSong" w:cs="FangSong"/>
          <w:sz w:val="23"/>
          <w:szCs w:val="23"/>
          <w:spacing w:val="3"/>
        </w:rPr>
        <w:t>山西广播电视大学吕梁分校兴县工作</w:t>
      </w:r>
      <w:r>
        <w:rPr>
          <w:rFonts w:ascii="FangSong" w:hAnsi="FangSong" w:eastAsia="FangSong" w:cs="FangSong"/>
          <w:sz w:val="23"/>
          <w:szCs w:val="23"/>
          <w:spacing w:val="2"/>
        </w:rPr>
        <w:t>站占有使用价值100万</w:t>
      </w:r>
      <w:r>
        <w:rPr>
          <w:rFonts w:ascii="FangSong" w:hAnsi="FangSong" w:eastAsia="FangSong" w:cs="FangSong"/>
          <w:sz w:val="23"/>
          <w:szCs w:val="23"/>
          <w:spacing w:val="-1"/>
        </w:rPr>
        <w:t>元（原值）以上的通用设备0台（套）。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43"/>
      <w:bookmarkEnd w:id="43"/>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2" w:id="44"/>
      <w:bookmarkEnd w:id="44"/>
      <w:r>
        <w:rPr>
          <w:rFonts w:ascii="FangSong" w:hAnsi="FangSong" w:eastAsia="FangSong" w:cs="FangSong"/>
          <w:sz w:val="23"/>
          <w:szCs w:val="23"/>
          <w:spacing w:val="-1"/>
        </w:rPr>
        <w:t>（一）政府购买服务指导性目录</w:t>
      </w:r>
    </w:p>
    <w:p>
      <w:pPr>
        <w:ind w:left="1247" w:right="1223" w:firstLine="840"/>
        <w:spacing w:before="266" w:line="324" w:lineRule="auto"/>
        <w:jc w:val="both"/>
        <w:rPr>
          <w:rFonts w:ascii="FangSong" w:hAnsi="FangSong" w:eastAsia="FangSong" w:cs="FangSong"/>
          <w:sz w:val="23"/>
          <w:szCs w:val="23"/>
        </w:rPr>
      </w:pPr>
      <w:r>
        <w:rPr>
          <w:rFonts w:ascii="FangSong" w:hAnsi="FangSong" w:eastAsia="FangSong" w:cs="FangSong"/>
          <w:sz w:val="23"/>
          <w:szCs w:val="23"/>
          <w:spacing w:val="3"/>
        </w:rPr>
        <w:t>依据吕梁市财政局文件{吕财综【2022】33号，</w:t>
      </w:r>
      <w:r>
        <w:rPr>
          <w:rFonts w:ascii="FangSong" w:hAnsi="FangSong" w:eastAsia="FangSong" w:cs="FangSong"/>
          <w:sz w:val="23"/>
          <w:szCs w:val="23"/>
          <w:spacing w:val="-43"/>
        </w:rPr>
        <w:t xml:space="preserve"> </w:t>
      </w:r>
      <w:r>
        <w:rPr>
          <w:rFonts w:ascii="FangSong" w:hAnsi="FangSong" w:eastAsia="FangSong" w:cs="FangSong"/>
          <w:sz w:val="23"/>
          <w:szCs w:val="23"/>
          <w:spacing w:val="3"/>
        </w:rPr>
        <w:t>吕梁市财政局关于转发《山西省【部</w:t>
      </w:r>
      <w:r>
        <w:rPr>
          <w:rFonts w:ascii="FangSong" w:hAnsi="FangSong" w:eastAsia="FangSong" w:cs="FangSong"/>
          <w:sz w:val="23"/>
          <w:szCs w:val="23"/>
          <w:spacing w:val="9"/>
        </w:rPr>
        <w:t>门政府购</w:t>
      </w:r>
      <w:r>
        <w:rPr>
          <w:rFonts w:ascii="FangSong" w:hAnsi="FangSong" w:eastAsia="FangSong" w:cs="FangSong"/>
          <w:sz w:val="23"/>
          <w:szCs w:val="23"/>
          <w:spacing w:val="-66"/>
        </w:rPr>
        <w:t xml:space="preserve"> </w:t>
      </w:r>
      <w:r>
        <w:rPr>
          <w:rFonts w:ascii="FangSong" w:hAnsi="FangSong" w:eastAsia="FangSong" w:cs="FangSong"/>
          <w:sz w:val="23"/>
          <w:szCs w:val="23"/>
          <w:spacing w:val="9"/>
        </w:rPr>
        <w:t>买服务指导性</w:t>
      </w:r>
      <w:r>
        <w:rPr>
          <w:rFonts w:ascii="FangSong" w:hAnsi="FangSong" w:eastAsia="FangSong" w:cs="FangSong"/>
          <w:sz w:val="23"/>
          <w:szCs w:val="23"/>
          <w:spacing w:val="-35"/>
        </w:rPr>
        <w:t xml:space="preserve"> </w:t>
      </w:r>
      <w:r>
        <w:rPr>
          <w:rFonts w:ascii="FangSong" w:hAnsi="FangSong" w:eastAsia="FangSong" w:cs="FangSong"/>
          <w:sz w:val="23"/>
          <w:szCs w:val="23"/>
          <w:spacing w:val="9"/>
        </w:rPr>
        <w:t>目</w:t>
      </w:r>
      <w:r>
        <w:rPr>
          <w:rFonts w:ascii="FangSong" w:hAnsi="FangSong" w:eastAsia="FangSong" w:cs="FangSong"/>
          <w:sz w:val="23"/>
          <w:szCs w:val="23"/>
          <w:spacing w:val="-67"/>
        </w:rPr>
        <w:t xml:space="preserve"> </w:t>
      </w:r>
      <w:r>
        <w:rPr>
          <w:rFonts w:ascii="FangSong" w:hAnsi="FangSong" w:eastAsia="FangSong" w:cs="FangSong"/>
          <w:sz w:val="23"/>
          <w:szCs w:val="23"/>
          <w:spacing w:val="9"/>
        </w:rPr>
        <w:t>录</w:t>
      </w:r>
      <w:r>
        <w:rPr>
          <w:rFonts w:ascii="FangSong" w:hAnsi="FangSong" w:eastAsia="FangSong" w:cs="FangSong"/>
          <w:sz w:val="23"/>
          <w:szCs w:val="23"/>
          <w:spacing w:val="-59"/>
        </w:rPr>
        <w:t xml:space="preserve"> </w:t>
      </w:r>
      <w:r>
        <w:rPr>
          <w:rFonts w:ascii="FangSong" w:hAnsi="FangSong" w:eastAsia="FangSong" w:cs="FangSong"/>
          <w:sz w:val="23"/>
          <w:szCs w:val="23"/>
          <w:spacing w:val="9"/>
        </w:rPr>
        <w:t>】</w:t>
      </w:r>
      <w:r>
        <w:rPr>
          <w:rFonts w:ascii="FangSong" w:hAnsi="FangSong" w:eastAsia="FangSong" w:cs="FangSong"/>
          <w:sz w:val="23"/>
          <w:szCs w:val="23"/>
          <w:spacing w:val="-90"/>
        </w:rPr>
        <w:t xml:space="preserve"> </w:t>
      </w:r>
      <w:r>
        <w:rPr>
          <w:rFonts w:ascii="FangSong" w:hAnsi="FangSong" w:eastAsia="FangSong" w:cs="FangSong"/>
          <w:sz w:val="23"/>
          <w:szCs w:val="23"/>
          <w:spacing w:val="9"/>
        </w:rPr>
        <w:t>（第三批</w:t>
      </w:r>
      <w:r>
        <w:rPr>
          <w:rFonts w:ascii="FangSong" w:hAnsi="FangSong" w:eastAsia="FangSong" w:cs="FangSong"/>
          <w:sz w:val="23"/>
          <w:szCs w:val="23"/>
          <w:spacing w:val="-62"/>
        </w:rPr>
        <w:t xml:space="preserve"> </w:t>
      </w:r>
      <w:r>
        <w:rPr>
          <w:rFonts w:ascii="FangSong" w:hAnsi="FangSong" w:eastAsia="FangSong" w:cs="FangSong"/>
          <w:sz w:val="23"/>
          <w:szCs w:val="23"/>
          <w:spacing w:val="9"/>
        </w:rPr>
        <w:t>的通知）</w:t>
      </w:r>
      <w:r>
        <w:rPr>
          <w:rFonts w:ascii="FangSong" w:hAnsi="FangSong" w:eastAsia="FangSong" w:cs="FangSong"/>
          <w:sz w:val="23"/>
          <w:szCs w:val="23"/>
          <w:spacing w:val="-37"/>
        </w:rPr>
        <w:t xml:space="preserve"> </w:t>
      </w:r>
      <w:r>
        <w:rPr>
          <w:rFonts w:ascii="FangSong" w:hAnsi="FangSong" w:eastAsia="FangSong" w:cs="FangSong"/>
          <w:sz w:val="23"/>
          <w:szCs w:val="23"/>
          <w:spacing w:val="9"/>
        </w:rPr>
        <w:t>的通知}</w:t>
      </w:r>
      <w:r>
        <w:rPr>
          <w:rFonts w:ascii="FangSong" w:hAnsi="FangSong" w:eastAsia="FangSong" w:cs="FangSong"/>
          <w:sz w:val="23"/>
          <w:szCs w:val="23"/>
          <w:spacing w:val="-59"/>
        </w:rPr>
        <w:t xml:space="preserve"> </w:t>
      </w:r>
      <w:r>
        <w:rPr>
          <w:rFonts w:ascii="FangSong" w:hAnsi="FangSong" w:eastAsia="FangSong" w:cs="FangSong"/>
          <w:sz w:val="23"/>
          <w:szCs w:val="23"/>
          <w:spacing w:val="9"/>
        </w:rPr>
        <w:t>、</w:t>
      </w:r>
      <w:r>
        <w:rPr>
          <w:rFonts w:ascii="FangSong" w:hAnsi="FangSong" w:eastAsia="FangSong" w:cs="FangSong"/>
          <w:sz w:val="23"/>
          <w:szCs w:val="23"/>
          <w:spacing w:val="-54"/>
        </w:rPr>
        <w:t xml:space="preserve"> </w:t>
      </w:r>
      <w:r>
        <w:rPr>
          <w:rFonts w:ascii="FangSong" w:hAnsi="FangSong" w:eastAsia="FangSong" w:cs="FangSong"/>
          <w:sz w:val="23"/>
          <w:szCs w:val="23"/>
          <w:spacing w:val="9"/>
        </w:rPr>
        <w:t>山西省财政厅文件</w:t>
      </w:r>
      <w:r>
        <w:rPr>
          <w:rFonts w:ascii="FangSong" w:hAnsi="FangSong" w:eastAsia="FangSong" w:cs="FangSong"/>
          <w:sz w:val="23"/>
          <w:szCs w:val="23"/>
          <w:spacing w:val="-43"/>
        </w:rPr>
        <w:t xml:space="preserve"> </w:t>
      </w:r>
      <w:r>
        <w:rPr>
          <w:rFonts w:ascii="FangSong" w:hAnsi="FangSong" w:eastAsia="FangSong" w:cs="FangSong"/>
          <w:sz w:val="23"/>
          <w:szCs w:val="23"/>
          <w:spacing w:val="9"/>
        </w:rPr>
        <w:t>{晋</w:t>
      </w:r>
      <w:r>
        <w:rPr>
          <w:rFonts w:ascii="FangSong" w:hAnsi="FangSong" w:eastAsia="FangSong" w:cs="FangSong"/>
          <w:sz w:val="23"/>
          <w:szCs w:val="23"/>
          <w:spacing w:val="8"/>
        </w:rPr>
        <w:t>财综</w:t>
      </w:r>
      <w:r>
        <w:rPr>
          <w:rFonts w:ascii="FangSong" w:hAnsi="FangSong" w:eastAsia="FangSong" w:cs="FangSong"/>
          <w:sz w:val="23"/>
          <w:szCs w:val="23"/>
          <w:spacing w:val="5"/>
        </w:rPr>
        <w:t>【2022】67号，山西省财政厅关于印发《山西省部门政府购买服务指导性目录》（第</w:t>
      </w:r>
      <w:r>
        <w:rPr>
          <w:rFonts w:ascii="FangSong" w:hAnsi="FangSong" w:eastAsia="FangSong" w:cs="FangSong"/>
          <w:sz w:val="23"/>
          <w:szCs w:val="23"/>
          <w:spacing w:val="4"/>
        </w:rPr>
        <w:t>三批）</w:t>
      </w:r>
      <w:r>
        <w:rPr>
          <w:rFonts w:ascii="FangSong" w:hAnsi="FangSong" w:eastAsia="FangSong" w:cs="FangSong"/>
          <w:sz w:val="23"/>
          <w:szCs w:val="23"/>
        </w:rPr>
        <w:t>的通知}。详细目录见附件</w:t>
      </w:r>
    </w:p>
    <w:p>
      <w:pPr>
        <w:ind w:left="1725"/>
        <w:spacing w:before="126" w:line="222" w:lineRule="auto"/>
        <w:outlineLvl w:val="2"/>
        <w:rPr>
          <w:rFonts w:ascii="FangSong" w:hAnsi="FangSong" w:eastAsia="FangSong" w:cs="FangSong"/>
          <w:sz w:val="23"/>
          <w:szCs w:val="23"/>
        </w:rPr>
      </w:pPr>
      <w:bookmarkStart w:name="bookmark33" w:id="45"/>
      <w:bookmarkEnd w:id="45"/>
      <w:r>
        <w:rPr>
          <w:rFonts w:ascii="FangSong" w:hAnsi="FangSong" w:eastAsia="FangSong" w:cs="FangSong"/>
          <w:sz w:val="23"/>
          <w:szCs w:val="23"/>
          <w:spacing w:val="-3"/>
        </w:rPr>
        <w:t>（二）其他</w:t>
      </w:r>
    </w:p>
    <w:p>
      <w:pPr>
        <w:ind w:left="1282" w:right="1223" w:firstLine="451"/>
        <w:spacing w:before="254" w:line="330" w:lineRule="auto"/>
        <w:rPr>
          <w:rFonts w:ascii="FangSong" w:hAnsi="FangSong" w:eastAsia="FangSong" w:cs="FangSong"/>
          <w:sz w:val="23"/>
          <w:szCs w:val="23"/>
        </w:rPr>
      </w:pPr>
      <w:r>
        <w:rPr>
          <w:rFonts w:ascii="FangSong" w:hAnsi="FangSong" w:eastAsia="FangSong" w:cs="FangSong"/>
          <w:sz w:val="23"/>
          <w:szCs w:val="23"/>
          <w:spacing w:val="5"/>
        </w:rPr>
        <w:t>系统在批量提取部门预算公开报表时，因四舍五入原因，会存在小数尾数误差，请在查</w:t>
      </w:r>
      <w:r>
        <w:rPr>
          <w:rFonts w:ascii="FangSong" w:hAnsi="FangSong" w:eastAsia="FangSong" w:cs="FangSong"/>
          <w:sz w:val="23"/>
          <w:szCs w:val="23"/>
          <w:spacing w:val="-5"/>
        </w:rPr>
        <w:t>阅时予以忽略。</w:t>
      </w:r>
    </w:p>
    <w:p>
      <w:pPr>
        <w:spacing w:line="330" w:lineRule="auto"/>
        <w:sectPr>
          <w:headerReference w:type="default" r:id="rId45"/>
          <w:footerReference w:type="default" r:id="rId46"/>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178"/>
        <w:spacing w:line="13461" w:lineRule="exact"/>
        <w:rPr/>
      </w:pPr>
      <w:r>
        <w:pict>
          <v:shape id="_x0000_s480" style="position:absolute;margin-left:391.92pt;margin-top:228.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pict>
          <v:shape id="_x0000_s482" style="position:absolute;margin-left:86.92pt;margin-top:472.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805707" cy="8547295"/>
            <wp:effectExtent l="0" t="0" r="0" b="0"/>
            <wp:docPr id="12" name="IM 12"/>
            <wp:cNvGraphicFramePr/>
            <a:graphic>
              <a:graphicData uri="http://schemas.openxmlformats.org/drawingml/2006/picture">
                <pic:pic>
                  <pic:nvPicPr>
                    <pic:cNvPr id="12" name="IM 12"/>
                    <pic:cNvPicPr/>
                  </pic:nvPicPr>
                  <pic:blipFill>
                    <a:blip r:embed="rId49"/>
                    <a:stretch>
                      <a:fillRect/>
                    </a:stretch>
                  </pic:blipFill>
                  <pic:spPr>
                    <a:xfrm rot="0">
                      <a:off x="0" y="0"/>
                      <a:ext cx="4805707" cy="8547295"/>
                    </a:xfrm>
                    <a:prstGeom prst="rect">
                      <a:avLst/>
                    </a:prstGeom>
                  </pic:spPr>
                </pic:pic>
              </a:graphicData>
            </a:graphic>
          </wp:inline>
        </w:drawing>
      </w:r>
    </w:p>
    <w:p>
      <w:pPr>
        <w:spacing w:line="13461" w:lineRule="exact"/>
        <w:sectPr>
          <w:headerReference w:type="default" r:id="rId47"/>
          <w:footerReference w:type="default" r:id="rId48"/>
          <w:pgSz w:w="11900" w:h="16840"/>
          <w:pgMar w:top="642" w:right="0" w:bottom="340" w:left="0" w:header="326" w:footer="91" w:gutter="0"/>
        </w:sectPr>
        <w:rPr/>
      </w:pPr>
    </w:p>
    <w:p>
      <w:pPr>
        <w:pStyle w:val="BodyText"/>
        <w:spacing w:line="267" w:lineRule="auto"/>
        <w:rPr/>
      </w:pPr>
      <w:r>
        <w:pict>
          <v:shape id="_x0000_s488" style="position:absolute;margin-left:312.92pt;margin-top:45.1055pt;mso-position-vertical-relative:page;mso-position-horizontal-relative:page;width:119.4pt;height:18.85pt;z-index:251680768;rotation:330;" o:allowincell="f" fillcolor="#404040" filled="true" stroked="false" type="#_x0000_t136">
            <v:fill opacity="0.400000"/>
            <v:textpath style="font-family:&quot;STSong&quot;;font-size:20;v-text-kern:t;mso-text-shadow:auto" string="仅供内部审核"/>
          </v:shape>
        </w:pict>
      </w:r>
      <w:r>
        <w:pict>
          <v:shape id="_x0000_s490" style="position:absolute;margin-left:638.92pt;margin-top:45.1055pt;mso-position-vertical-relative:page;mso-position-horizontal-relative:page;width:119.4pt;height:18.85pt;z-index:25167974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1860"/>
        <w:spacing w:line="9330" w:lineRule="exact"/>
        <w:rPr/>
      </w:pPr>
      <w:r>
        <w:pict>
          <v:shape id="_x0000_s492" style="position:absolute;margin-left:86.92pt;margin-top:228.073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494" style="position:absolute;margin-left:-45.0434pt;margin-top:347.362pt;mso-position-vertical-relative:text;mso-position-horizontal-relative:text;width:609.35pt;height:22.25pt;z-index:251682816;rotation:330;" fillcolor="#404040" filled="true" stroked="false" type="#_x0000_t136">
            <v:fill opacity="0.400000"/>
            <v:textpath style="font-family:&quot;STSong&quot;;font-size:20;v-text-kern:t;mso-text-shadow:auto" string="仅供内部审核                                                                          仅供内部审核"/>
          </v:shape>
        </w:pict>
      </w:r>
      <w:r>
        <w:pict>
          <v:shape id="_x0000_s496" style="position:absolute;margin-left:280.957pt;margin-top:347.362pt;mso-position-vertical-relative:text;mso-position-horizontal-relative:text;width:609.35pt;height:22.25pt;z-index:251683840;rotation:330;" fillcolor="#404040" filled="true" stroked="false" type="#_x0000_t136">
            <v:fill opacity="0.400000"/>
            <v:textpath style="font-family:&quot;STSong&quot;;font-size:20;v-text-kern:t;mso-text-shadow:auto" string="仅供内部审核                                                                          仅供内部审核"/>
          </v:shape>
        </w:pict>
      </w:r>
      <w:r>
        <w:pict>
          <v:shape id="_x0000_s498" style="position:absolute;margin-left:638.92pt;margin-top:470.073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8239125" cy="5924550"/>
            <wp:effectExtent l="0" t="0" r="0" b="0"/>
            <wp:docPr id="14" name="IM 14"/>
            <wp:cNvGraphicFramePr/>
            <a:graphic>
              <a:graphicData uri="http://schemas.openxmlformats.org/drawingml/2006/picture">
                <pic:pic>
                  <pic:nvPicPr>
                    <pic:cNvPr id="14" name="IM 14"/>
                    <pic:cNvPicPr/>
                  </pic:nvPicPr>
                  <pic:blipFill>
                    <a:blip r:embed="rId52"/>
                    <a:stretch>
                      <a:fillRect/>
                    </a:stretch>
                  </pic:blipFill>
                  <pic:spPr>
                    <a:xfrm rot="0">
                      <a:off x="0" y="0"/>
                      <a:ext cx="8239125" cy="5924550"/>
                    </a:xfrm>
                    <a:prstGeom prst="rect">
                      <a:avLst/>
                    </a:prstGeom>
                  </pic:spPr>
                </pic:pic>
              </a:graphicData>
            </a:graphic>
          </wp:inline>
        </w:drawing>
      </w:r>
    </w:p>
    <w:p>
      <w:pPr>
        <w:spacing w:line="9330" w:lineRule="exact"/>
        <w:sectPr>
          <w:headerReference w:type="default" r:id="rId50"/>
          <w:footerReference w:type="default" r:id="rId51"/>
          <w:pgSz w:w="16840" w:h="11900"/>
          <w:pgMar w:top="642" w:right="0" w:bottom="340" w:left="0" w:header="326" w:footer="91" w:gutter="0"/>
        </w:sectPr>
        <w:rPr/>
      </w:pPr>
    </w:p>
    <w:p>
      <w:pPr>
        <w:pStyle w:val="BodyText"/>
        <w:spacing w:line="277" w:lineRule="auto"/>
        <w:rPr/>
      </w:pPr>
      <w:r>
        <w:pict>
          <v:shape id="_x0000_s504" style="position:absolute;margin-left:491.92pt;margin-top:44.1055pt;mso-position-vertical-relative:page;mso-position-horizontal-relative:page;width:119.4pt;height:18.85pt;z-index:251688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06" style="position:absolute;margin-left:391.92pt;margin-top:716.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508" style="position:absolute;margin-left:391.92pt;margin-top:228.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pict>
          <v:shape id="_x0000_s510" style="position:absolute;margin-left:491.92pt;margin-top:472.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512" style="position:absolute;margin-left:-13.08pt;margin-top:228.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pict>
          <v:shape id="_x0000_s514" style="position:absolute;margin-left:86.92pt;margin-top:472.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516" style="position:absolute;margin-left:-13.08pt;margin-top:716.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16" name="IM 16"/>
            <wp:cNvGraphicFramePr/>
            <a:graphic>
              <a:graphicData uri="http://schemas.openxmlformats.org/drawingml/2006/picture">
                <pic:pic>
                  <pic:nvPicPr>
                    <pic:cNvPr id="16" name="IM 16"/>
                    <pic:cNvPicPr/>
                  </pic:nvPicPr>
                  <pic:blipFill>
                    <a:blip r:embed="rId55"/>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54"/>
          <w:pgSz w:w="11900" w:h="16840"/>
          <w:pgMar w:top="642" w:right="0" w:bottom="340" w:left="0" w:header="326" w:footer="93" w:gutter="0"/>
        </w:sectPr>
        <w:rPr/>
      </w:pPr>
    </w:p>
    <w:p>
      <w:pPr>
        <w:pStyle w:val="BodyText"/>
        <w:spacing w:line="277" w:lineRule="auto"/>
        <w:rPr/>
      </w:pPr>
      <w:r>
        <w:pict>
          <v:shape id="_x0000_s534" style="position:absolute;margin-left:491.92pt;margin-top:44.1055pt;mso-position-vertical-relative:page;mso-position-horizontal-relative:page;width:119.4pt;height:18.85pt;z-index:2516920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18" name="IM 18"/>
            <wp:cNvGraphicFramePr/>
            <a:graphic>
              <a:graphicData uri="http://schemas.openxmlformats.org/drawingml/2006/picture">
                <pic:pic>
                  <pic:nvPicPr>
                    <pic:cNvPr id="18" name="IM 18"/>
                    <pic:cNvPicPr/>
                  </pic:nvPicPr>
                  <pic:blipFill>
                    <a:blip r:embed="rId5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57"/>
          <w:pgSz w:w="11900" w:h="16840"/>
          <w:pgMar w:top="642" w:right="0" w:bottom="340" w:left="0" w:header="326" w:footer="93" w:gutter="0"/>
        </w:sectPr>
        <w:rPr/>
      </w:pPr>
    </w:p>
    <w:p>
      <w:pPr>
        <w:pStyle w:val="BodyText"/>
        <w:spacing w:line="277" w:lineRule="auto"/>
        <w:rPr/>
      </w:pPr>
      <w:r>
        <w:pict>
          <v:shape id="_x0000_s536" style="position:absolute;margin-left:491.92pt;margin-top:44.1055pt;mso-position-vertical-relative:page;mso-position-horizontal-relative:page;width:119.4pt;height:18.85pt;z-index:251700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38" style="position:absolute;margin-left:391.92pt;margin-top:228.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540" style="position:absolute;margin-left:-13.08pt;margin-top:716.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542" style="position:absolute;margin-left:391.92pt;margin-top:716.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544" style="position:absolute;margin-left:-13.08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546" style="position:absolute;margin-left:86.92pt;margin-top:472.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pict>
          <v:shape id="_x0000_s548" style="position:absolute;margin-left:491.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20" name="IM 20"/>
            <wp:cNvGraphicFramePr/>
            <a:graphic>
              <a:graphicData uri="http://schemas.openxmlformats.org/drawingml/2006/picture">
                <pic:pic>
                  <pic:nvPicPr>
                    <pic:cNvPr id="20" name="IM 20"/>
                    <pic:cNvPicPr/>
                  </pic:nvPicPr>
                  <pic:blipFill>
                    <a:blip r:embed="rId6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59"/>
          <w:pgSz w:w="11900" w:h="16840"/>
          <w:pgMar w:top="642" w:right="0" w:bottom="340" w:left="0" w:header="326" w:footer="93" w:gutter="0"/>
        </w:sectPr>
        <w:rPr/>
      </w:pPr>
    </w:p>
    <w:p>
      <w:pPr>
        <w:pStyle w:val="BodyText"/>
        <w:spacing w:line="277" w:lineRule="auto"/>
        <w:rPr/>
      </w:pPr>
      <w:r>
        <w:pict>
          <v:shape id="_x0000_s550" style="position:absolute;margin-left:491.92pt;margin-top:44.1055pt;mso-position-vertical-relative:page;mso-position-horizontal-relative:page;width:119.4pt;height:18.85pt;z-index:2517063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22" name="IM 22"/>
            <wp:cNvGraphicFramePr/>
            <a:graphic>
              <a:graphicData uri="http://schemas.openxmlformats.org/drawingml/2006/picture">
                <pic:pic>
                  <pic:nvPicPr>
                    <pic:cNvPr id="22" name="IM 22"/>
                    <pic:cNvPicPr/>
                  </pic:nvPicPr>
                  <pic:blipFill>
                    <a:blip r:embed="rId62"/>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61"/>
          <w:pgSz w:w="11900" w:h="16840"/>
          <w:pgMar w:top="642" w:right="0" w:bottom="340" w:left="0" w:header="326" w:footer="93" w:gutter="0"/>
        </w:sectPr>
        <w:rPr/>
      </w:pPr>
    </w:p>
    <w:p>
      <w:pPr>
        <w:pStyle w:val="BodyText"/>
        <w:spacing w:line="277" w:lineRule="auto"/>
        <w:rPr/>
      </w:pPr>
      <w:r>
        <w:pict>
          <v:shape id="_x0000_s552" style="position:absolute;margin-left:491.92pt;margin-top:44.1055pt;mso-position-vertical-relative:page;mso-position-horizontal-relative:page;width:119.4pt;height:18.85pt;z-index:251715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54" style="position:absolute;margin-left:391.92pt;margin-top:228.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556" style="position:absolute;margin-left:491.92pt;margin-top:472.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pict>
          <v:shape id="_x0000_s558" style="position:absolute;margin-left:86.92pt;margin-top:472.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pict>
          <v:shape id="_x0000_s560" style="position:absolute;margin-left:391.92pt;margin-top:716.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562" style="position:absolute;margin-left:-13.08pt;margin-top:716.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pict>
          <v:shape id="_x0000_s564" style="position:absolute;margin-left:-13.08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24" name="IM 24"/>
            <wp:cNvGraphicFramePr/>
            <a:graphic>
              <a:graphicData uri="http://schemas.openxmlformats.org/drawingml/2006/picture">
                <pic:pic>
                  <pic:nvPicPr>
                    <pic:cNvPr id="24" name="IM 24"/>
                    <pic:cNvPicPr/>
                  </pic:nvPicPr>
                  <pic:blipFill>
                    <a:blip r:embed="rId6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63"/>
          <w:pgSz w:w="11900" w:h="16840"/>
          <w:pgMar w:top="642" w:right="0" w:bottom="340" w:left="0" w:header="326" w:footer="91" w:gutter="0"/>
        </w:sectPr>
        <w:rPr/>
      </w:pPr>
    </w:p>
    <w:p>
      <w:pPr>
        <w:pStyle w:val="BodyText"/>
        <w:spacing w:line="277" w:lineRule="auto"/>
        <w:rPr/>
      </w:pPr>
      <w:r>
        <w:pict>
          <v:shape id="_x0000_s566" style="position:absolute;margin-left:491.92pt;margin-top:44.1055pt;mso-position-vertical-relative:page;mso-position-horizontal-relative:page;width:119.4pt;height:18.85pt;z-index:2517207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26" name="IM 26"/>
            <wp:cNvGraphicFramePr/>
            <a:graphic>
              <a:graphicData uri="http://schemas.openxmlformats.org/drawingml/2006/picture">
                <pic:pic>
                  <pic:nvPicPr>
                    <pic:cNvPr id="26" name="IM 26"/>
                    <pic:cNvPicPr/>
                  </pic:nvPicPr>
                  <pic:blipFill>
                    <a:blip r:embed="rId6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65"/>
          <w:pgSz w:w="11900" w:h="16840"/>
          <w:pgMar w:top="642" w:right="0" w:bottom="340" w:left="0" w:header="326" w:footer="93" w:gutter="0"/>
        </w:sectPr>
        <w:rPr/>
      </w:pPr>
    </w:p>
    <w:p>
      <w:pPr>
        <w:pStyle w:val="BodyText"/>
        <w:spacing w:line="277" w:lineRule="auto"/>
        <w:rPr/>
      </w:pPr>
      <w:r>
        <w:pict>
          <v:shape id="_x0000_s568" style="position:absolute;margin-left:491.92pt;margin-top:44.1055pt;mso-position-vertical-relative:page;mso-position-horizontal-relative:page;width:119.4pt;height:18.85pt;z-index:2517288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70" style="position:absolute;margin-left:-13.08pt;margin-top:228.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572" style="position:absolute;margin-left:86.92pt;margin-top:472.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574" style="position:absolute;margin-left:391.92pt;margin-top:716.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pict>
          <v:shape id="_x0000_s576" style="position:absolute;margin-left:491.92pt;margin-top:472.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578" style="position:absolute;margin-left:391.92pt;margin-top:228.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pict>
          <v:shape id="_x0000_s580" style="position:absolute;margin-left:-13.08pt;margin-top:716.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28" name="IM 28"/>
            <wp:cNvGraphicFramePr/>
            <a:graphic>
              <a:graphicData uri="http://schemas.openxmlformats.org/drawingml/2006/picture">
                <pic:pic>
                  <pic:nvPicPr>
                    <pic:cNvPr id="28" name="IM 28"/>
                    <pic:cNvPicPr/>
                  </pic:nvPicPr>
                  <pic:blipFill>
                    <a:blip r:embed="rId6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67"/>
          <w:pgSz w:w="11900" w:h="16840"/>
          <w:pgMar w:top="642" w:right="0" w:bottom="340" w:left="0" w:header="326" w:footer="93" w:gutter="0"/>
        </w:sectPr>
        <w:rPr/>
      </w:pPr>
    </w:p>
    <w:p>
      <w:pPr>
        <w:pStyle w:val="BodyText"/>
        <w:spacing w:line="277" w:lineRule="auto"/>
        <w:rPr/>
      </w:pPr>
      <w:r>
        <w:pict>
          <v:shape id="_x0000_s582" style="position:absolute;margin-left:491.92pt;margin-top:44.1055pt;mso-position-vertical-relative:page;mso-position-horizontal-relative:page;width:119.4pt;height:18.85pt;z-index:251735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30" name="IM 30"/>
            <wp:cNvGraphicFramePr/>
            <a:graphic>
              <a:graphicData uri="http://schemas.openxmlformats.org/drawingml/2006/picture">
                <pic:pic>
                  <pic:nvPicPr>
                    <pic:cNvPr id="30" name="IM 30"/>
                    <pic:cNvPicPr/>
                  </pic:nvPicPr>
                  <pic:blipFill>
                    <a:blip r:embed="rId7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69"/>
          <w:pgSz w:w="11900" w:h="16840"/>
          <w:pgMar w:top="642" w:right="0" w:bottom="340" w:left="0" w:header="326" w:footer="93" w:gutter="0"/>
        </w:sectPr>
        <w:rPr/>
      </w:pPr>
    </w:p>
    <w:p>
      <w:pPr>
        <w:pStyle w:val="BodyText"/>
        <w:spacing w:line="277" w:lineRule="auto"/>
        <w:rPr/>
      </w:pPr>
      <w:r>
        <w:pict>
          <v:shape id="_x0000_s584" style="position:absolute;margin-left:491.92pt;margin-top:44.1055pt;mso-position-vertical-relative:page;mso-position-horizontal-relative:page;width:119.4pt;height:18.85pt;z-index:2517422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86" style="position:absolute;margin-left:391.92pt;margin-top:228.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588" style="position:absolute;margin-left:391.92pt;margin-top:716.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590" style="position:absolute;margin-left:-13.08pt;margin-top:228.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pict>
          <v:shape id="_x0000_s592" style="position:absolute;margin-left:-13.08pt;margin-top:716.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594" style="position:absolute;margin-left:491.92pt;margin-top:472.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pict>
          <v:shape id="_x0000_s596" style="position:absolute;margin-left:86.92pt;margin-top:472.067pt;mso-position-vertical-relative:text;mso-position-horizontal-relative:text;width:119.4pt;height:18.85pt;z-index:25174835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32" name="IM 32"/>
            <wp:cNvGraphicFramePr/>
            <a:graphic>
              <a:graphicData uri="http://schemas.openxmlformats.org/drawingml/2006/picture">
                <pic:pic>
                  <pic:nvPicPr>
                    <pic:cNvPr id="32" name="IM 32"/>
                    <pic:cNvPicPr/>
                  </pic:nvPicPr>
                  <pic:blipFill>
                    <a:blip r:embed="rId7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71"/>
          <w:pgSz w:w="11900" w:h="16840"/>
          <w:pgMar w:top="642" w:right="0" w:bottom="340" w:left="0" w:header="326" w:footer="93" w:gutter="0"/>
        </w:sectPr>
        <w:rPr/>
      </w:pPr>
    </w:p>
    <w:p>
      <w:pPr>
        <w:pStyle w:val="BodyText"/>
        <w:spacing w:line="277" w:lineRule="auto"/>
        <w:rPr/>
      </w:pPr>
      <w:r>
        <w:pict>
          <v:shape id="_x0000_s598" style="position:absolute;margin-left:491.92pt;margin-top:44.1055pt;mso-position-vertical-relative:page;mso-position-horizontal-relative:page;width:119.4pt;height:18.85pt;z-index:2517493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34" name="IM 34"/>
            <wp:cNvGraphicFramePr/>
            <a:graphic>
              <a:graphicData uri="http://schemas.openxmlformats.org/drawingml/2006/picture">
                <pic:pic>
                  <pic:nvPicPr>
                    <pic:cNvPr id="34" name="IM 34"/>
                    <pic:cNvPicPr/>
                  </pic:nvPicPr>
                  <pic:blipFill>
                    <a:blip r:embed="rId7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73"/>
          <w:pgSz w:w="11900" w:h="16840"/>
          <w:pgMar w:top="642" w:right="0" w:bottom="340" w:left="0" w:header="326" w:footer="93" w:gutter="0"/>
        </w:sectPr>
        <w:rPr/>
      </w:pPr>
    </w:p>
    <w:p>
      <w:pPr>
        <w:pStyle w:val="BodyText"/>
        <w:spacing w:line="277" w:lineRule="auto"/>
        <w:rPr/>
      </w:pPr>
      <w:r>
        <w:pict>
          <v:shape id="_x0000_s600" style="position:absolute;margin-left:491.92pt;margin-top:44.1055pt;mso-position-vertical-relative:page;mso-position-horizontal-relative:page;width:119.4pt;height:18.85pt;z-index:251757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02" style="position:absolute;margin-left:-13.08pt;margin-top:716.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pict>
          <v:shape id="_x0000_s604" style="position:absolute;margin-left:-13.08pt;margin-top:228.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606" style="position:absolute;margin-left:86.92pt;margin-top:472.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pict>
          <v:shape id="_x0000_s608" style="position:absolute;margin-left:391.92pt;margin-top:716.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pict>
          <v:shape id="_x0000_s610" style="position:absolute;margin-left:491.92pt;margin-top:472.067pt;mso-position-vertical-relative:text;mso-position-horizontal-relative:text;width:119.4pt;height:18.85pt;z-index:251761664;rotation:330;" fillcolor="#404040" filled="true" stroked="false" type="#_x0000_t136">
            <v:fill opacity="0.400000"/>
            <v:textpath style="font-family:&quot;STSong&quot;;font-size:20;v-text-kern:t;mso-text-shadow:auto" string="仅供内部审核"/>
          </v:shape>
        </w:pict>
      </w:r>
      <w:r>
        <w:pict>
          <v:shape id="_x0000_s612" style="position:absolute;margin-left:391.92pt;margin-top:228.067pt;mso-position-vertical-relative:text;mso-position-horizontal-relative:text;width:119.4pt;height:18.85pt;z-index:2517626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36" name="IM 36"/>
            <wp:cNvGraphicFramePr/>
            <a:graphic>
              <a:graphicData uri="http://schemas.openxmlformats.org/drawingml/2006/picture">
                <pic:pic>
                  <pic:nvPicPr>
                    <pic:cNvPr id="36" name="IM 36"/>
                    <pic:cNvPicPr/>
                  </pic:nvPicPr>
                  <pic:blipFill>
                    <a:blip r:embed="rId7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75"/>
          <w:pgSz w:w="11900" w:h="16840"/>
          <w:pgMar w:top="642" w:right="0" w:bottom="340" w:left="0" w:header="326" w:footer="93" w:gutter="0"/>
        </w:sectPr>
        <w:rPr/>
      </w:pPr>
    </w:p>
    <w:p>
      <w:pPr>
        <w:pStyle w:val="BodyText"/>
        <w:spacing w:line="277" w:lineRule="auto"/>
        <w:rPr/>
      </w:pPr>
      <w:r>
        <w:pict>
          <v:shape id="_x0000_s614" style="position:absolute;margin-left:491.92pt;margin-top:44.1055pt;mso-position-vertical-relative:page;mso-position-horizontal-relative:page;width:119.4pt;height:18.85pt;z-index:2517637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38" name="IM 38"/>
            <wp:cNvGraphicFramePr/>
            <a:graphic>
              <a:graphicData uri="http://schemas.openxmlformats.org/drawingml/2006/picture">
                <pic:pic>
                  <pic:nvPicPr>
                    <pic:cNvPr id="38" name="IM 38"/>
                    <pic:cNvPicPr/>
                  </pic:nvPicPr>
                  <pic:blipFill>
                    <a:blip r:embed="rId7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77"/>
          <w:pgSz w:w="11900" w:h="16840"/>
          <w:pgMar w:top="642" w:right="0" w:bottom="340" w:left="0" w:header="326" w:footer="93" w:gutter="0"/>
        </w:sectPr>
        <w:rPr/>
      </w:pPr>
    </w:p>
    <w:p>
      <w:pPr>
        <w:pStyle w:val="BodyText"/>
        <w:spacing w:line="277" w:lineRule="auto"/>
        <w:rPr/>
      </w:pPr>
      <w:r>
        <w:pict>
          <v:shape id="_x0000_s616" style="position:absolute;margin-left:491.92pt;margin-top:44.1055pt;mso-position-vertical-relative:page;mso-position-horizontal-relative:page;width:119.4pt;height:18.85pt;z-index:2517739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15040" w:lineRule="exact"/>
        <w:rPr/>
      </w:pPr>
      <w:r>
        <w:pict>
          <v:shape id="_x0000_s618" style="position:absolute;margin-left:391.92pt;margin-top:228.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620" style="position:absolute;margin-left:391.92pt;margin-top:716.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pict>
          <v:shape id="_x0000_s622" style="position:absolute;margin-left:-13.08pt;margin-top:228.067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pict>
          <v:shape id="_x0000_s624" style="position:absolute;margin-left:-13.08pt;margin-top:716.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pict>
          <v:shape id="_x0000_s626" style="position:absolute;margin-left:491.92pt;margin-top:472.067pt;mso-position-vertical-relative:text;mso-position-horizontal-relative:text;width:119.4pt;height:18.85pt;z-index:251776000;rotation:330;" fillcolor="#404040" filled="true" stroked="false" type="#_x0000_t136">
            <v:fill opacity="0.400000"/>
            <v:textpath style="font-family:&quot;STSong&quot;;font-size:20;v-text-kern:t;mso-text-shadow:auto" string="仅供内部审核"/>
          </v:shape>
        </w:pict>
      </w:r>
      <w:r>
        <w:pict>
          <v:shape id="_x0000_s628" style="position:absolute;margin-left:86.92pt;margin-top:472.067pt;mso-position-vertical-relative:text;mso-position-horizontal-relative:text;width:119.4pt;height:18.85pt;z-index:2517770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600825" cy="9550449"/>
            <wp:effectExtent l="0" t="0" r="0" b="0"/>
            <wp:docPr id="40" name="IM 40"/>
            <wp:cNvGraphicFramePr/>
            <a:graphic>
              <a:graphicData uri="http://schemas.openxmlformats.org/drawingml/2006/picture">
                <pic:pic>
                  <pic:nvPicPr>
                    <pic:cNvPr id="40" name="IM 40"/>
                    <pic:cNvPicPr/>
                  </pic:nvPicPr>
                  <pic:blipFill>
                    <a:blip r:embed="rId80"/>
                    <a:stretch>
                      <a:fillRect/>
                    </a:stretch>
                  </pic:blipFill>
                  <pic:spPr>
                    <a:xfrm rot="0">
                      <a:off x="0" y="0"/>
                      <a:ext cx="6600825" cy="9550449"/>
                    </a:xfrm>
                    <a:prstGeom prst="rect">
                      <a:avLst/>
                    </a:prstGeom>
                  </pic:spPr>
                </pic:pic>
              </a:graphicData>
            </a:graphic>
          </wp:inline>
        </w:drawing>
      </w:r>
    </w:p>
    <w:p>
      <w:pPr>
        <w:spacing w:line="15040" w:lineRule="exact"/>
        <w:sectPr>
          <w:headerReference w:type="default" r:id="rId53"/>
          <w:footerReference w:type="default" r:id="rId79"/>
          <w:pgSz w:w="11900" w:h="16840"/>
          <w:pgMar w:top="642" w:right="0" w:bottom="340" w:left="0" w:header="326" w:footer="93" w:gutter="0"/>
        </w:sectPr>
        <w:rPr/>
      </w:pPr>
    </w:p>
    <w:p>
      <w:pPr>
        <w:pStyle w:val="BodyText"/>
        <w:spacing w:line="277" w:lineRule="auto"/>
        <w:rPr/>
      </w:pPr>
      <w:r>
        <w:pict>
          <v:shape id="_x0000_s630" style="position:absolute;margin-left:491.92pt;margin-top:44.1055pt;mso-position-vertical-relative:page;mso-position-horizontal-relative:page;width:119.4pt;height:18.85pt;z-index:2517780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3630" w:lineRule="exact"/>
        <w:rPr/>
      </w:pPr>
      <w:r>
        <w:rPr>
          <w:position w:val="-72"/>
        </w:rPr>
        <w:drawing>
          <wp:inline distT="0" distB="0" distL="0" distR="0">
            <wp:extent cx="6600825" cy="2305050"/>
            <wp:effectExtent l="0" t="0" r="0" b="0"/>
            <wp:docPr id="42" name="IM 42"/>
            <wp:cNvGraphicFramePr/>
            <a:graphic>
              <a:graphicData uri="http://schemas.openxmlformats.org/drawingml/2006/picture">
                <pic:pic>
                  <pic:nvPicPr>
                    <pic:cNvPr id="42" name="IM 42"/>
                    <pic:cNvPicPr/>
                  </pic:nvPicPr>
                  <pic:blipFill>
                    <a:blip r:embed="rId82"/>
                    <a:stretch>
                      <a:fillRect/>
                    </a:stretch>
                  </pic:blipFill>
                  <pic:spPr>
                    <a:xfrm rot="0">
                      <a:off x="0" y="0"/>
                      <a:ext cx="6600825" cy="2305050"/>
                    </a:xfrm>
                    <a:prstGeom prst="rect">
                      <a:avLst/>
                    </a:prstGeom>
                  </pic:spPr>
                </pic:pic>
              </a:graphicData>
            </a:graphic>
          </wp:inline>
        </w:drawing>
      </w:r>
    </w:p>
    <w:p>
      <w:pPr>
        <w:spacing w:line="3630" w:lineRule="exact"/>
        <w:sectPr>
          <w:headerReference w:type="default" r:id="rId56"/>
          <w:footerReference w:type="default" r:id="rId81"/>
          <w:pgSz w:w="11900" w:h="16840"/>
          <w:pgMar w:top="642" w:right="0" w:bottom="340" w:left="0" w:header="326" w:footer="93" w:gutter="0"/>
        </w:sectPr>
        <w:rPr/>
      </w:pPr>
    </w:p>
    <w:p>
      <w:pPr>
        <w:pStyle w:val="BodyText"/>
        <w:spacing w:line="267" w:lineRule="auto"/>
        <w:rPr/>
      </w:pPr>
      <w:r>
        <w:pict>
          <v:shape id="_x0000_s632" style="position:absolute;margin-left:312.92pt;margin-top:45.1055pt;mso-position-vertical-relative:page;mso-position-horizontal-relative:page;width:119.4pt;height:18.85pt;z-index:251785216;rotation:330;" o:allowincell="f" fillcolor="#404040" filled="true" stroked="false" type="#_x0000_t136">
            <v:fill opacity="0.400000"/>
            <v:textpath style="font-family:&quot;STSong&quot;;font-size:20;v-text-kern:t;mso-text-shadow:auto" string="仅供内部审核"/>
          </v:shape>
        </w:pict>
      </w:r>
      <w:r>
        <w:pict>
          <v:shape id="_x0000_s634" style="position:absolute;margin-left:638.92pt;margin-top:45.1055pt;mso-position-vertical-relative:page;mso-position-horizontal-relative:page;width:119.4pt;height:18.85pt;z-index:2517893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445"/>
        <w:spacing w:line="9330" w:lineRule="exact"/>
        <w:rPr/>
      </w:pPr>
      <w:r>
        <w:pict>
          <v:shape id="_x0000_s636" style="position:absolute;margin-left:86.92pt;margin-top:228.073pt;mso-position-vertical-relative:text;mso-position-horizontal-relative:text;width:119.4pt;height:18.85pt;z-index:251786240;rotation:330;" fillcolor="#404040" filled="true" stroked="false" type="#_x0000_t136">
            <v:fill opacity="0.400000"/>
            <v:textpath style="font-family:&quot;STSong&quot;;font-size:20;v-text-kern:t;mso-text-shadow:auto" string="仅供内部审核"/>
          </v:shape>
        </w:pict>
      </w:r>
      <w:r>
        <w:pict>
          <v:shape id="_x0000_s638" style="position:absolute;margin-left:-45.0434pt;margin-top:347.362pt;mso-position-vertical-relative:text;mso-position-horizontal-relative:text;width:609.35pt;height:22.25pt;z-index:251788288;rotation:330;" fillcolor="#404040" filled="true" stroked="false" type="#_x0000_t136">
            <v:fill opacity="0.400000"/>
            <v:textpath style="font-family:&quot;STSong&quot;;font-size:20;v-text-kern:t;mso-text-shadow:auto" string="仅供内部审核                                                                          仅供内部审核"/>
          </v:shape>
        </w:pict>
      </w:r>
      <w:r>
        <w:pict>
          <v:shape id="_x0000_s640" style="position:absolute;margin-left:280.957pt;margin-top:347.362pt;mso-position-vertical-relative:text;mso-position-horizontal-relative:text;width:609.35pt;height:22.25pt;z-index:251790336;rotation:330;" fillcolor="#404040" filled="true" stroked="false" type="#_x0000_t136">
            <v:fill opacity="0.400000"/>
            <v:textpath style="font-family:&quot;STSong&quot;;font-size:20;v-text-kern:t;mso-text-shadow:auto" string="仅供内部审核                                                                          仅供内部审核"/>
          </v:shape>
        </w:pict>
      </w:r>
      <w:r>
        <w:pict>
          <v:shape id="_x0000_s642" style="position:absolute;margin-left:638.92pt;margin-top:470.073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91425" cy="5924550"/>
            <wp:effectExtent l="0" t="0" r="0" b="0"/>
            <wp:docPr id="44" name="IM 44"/>
            <wp:cNvGraphicFramePr/>
            <a:graphic>
              <a:graphicData uri="http://schemas.openxmlformats.org/drawingml/2006/picture">
                <pic:pic>
                  <pic:nvPicPr>
                    <pic:cNvPr id="44" name="IM 44"/>
                    <pic:cNvPicPr/>
                  </pic:nvPicPr>
                  <pic:blipFill>
                    <a:blip r:embed="rId84"/>
                    <a:stretch>
                      <a:fillRect/>
                    </a:stretch>
                  </pic:blipFill>
                  <pic:spPr>
                    <a:xfrm rot="0">
                      <a:off x="0" y="0"/>
                      <a:ext cx="7591425" cy="5924550"/>
                    </a:xfrm>
                    <a:prstGeom prst="rect">
                      <a:avLst/>
                    </a:prstGeom>
                  </pic:spPr>
                </pic:pic>
              </a:graphicData>
            </a:graphic>
          </wp:inline>
        </w:drawing>
      </w:r>
    </w:p>
    <w:p>
      <w:pPr>
        <w:spacing w:line="9330" w:lineRule="exact"/>
        <w:sectPr>
          <w:headerReference w:type="default" r:id="rId50"/>
          <w:footerReference w:type="default" r:id="rId83"/>
          <w:pgSz w:w="16840" w:h="11900"/>
          <w:pgMar w:top="642" w:right="0" w:bottom="340" w:left="0" w:header="326" w:footer="93" w:gutter="0"/>
        </w:sectPr>
        <w:rPr/>
      </w:pPr>
    </w:p>
    <w:p>
      <w:pPr>
        <w:pStyle w:val="BodyText"/>
        <w:spacing w:line="277" w:lineRule="auto"/>
        <w:rPr/>
      </w:pPr>
      <w:r>
        <w:pict>
          <v:shape id="_x0000_s644" style="position:absolute;margin-left:491.92pt;margin-top:44.1055pt;mso-position-vertical-relative:page;mso-position-horizontal-relative:page;width:119.4pt;height:18.85pt;z-index:2517934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46" style="position:absolute;margin-left:-13.08pt;margin-top:228.067pt;mso-position-vertical-relative:text;mso-position-horizontal-relative:text;width:119.4pt;height:18.85pt;z-index:251792384;rotation:330;" fillcolor="#404040" filled="true" stroked="false" type="#_x0000_t136">
            <v:fill opacity="0.400000"/>
            <v:textpath style="font-family:&quot;STSong&quot;;font-size:20;v-text-kern:t;mso-text-shadow:auto" string="仅供内部审核"/>
          </v:shape>
        </w:pict>
      </w:r>
      <w:r>
        <w:pict>
          <v:shape id="_x0000_s648" style="position:absolute;margin-left:391.92pt;margin-top:228.067pt;mso-position-vertical-relative:text;mso-position-horizontal-relative:text;width:119.4pt;height:18.85pt;z-index:251794432;rotation:330;" fillcolor="#404040" filled="true" stroked="false" type="#_x0000_t136">
            <v:fill opacity="0.400000"/>
            <v:textpath style="font-family:&quot;STSong&quot;;font-size:20;v-text-kern:t;mso-text-shadow:auto" string="仅供内部审核"/>
          </v:shape>
        </w:pict>
      </w:r>
      <w:r>
        <w:pict>
          <v:shape id="_x0000_s650" style="position:absolute;margin-left:391.92pt;margin-top:716.067pt;mso-position-vertical-relative:text;mso-position-horizontal-relative:text;width:119.4pt;height:18.85pt;z-index:251795456;rotation:330;" fillcolor="#404040" filled="true" stroked="false" type="#_x0000_t136">
            <v:fill opacity="0.400000"/>
            <v:textpath style="font-family:&quot;STSong&quot;;font-size:20;v-text-kern:t;mso-text-shadow:auto" string="仅供内部审核"/>
          </v:shape>
        </w:pict>
      </w:r>
      <w:r>
        <w:pict>
          <v:shape id="_x0000_s652" style="position:absolute;margin-left:86.92pt;margin-top:472.067pt;mso-position-vertical-relative:text;mso-position-horizontal-relative:text;width:119.4pt;height:18.85pt;z-index:251796480;rotation:330;" fillcolor="#404040" filled="true" stroked="false" type="#_x0000_t136">
            <v:fill opacity="0.400000"/>
            <v:textpath style="font-family:&quot;STSong&quot;;font-size:20;v-text-kern:t;mso-text-shadow:auto" string="仅供内部审核"/>
          </v:shape>
        </w:pict>
      </w:r>
      <w:r>
        <w:pict>
          <v:shape id="_x0000_s654" style="position:absolute;margin-left:-13.08pt;margin-top:716.067pt;mso-position-vertical-relative:text;mso-position-horizontal-relative:text;width:119.4pt;height:18.85pt;z-index:251797504;rotation:330;" fillcolor="#404040" filled="true" stroked="false" type="#_x0000_t136">
            <v:fill opacity="0.400000"/>
            <v:textpath style="font-family:&quot;STSong&quot;;font-size:20;v-text-kern:t;mso-text-shadow:auto" string="仅供内部审核"/>
          </v:shape>
        </w:pict>
      </w:r>
      <w:r>
        <w:pict>
          <v:shape id="_x0000_s656" style="position:absolute;margin-left:491.92pt;margin-top:472.067pt;mso-position-vertical-relative:text;mso-position-horizontal-relative:text;width:119.4pt;height:18.85pt;z-index:2517985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46" name="IM 46"/>
            <wp:cNvGraphicFramePr/>
            <a:graphic>
              <a:graphicData uri="http://schemas.openxmlformats.org/drawingml/2006/picture">
                <pic:pic>
                  <pic:nvPicPr>
                    <pic:cNvPr id="46" name="IM 46"/>
                    <pic:cNvPicPr/>
                  </pic:nvPicPr>
                  <pic:blipFill>
                    <a:blip r:embed="rId8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85"/>
          <w:pgSz w:w="11900" w:h="16840"/>
          <w:pgMar w:top="642" w:right="0" w:bottom="340" w:left="0" w:header="326" w:footer="93" w:gutter="0"/>
        </w:sectPr>
        <w:rPr/>
      </w:pPr>
    </w:p>
    <w:p>
      <w:pPr>
        <w:pStyle w:val="BodyText"/>
        <w:spacing w:line="277" w:lineRule="auto"/>
        <w:rPr/>
      </w:pPr>
      <w:r>
        <w:pict>
          <v:shape id="_x0000_s658" style="position:absolute;margin-left:491.92pt;margin-top:44.1055pt;mso-position-vertical-relative:page;mso-position-horizontal-relative:page;width:119.4pt;height:18.85pt;z-index:251799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48" name="IM 48"/>
            <wp:cNvGraphicFramePr/>
            <a:graphic>
              <a:graphicData uri="http://schemas.openxmlformats.org/drawingml/2006/picture">
                <pic:pic>
                  <pic:nvPicPr>
                    <pic:cNvPr id="48" name="IM 48"/>
                    <pic:cNvPicPr/>
                  </pic:nvPicPr>
                  <pic:blipFill>
                    <a:blip r:embed="rId8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87"/>
          <w:pgSz w:w="11900" w:h="16840"/>
          <w:pgMar w:top="642" w:right="0" w:bottom="340" w:left="0" w:header="326" w:footer="93" w:gutter="0"/>
        </w:sectPr>
        <w:rPr/>
      </w:pPr>
    </w:p>
    <w:p>
      <w:pPr>
        <w:pStyle w:val="BodyText"/>
        <w:spacing w:line="267" w:lineRule="auto"/>
        <w:rPr/>
      </w:pPr>
      <w:r>
        <w:pict>
          <v:shape id="_x0000_s660" style="position:absolute;margin-left:312.92pt;margin-top:45.1055pt;mso-position-vertical-relative:page;mso-position-horizontal-relative:page;width:119.4pt;height:18.85pt;z-index:251806720;rotation:330;" o:allowincell="f" fillcolor="#404040" filled="true" stroked="false" type="#_x0000_t136">
            <v:fill opacity="0.400000"/>
            <v:textpath style="font-family:&quot;STSong&quot;;font-size:20;v-text-kern:t;mso-text-shadow:auto" string="仅供内部审核"/>
          </v:shape>
        </w:pict>
      </w:r>
      <w:r>
        <w:pict>
          <v:shape id="_x0000_s662" style="position:absolute;margin-left:638.92pt;margin-top:45.1055pt;mso-position-vertical-relative:page;mso-position-horizontal-relative:page;width:119.4pt;height:18.85pt;z-index:25180979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505"/>
        <w:spacing w:line="9330" w:lineRule="exact"/>
        <w:rPr/>
      </w:pPr>
      <w:r>
        <w:pict>
          <v:shape id="_x0000_s664" style="position:absolute;margin-left:86.92pt;margin-top:228.073pt;mso-position-vertical-relative:text;mso-position-horizontal-relative:text;width:119.4pt;height:18.85pt;z-index:251807744;rotation:330;" fillcolor="#404040" filled="true" stroked="false" type="#_x0000_t136">
            <v:fill opacity="0.400000"/>
            <v:textpath style="font-family:&quot;STSong&quot;;font-size:20;v-text-kern:t;mso-text-shadow:auto" string="仅供内部审核"/>
          </v:shape>
        </w:pict>
      </w:r>
      <w:r>
        <w:pict>
          <v:shape id="_x0000_s666" style="position:absolute;margin-left:-45.0434pt;margin-top:347.362pt;mso-position-vertical-relative:text;mso-position-horizontal-relative:text;width:609.35pt;height:22.25pt;z-index:251810816;rotation:330;" fillcolor="#404040" filled="true" stroked="false" type="#_x0000_t136">
            <v:fill opacity="0.400000"/>
            <v:textpath style="font-family:&quot;STSong&quot;;font-size:20;v-text-kern:t;mso-text-shadow:auto" string="仅供内部审核                                                                          仅供内部审核"/>
          </v:shape>
        </w:pict>
      </w:r>
      <w:r>
        <w:pict>
          <v:shape id="_x0000_s668" style="position:absolute;margin-left:280.957pt;margin-top:347.362pt;mso-position-vertical-relative:text;mso-position-horizontal-relative:text;width:609.35pt;height:22.25pt;z-index:251808768;rotation:330;" fillcolor="#404040" filled="true" stroked="false" type="#_x0000_t136">
            <v:fill opacity="0.400000"/>
            <v:textpath style="font-family:&quot;STSong&quot;;font-size:20;v-text-kern:t;mso-text-shadow:auto" string="仅供内部审核                                                                          仅供内部审核"/>
          </v:shape>
        </w:pict>
      </w:r>
      <w:r>
        <w:pict>
          <v:shape id="_x0000_s670" style="position:absolute;margin-left:638.92pt;margin-top:470.073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15225" cy="5924550"/>
            <wp:effectExtent l="0" t="0" r="0" b="0"/>
            <wp:docPr id="50" name="IM 50"/>
            <wp:cNvGraphicFramePr/>
            <a:graphic>
              <a:graphicData uri="http://schemas.openxmlformats.org/drawingml/2006/picture">
                <pic:pic>
                  <pic:nvPicPr>
                    <pic:cNvPr id="50" name="IM 50"/>
                    <pic:cNvPicPr/>
                  </pic:nvPicPr>
                  <pic:blipFill>
                    <a:blip r:embed="rId90"/>
                    <a:stretch>
                      <a:fillRect/>
                    </a:stretch>
                  </pic:blipFill>
                  <pic:spPr>
                    <a:xfrm rot="0">
                      <a:off x="0" y="0"/>
                      <a:ext cx="7515225" cy="5924550"/>
                    </a:xfrm>
                    <a:prstGeom prst="rect">
                      <a:avLst/>
                    </a:prstGeom>
                  </pic:spPr>
                </pic:pic>
              </a:graphicData>
            </a:graphic>
          </wp:inline>
        </w:drawing>
      </w:r>
    </w:p>
    <w:p>
      <w:pPr>
        <w:spacing w:line="9330" w:lineRule="exact"/>
        <w:sectPr>
          <w:headerReference w:type="default" r:id="rId50"/>
          <w:footerReference w:type="default" r:id="rId89"/>
          <w:pgSz w:w="16840" w:h="11900"/>
          <w:pgMar w:top="642" w:right="0" w:bottom="340" w:left="0" w:header="326" w:footer="93" w:gutter="0"/>
        </w:sectPr>
        <w:rPr/>
      </w:pPr>
    </w:p>
    <w:p>
      <w:pPr>
        <w:pStyle w:val="BodyText"/>
        <w:spacing w:line="277" w:lineRule="auto"/>
        <w:rPr/>
      </w:pPr>
      <w:r>
        <w:pict>
          <v:shape id="_x0000_s672" style="position:absolute;margin-left:491.92pt;margin-top:44.1055pt;mso-position-vertical-relative:page;mso-position-horizontal-relative:page;width:119.4pt;height:18.85pt;z-index:251816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74" style="position:absolute;margin-left:391.92pt;margin-top:228.067pt;mso-position-vertical-relative:text;mso-position-horizontal-relative:text;width:119.4pt;height:18.85pt;z-index:251813888;rotation:330;" fillcolor="#404040" filled="true" stroked="false" type="#_x0000_t136">
            <v:fill opacity="0.400000"/>
            <v:textpath style="font-family:&quot;STSong&quot;;font-size:20;v-text-kern:t;mso-text-shadow:auto" string="仅供内部审核"/>
          </v:shape>
        </w:pict>
      </w:r>
      <w:r>
        <w:pict>
          <v:shape id="_x0000_s676" style="position:absolute;margin-left:491.92pt;margin-top:472.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pict>
          <v:shape id="_x0000_s678" style="position:absolute;margin-left:86.92pt;margin-top:472.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pict>
          <v:shape id="_x0000_s680" style="position:absolute;margin-left:-13.08pt;margin-top:228.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pict>
          <v:shape id="_x0000_s682" style="position:absolute;margin-left:-13.08pt;margin-top:716.067pt;mso-position-vertical-relative:text;mso-position-horizontal-relative:text;width:119.4pt;height:18.85pt;z-index:251819008;rotation:330;" fillcolor="#404040" filled="true" stroked="false" type="#_x0000_t136">
            <v:fill opacity="0.400000"/>
            <v:textpath style="font-family:&quot;STSong&quot;;font-size:20;v-text-kern:t;mso-text-shadow:auto" string="仅供内部审核"/>
          </v:shape>
        </w:pict>
      </w:r>
      <w:r>
        <w:pict>
          <v:shape id="_x0000_s684" style="position:absolute;margin-left:391.92pt;margin-top:716.067pt;mso-position-vertical-relative:text;mso-position-horizontal-relative:text;width:119.4pt;height:18.85pt;z-index:2518200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2" name="IM 52"/>
            <wp:cNvGraphicFramePr/>
            <a:graphic>
              <a:graphicData uri="http://schemas.openxmlformats.org/drawingml/2006/picture">
                <pic:pic>
                  <pic:nvPicPr>
                    <pic:cNvPr id="52" name="IM 52"/>
                    <pic:cNvPicPr/>
                  </pic:nvPicPr>
                  <pic:blipFill>
                    <a:blip r:embed="rId9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91"/>
          <w:pgSz w:w="11900" w:h="16840"/>
          <w:pgMar w:top="642" w:right="0" w:bottom="340" w:left="0" w:header="326" w:footer="93" w:gutter="0"/>
        </w:sectPr>
        <w:rPr/>
      </w:pPr>
    </w:p>
    <w:p>
      <w:pPr>
        <w:pStyle w:val="BodyText"/>
        <w:spacing w:line="277" w:lineRule="auto"/>
        <w:rPr/>
      </w:pPr>
      <w:r>
        <w:pict>
          <v:shape id="_x0000_s686" style="position:absolute;margin-left:491.92pt;margin-top:44.1055pt;mso-position-vertical-relative:page;mso-position-horizontal-relative:page;width:119.4pt;height:18.85pt;z-index:251821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4" name="IM 54"/>
            <wp:cNvGraphicFramePr/>
            <a:graphic>
              <a:graphicData uri="http://schemas.openxmlformats.org/drawingml/2006/picture">
                <pic:pic>
                  <pic:nvPicPr>
                    <pic:cNvPr id="54" name="IM 54"/>
                    <pic:cNvPicPr/>
                  </pic:nvPicPr>
                  <pic:blipFill>
                    <a:blip r:embed="rId9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93"/>
          <w:pgSz w:w="11900" w:h="16840"/>
          <w:pgMar w:top="642" w:right="0" w:bottom="340" w:left="0" w:header="326" w:footer="93" w:gutter="0"/>
        </w:sectPr>
        <w:rPr/>
      </w:pPr>
    </w:p>
    <w:p>
      <w:pPr>
        <w:pStyle w:val="BodyText"/>
        <w:spacing w:line="277" w:lineRule="auto"/>
        <w:rPr/>
      </w:pPr>
      <w:r>
        <w:pict>
          <v:shape id="_x0000_s688" style="position:absolute;margin-left:491.92pt;margin-top:44.1055pt;mso-position-vertical-relative:page;mso-position-horizontal-relative:page;width:119.4pt;height:18.85pt;z-index:251828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15040" w:lineRule="exact"/>
        <w:rPr/>
      </w:pPr>
      <w:r>
        <w:pict>
          <v:shape id="_x0000_s690" style="position:absolute;margin-left:391.92pt;margin-top:716.067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pict>
          <v:shape id="_x0000_s692" style="position:absolute;margin-left:-13.08pt;margin-top:716.067pt;mso-position-vertical-relative:text;mso-position-horizontal-relative:text;width:119.4pt;height:18.85pt;z-index:251830272;rotation:330;" fillcolor="#404040" filled="true" stroked="false" type="#_x0000_t136">
            <v:fill opacity="0.400000"/>
            <v:textpath style="font-family:&quot;STSong&quot;;font-size:20;v-text-kern:t;mso-text-shadow:auto" string="仅供内部审核"/>
          </v:shape>
        </w:pict>
      </w:r>
      <w:r>
        <w:pict>
          <v:shape id="_x0000_s694" style="position:absolute;margin-left:86.92pt;margin-top:472.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696" style="position:absolute;margin-left:-13.08pt;margin-top:228.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pict>
          <v:shape id="_x0000_s698" style="position:absolute;margin-left:491.92pt;margin-top:472.067pt;mso-position-vertical-relative:text;mso-position-horizontal-relative:text;width:119.4pt;height:18.85pt;z-index:251833344;rotation:330;" fillcolor="#404040" filled="true" stroked="false" type="#_x0000_t136">
            <v:fill opacity="0.400000"/>
            <v:textpath style="font-family:&quot;STSong&quot;;font-size:20;v-text-kern:t;mso-text-shadow:auto" string="仅供内部审核"/>
          </v:shape>
        </w:pict>
      </w:r>
      <w:r>
        <w:pict>
          <v:shape id="_x0000_s700" style="position:absolute;margin-left:391.92pt;margin-top:228.067pt;mso-position-vertical-relative:text;mso-position-horizontal-relative:text;width:119.4pt;height:18.85pt;z-index:2518343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711999" cy="9550449"/>
            <wp:effectExtent l="0" t="0" r="0" b="0"/>
            <wp:docPr id="56" name="IM 56"/>
            <wp:cNvGraphicFramePr/>
            <a:graphic>
              <a:graphicData uri="http://schemas.openxmlformats.org/drawingml/2006/picture">
                <pic:pic>
                  <pic:nvPicPr>
                    <pic:cNvPr id="56" name="IM 56"/>
                    <pic:cNvPicPr/>
                  </pic:nvPicPr>
                  <pic:blipFill>
                    <a:blip r:embed="rId96"/>
                    <a:stretch>
                      <a:fillRect/>
                    </a:stretch>
                  </pic:blipFill>
                  <pic:spPr>
                    <a:xfrm rot="0">
                      <a:off x="0" y="0"/>
                      <a:ext cx="6711999" cy="9550449"/>
                    </a:xfrm>
                    <a:prstGeom prst="rect">
                      <a:avLst/>
                    </a:prstGeom>
                  </pic:spPr>
                </pic:pic>
              </a:graphicData>
            </a:graphic>
          </wp:inline>
        </w:drawing>
      </w:r>
    </w:p>
    <w:p>
      <w:pPr>
        <w:spacing w:line="15040" w:lineRule="exact"/>
        <w:sectPr>
          <w:headerReference w:type="default" r:id="rId53"/>
          <w:footerReference w:type="default" r:id="rId95"/>
          <w:pgSz w:w="11900" w:h="16840"/>
          <w:pgMar w:top="642" w:right="0" w:bottom="340" w:left="0" w:header="326" w:footer="93" w:gutter="0"/>
        </w:sectPr>
        <w:rPr/>
      </w:pPr>
    </w:p>
    <w:p>
      <w:pPr>
        <w:pStyle w:val="BodyText"/>
        <w:spacing w:line="277" w:lineRule="auto"/>
        <w:rPr/>
      </w:pPr>
      <w:r>
        <w:pict>
          <v:shape id="_x0000_s702" style="position:absolute;margin-left:491.92pt;margin-top:44.1055pt;mso-position-vertical-relative:page;mso-position-horizontal-relative:page;width:119.4pt;height:18.85pt;z-index:251835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3630" w:lineRule="exact"/>
        <w:rPr/>
      </w:pPr>
      <w:r>
        <w:rPr>
          <w:position w:val="-72"/>
        </w:rPr>
        <w:drawing>
          <wp:inline distT="0" distB="0" distL="0" distR="0">
            <wp:extent cx="6711999" cy="2305050"/>
            <wp:effectExtent l="0" t="0" r="0" b="0"/>
            <wp:docPr id="58" name="IM 58"/>
            <wp:cNvGraphicFramePr/>
            <a:graphic>
              <a:graphicData uri="http://schemas.openxmlformats.org/drawingml/2006/picture">
                <pic:pic>
                  <pic:nvPicPr>
                    <pic:cNvPr id="58" name="IM 58"/>
                    <pic:cNvPicPr/>
                  </pic:nvPicPr>
                  <pic:blipFill>
                    <a:blip r:embed="rId98"/>
                    <a:stretch>
                      <a:fillRect/>
                    </a:stretch>
                  </pic:blipFill>
                  <pic:spPr>
                    <a:xfrm rot="0">
                      <a:off x="0" y="0"/>
                      <a:ext cx="6711999" cy="2305050"/>
                    </a:xfrm>
                    <a:prstGeom prst="rect">
                      <a:avLst/>
                    </a:prstGeom>
                  </pic:spPr>
                </pic:pic>
              </a:graphicData>
            </a:graphic>
          </wp:inline>
        </w:drawing>
      </w:r>
    </w:p>
    <w:p>
      <w:pPr>
        <w:spacing w:line="3630" w:lineRule="exact"/>
        <w:sectPr>
          <w:headerReference w:type="default" r:id="rId56"/>
          <w:footerReference w:type="default" r:id="rId97"/>
          <w:pgSz w:w="11900" w:h="16840"/>
          <w:pgMar w:top="642" w:right="0" w:bottom="340" w:left="0" w:header="326" w:footer="93" w:gutter="0"/>
        </w:sectPr>
        <w:rPr/>
      </w:pPr>
    </w:p>
    <w:p>
      <w:pPr>
        <w:pStyle w:val="BodyText"/>
        <w:spacing w:line="277" w:lineRule="auto"/>
        <w:rPr/>
      </w:pPr>
      <w:r>
        <w:pict>
          <v:shape id="_x0000_s704" style="position:absolute;margin-left:491.92pt;margin-top:44.1055pt;mso-position-vertical-relative:page;mso-position-horizontal-relative:page;width:119.4pt;height:18.85pt;z-index:251843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06" style="position:absolute;margin-left:-13.08pt;margin-top:716.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pict>
          <v:shape id="_x0000_s708" style="position:absolute;margin-left:-13.08pt;margin-top:228.067pt;mso-position-vertical-relative:text;mso-position-horizontal-relative:text;width:119.4pt;height:18.85pt;z-index:251844608;rotation:330;" fillcolor="#404040" filled="true" stroked="false" type="#_x0000_t136">
            <v:fill opacity="0.400000"/>
            <v:textpath style="font-family:&quot;STSong&quot;;font-size:20;v-text-kern:t;mso-text-shadow:auto" string="仅供内部审核"/>
          </v:shape>
        </w:pict>
      </w:r>
      <w:r>
        <w:pict>
          <v:shape id="_x0000_s710" style="position:absolute;margin-left:391.92pt;margin-top:228.067pt;mso-position-vertical-relative:text;mso-position-horizontal-relative:text;width:119.4pt;height:18.85pt;z-index:251845632;rotation:330;" fillcolor="#404040" filled="true" stroked="false" type="#_x0000_t136">
            <v:fill opacity="0.400000"/>
            <v:textpath style="font-family:&quot;STSong&quot;;font-size:20;v-text-kern:t;mso-text-shadow:auto" string="仅供内部审核"/>
          </v:shape>
        </w:pict>
      </w:r>
      <w:r>
        <w:pict>
          <v:shape id="_x0000_s712" style="position:absolute;margin-left:391.92pt;margin-top:716.067pt;mso-position-vertical-relative:text;mso-position-horizontal-relative:text;width:119.4pt;height:18.85pt;z-index:251846656;rotation:330;" fillcolor="#404040" filled="true" stroked="false" type="#_x0000_t136">
            <v:fill opacity="0.400000"/>
            <v:textpath style="font-family:&quot;STSong&quot;;font-size:20;v-text-kern:t;mso-text-shadow:auto" string="仅供内部审核"/>
          </v:shape>
        </w:pict>
      </w:r>
      <w:r>
        <w:pict>
          <v:shape id="_x0000_s714" style="position:absolute;margin-left:86.92pt;margin-top:472.067pt;mso-position-vertical-relative:text;mso-position-horizontal-relative:text;width:119.4pt;height:18.85pt;z-index:251847680;rotation:330;" fillcolor="#404040" filled="true" stroked="false" type="#_x0000_t136">
            <v:fill opacity="0.400000"/>
            <v:textpath style="font-family:&quot;STSong&quot;;font-size:20;v-text-kern:t;mso-text-shadow:auto" string="仅供内部审核"/>
          </v:shape>
        </w:pict>
      </w:r>
      <w:r>
        <w:pict>
          <v:shape id="_x0000_s716" style="position:absolute;margin-left:491.92pt;margin-top:472.067pt;mso-position-vertical-relative:text;mso-position-horizontal-relative:text;width:119.4pt;height:18.85pt;z-index:25184870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0" name="IM 60"/>
            <wp:cNvGraphicFramePr/>
            <a:graphic>
              <a:graphicData uri="http://schemas.openxmlformats.org/drawingml/2006/picture">
                <pic:pic>
                  <pic:nvPicPr>
                    <pic:cNvPr id="60" name="IM 60"/>
                    <pic:cNvPicPr/>
                  </pic:nvPicPr>
                  <pic:blipFill>
                    <a:blip r:embed="rId10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99"/>
          <w:pgSz w:w="11900" w:h="16840"/>
          <w:pgMar w:top="642" w:right="0" w:bottom="340" w:left="0" w:header="326" w:footer="93" w:gutter="0"/>
        </w:sectPr>
        <w:rPr/>
      </w:pPr>
    </w:p>
    <w:p>
      <w:pPr>
        <w:pStyle w:val="BodyText"/>
        <w:spacing w:line="277" w:lineRule="auto"/>
        <w:rPr/>
      </w:pPr>
      <w:r>
        <w:pict>
          <v:shape id="_x0000_s718" style="position:absolute;margin-left:491.92pt;margin-top:44.1055pt;mso-position-vertical-relative:page;mso-position-horizontal-relative:page;width:119.4pt;height:18.85pt;z-index:2518497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2" name="IM 62"/>
            <wp:cNvGraphicFramePr/>
            <a:graphic>
              <a:graphicData uri="http://schemas.openxmlformats.org/drawingml/2006/picture">
                <pic:pic>
                  <pic:nvPicPr>
                    <pic:cNvPr id="62" name="IM 62"/>
                    <pic:cNvPicPr/>
                  </pic:nvPicPr>
                  <pic:blipFill>
                    <a:blip r:embed="rId102"/>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101"/>
          <w:pgSz w:w="11900" w:h="16840"/>
          <w:pgMar w:top="642" w:right="0" w:bottom="340" w:left="0" w:header="326" w:footer="93" w:gutter="0"/>
        </w:sectPr>
        <w:rPr/>
      </w:pPr>
    </w:p>
    <w:p>
      <w:pPr>
        <w:pStyle w:val="BodyText"/>
        <w:spacing w:line="277" w:lineRule="auto"/>
        <w:rPr/>
      </w:pPr>
      <w:r>
        <w:pict>
          <v:shape id="_x0000_s720" style="position:absolute;margin-left:491.92pt;margin-top:44.1055pt;mso-position-vertical-relative:page;mso-position-horizontal-relative:page;width:119.4pt;height:18.85pt;z-index:2518609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22" style="position:absolute;margin-left:491.92pt;margin-top:472.067pt;mso-position-vertical-relative:text;mso-position-horizontal-relative:text;width:119.4pt;height:18.85pt;z-index:251856896;rotation:330;" fillcolor="#404040" filled="true" stroked="false" type="#_x0000_t136">
            <v:fill opacity="0.400000"/>
            <v:textpath style="font-family:&quot;STSong&quot;;font-size:20;v-text-kern:t;mso-text-shadow:auto" string="仅供内部审核"/>
          </v:shape>
        </w:pict>
      </w:r>
      <w:r>
        <w:pict>
          <v:shape id="_x0000_s724" style="position:absolute;margin-left:-13.08pt;margin-top:228.067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pict>
          <v:shape id="_x0000_s726" style="position:absolute;margin-left:391.92pt;margin-top:716.067pt;mso-position-vertical-relative:text;mso-position-horizontal-relative:text;width:119.4pt;height:18.85pt;z-index:251858944;rotation:330;" fillcolor="#404040" filled="true" stroked="false" type="#_x0000_t136">
            <v:fill opacity="0.400000"/>
            <v:textpath style="font-family:&quot;STSong&quot;;font-size:20;v-text-kern:t;mso-text-shadow:auto" string="仅供内部审核"/>
          </v:shape>
        </w:pict>
      </w:r>
      <w:r>
        <w:pict>
          <v:shape id="_x0000_s728" style="position:absolute;margin-left:86.92pt;margin-top:472.067pt;mso-position-vertical-relative:text;mso-position-horizontal-relative:text;width:119.4pt;height:18.85pt;z-index:251859968;rotation:330;" fillcolor="#404040" filled="true" stroked="false" type="#_x0000_t136">
            <v:fill opacity="0.400000"/>
            <v:textpath style="font-family:&quot;STSong&quot;;font-size:20;v-text-kern:t;mso-text-shadow:auto" string="仅供内部审核"/>
          </v:shape>
        </w:pict>
      </w:r>
      <w:r>
        <w:pict>
          <v:shape id="_x0000_s730" style="position:absolute;margin-left:391.92pt;margin-top:228.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pict>
          <v:shape id="_x0000_s732" style="position:absolute;margin-left:-13.08pt;margin-top:716.067pt;mso-position-vertical-relative:text;mso-position-horizontal-relative:text;width:119.4pt;height:18.85pt;z-index:2518630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4" name="IM 64"/>
            <wp:cNvGraphicFramePr/>
            <a:graphic>
              <a:graphicData uri="http://schemas.openxmlformats.org/drawingml/2006/picture">
                <pic:pic>
                  <pic:nvPicPr>
                    <pic:cNvPr id="64" name="IM 64"/>
                    <pic:cNvPicPr/>
                  </pic:nvPicPr>
                  <pic:blipFill>
                    <a:blip r:embed="rId10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103"/>
          <w:pgSz w:w="11900" w:h="16840"/>
          <w:pgMar w:top="642" w:right="0" w:bottom="340" w:left="0" w:header="326" w:footer="93" w:gutter="0"/>
        </w:sectPr>
        <w:rPr/>
      </w:pPr>
    </w:p>
    <w:p>
      <w:pPr>
        <w:pStyle w:val="BodyText"/>
        <w:spacing w:line="277" w:lineRule="auto"/>
        <w:rPr/>
      </w:pPr>
      <w:r>
        <w:pict>
          <v:shape id="_x0000_s734" style="position:absolute;margin-left:491.92pt;margin-top:44.1055pt;mso-position-vertical-relative:page;mso-position-horizontal-relative:page;width:119.4pt;height:18.85pt;z-index:2518640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6" name="IM 66"/>
            <wp:cNvGraphicFramePr/>
            <a:graphic>
              <a:graphicData uri="http://schemas.openxmlformats.org/drawingml/2006/picture">
                <pic:pic>
                  <pic:nvPicPr>
                    <pic:cNvPr id="66" name="IM 66"/>
                    <pic:cNvPicPr/>
                  </pic:nvPicPr>
                  <pic:blipFill>
                    <a:blip r:embed="rId10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56"/>
          <w:footerReference w:type="default" r:id="rId105"/>
          <w:pgSz w:w="11900" w:h="16840"/>
          <w:pgMar w:top="642" w:right="0" w:bottom="340" w:left="0" w:header="326" w:footer="93" w:gutter="0"/>
        </w:sectPr>
        <w:rPr/>
      </w:pPr>
    </w:p>
    <w:p>
      <w:pPr>
        <w:pStyle w:val="BodyText"/>
        <w:spacing w:line="277" w:lineRule="auto"/>
        <w:rPr/>
      </w:pPr>
      <w:r>
        <w:pict>
          <v:shape id="_x0000_s736" style="position:absolute;margin-left:491.92pt;margin-top:44.1055pt;mso-position-vertical-relative:page;mso-position-horizontal-relative:page;width:119.4pt;height:18.85pt;z-index:2518722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38" style="position:absolute;margin-left:-13.08pt;margin-top:716.067pt;mso-position-vertical-relative:text;mso-position-horizontal-relative:text;width:119.4pt;height:18.85pt;z-index:251871232;rotation:330;" fillcolor="#404040" filled="true" stroked="false" type="#_x0000_t136">
            <v:fill opacity="0.400000"/>
            <v:textpath style="font-family:&quot;STSong&quot;;font-size:20;v-text-kern:t;mso-text-shadow:auto" string="仅供内部审核"/>
          </v:shape>
        </w:pict>
      </w:r>
      <w:r>
        <w:pict>
          <v:shape id="_x0000_s740" style="position:absolute;margin-left:-13.08pt;margin-top:228.067pt;mso-position-vertical-relative:text;mso-position-horizontal-relative:text;width:119.4pt;height:18.85pt;z-index:251873280;rotation:330;" fillcolor="#404040" filled="true" stroked="false" type="#_x0000_t136">
            <v:fill opacity="0.400000"/>
            <v:textpath style="font-family:&quot;STSong&quot;;font-size:20;v-text-kern:t;mso-text-shadow:auto" string="仅供内部审核"/>
          </v:shape>
        </w:pict>
      </w:r>
      <w:r>
        <w:pict>
          <v:shape id="_x0000_s742" style="position:absolute;margin-left:491.92pt;margin-top:472.067pt;mso-position-vertical-relative:text;mso-position-horizontal-relative:text;width:119.4pt;height:18.85pt;z-index:251874304;rotation:330;" fillcolor="#404040" filled="true" stroked="false" type="#_x0000_t136">
            <v:fill opacity="0.400000"/>
            <v:textpath style="font-family:&quot;STSong&quot;;font-size:20;v-text-kern:t;mso-text-shadow:auto" string="仅供内部审核"/>
          </v:shape>
        </w:pict>
      </w:r>
      <w:r>
        <w:pict>
          <v:shape id="_x0000_s744" style="position:absolute;margin-left:86.92pt;margin-top:472.067pt;mso-position-vertical-relative:text;mso-position-horizontal-relative:text;width:119.4pt;height:18.85pt;z-index:251875328;rotation:330;" fillcolor="#404040" filled="true" stroked="false" type="#_x0000_t136">
            <v:fill opacity="0.400000"/>
            <v:textpath style="font-family:&quot;STSong&quot;;font-size:20;v-text-kern:t;mso-text-shadow:auto" string="仅供内部审核"/>
          </v:shape>
        </w:pict>
      </w:r>
      <w:r>
        <w:pict>
          <v:shape id="_x0000_s746" style="position:absolute;margin-left:391.92pt;margin-top:716.067pt;mso-position-vertical-relative:text;mso-position-horizontal-relative:text;width:119.4pt;height:18.85pt;z-index:251876352;rotation:330;" fillcolor="#404040" filled="true" stroked="false" type="#_x0000_t136">
            <v:fill opacity="0.400000"/>
            <v:textpath style="font-family:&quot;STSong&quot;;font-size:20;v-text-kern:t;mso-text-shadow:auto" string="仅供内部审核"/>
          </v:shape>
        </w:pict>
      </w:r>
      <w:r>
        <w:pict>
          <v:shape id="_x0000_s748" style="position:absolute;margin-left:391.92pt;margin-top:228.067pt;mso-position-vertical-relative:text;mso-position-horizontal-relative:text;width:119.4pt;height:18.85pt;z-index:25187737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8" name="IM 68"/>
            <wp:cNvGraphicFramePr/>
            <a:graphic>
              <a:graphicData uri="http://schemas.openxmlformats.org/drawingml/2006/picture">
                <pic:pic>
                  <pic:nvPicPr>
                    <pic:cNvPr id="68" name="IM 68"/>
                    <pic:cNvPicPr/>
                  </pic:nvPicPr>
                  <pic:blipFill>
                    <a:blip r:embed="rId10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53"/>
          <w:footerReference w:type="default" r:id="rId107"/>
          <w:pgSz w:w="11900" w:h="16840"/>
          <w:pgMar w:top="642" w:right="0" w:bottom="340" w:left="0" w:header="326" w:footer="93" w:gutter="0"/>
        </w:sectPr>
        <w:rPr/>
      </w:pPr>
    </w:p>
    <w:p>
      <w:pPr>
        <w:pStyle w:val="BodyText"/>
        <w:rPr/>
      </w:pPr>
      <w:r/>
    </w:p>
    <w:p>
      <w:pPr>
        <w:sectPr>
          <w:headerReference w:type="default" r:id="rId109"/>
          <w:footerReference w:type="default" r:id="rId110"/>
          <w:pgSz w:w="11900" w:h="16840"/>
          <w:pgMar w:top="642" w:right="0" w:bottom="340" w:left="0" w:header="326" w:footer="93" w:gutter="0"/>
        </w:sectPr>
        <w:rPr/>
      </w:pPr>
    </w:p>
    <w:p>
      <w:pPr>
        <w:pStyle w:val="BodyText"/>
        <w:spacing w:line="265" w:lineRule="auto"/>
        <w:rPr/>
      </w:pPr>
      <w:r/>
    </w:p>
    <w:p>
      <w:pPr>
        <w:pStyle w:val="BodyText"/>
        <w:spacing w:line="266" w:lineRule="auto"/>
        <w:rPr/>
      </w:pPr>
      <w:r/>
    </w:p>
    <w:p>
      <w:pPr>
        <w:ind w:left="4608"/>
        <w:spacing w:before="133" w:line="316" w:lineRule="exact"/>
        <w:outlineLvl w:val="0"/>
        <w:rPr>
          <w:rFonts w:ascii="Microsoft YaHei" w:hAnsi="Microsoft YaHei" w:eastAsia="Microsoft YaHei" w:cs="Microsoft YaHei"/>
          <w:sz w:val="31"/>
          <w:szCs w:val="31"/>
        </w:rPr>
      </w:pPr>
      <w:bookmarkStart w:name="bookmark34" w:id="47"/>
      <w:bookmarkEnd w:id="47"/>
      <w:r>
        <w:rPr>
          <w:rFonts w:ascii="Microsoft YaHei" w:hAnsi="Microsoft YaHei" w:eastAsia="Microsoft YaHei" w:cs="Microsoft YaHei"/>
          <w:sz w:val="31"/>
          <w:szCs w:val="31"/>
          <w:spacing w:val="16"/>
          <w:position w:val="-1"/>
        </w:rPr>
        <w:t>第四部分</w:t>
      </w:r>
      <w:r>
        <w:rPr>
          <w:rFonts w:ascii="Microsoft YaHei" w:hAnsi="Microsoft YaHei" w:eastAsia="Microsoft YaHei" w:cs="Microsoft YaHei"/>
          <w:sz w:val="31"/>
          <w:szCs w:val="31"/>
          <w:spacing w:val="16"/>
          <w:position w:val="-1"/>
        </w:rPr>
        <w:t xml:space="preserve"> </w:t>
      </w:r>
      <w:r>
        <w:rPr>
          <w:rFonts w:ascii="Microsoft YaHei" w:hAnsi="Microsoft YaHei" w:eastAsia="Microsoft YaHei" w:cs="Microsoft YaHei"/>
          <w:sz w:val="31"/>
          <w:szCs w:val="31"/>
          <w:spacing w:val="16"/>
          <w:position w:val="-1"/>
        </w:rPr>
        <w:t>名词解释</w:t>
      </w:r>
    </w:p>
    <w:p>
      <w:pPr>
        <w:pStyle w:val="BodyText"/>
        <w:spacing w:line="322" w:lineRule="auto"/>
        <w:rPr/>
      </w:pPr>
      <w:r/>
    </w:p>
    <w:p>
      <w:pPr>
        <w:ind w:left="1530" w:right="1474" w:firstLine="627"/>
        <w:spacing w:before="101" w:line="335" w:lineRule="auto"/>
        <w:rPr>
          <w:rFonts w:ascii="FangSong" w:hAnsi="FangSong" w:eastAsia="FangSong" w:cs="FangSong"/>
          <w:sz w:val="31"/>
          <w:szCs w:val="31"/>
        </w:rPr>
      </w:pPr>
      <w:r>
        <w:rPr>
          <w:rFonts w:ascii="SimHei" w:hAnsi="SimHei" w:eastAsia="SimHei" w:cs="SimHei"/>
          <w:sz w:val="31"/>
          <w:szCs w:val="31"/>
          <w:spacing w:val="16"/>
        </w:rPr>
        <w:t>一、基本支出：</w:t>
      </w:r>
      <w:r>
        <w:rPr>
          <w:rFonts w:ascii="FangSong" w:hAnsi="FangSong" w:eastAsia="FangSong" w:cs="FangSong"/>
          <w:sz w:val="31"/>
          <w:szCs w:val="31"/>
          <w:spacing w:val="16"/>
        </w:rPr>
        <w:t>指为保障机构正常运转、完成</w:t>
      </w:r>
      <w:r>
        <w:rPr>
          <w:rFonts w:ascii="FangSong" w:hAnsi="FangSong" w:eastAsia="FangSong" w:cs="FangSong"/>
          <w:sz w:val="31"/>
          <w:szCs w:val="31"/>
          <w:spacing w:val="-39"/>
        </w:rPr>
        <w:t xml:space="preserve"> </w:t>
      </w:r>
      <w:r>
        <w:rPr>
          <w:rFonts w:ascii="FangSong" w:hAnsi="FangSong" w:eastAsia="FangSong" w:cs="FangSong"/>
          <w:sz w:val="31"/>
          <w:szCs w:val="31"/>
          <w:spacing w:val="16"/>
        </w:rPr>
        <w:t>日常工作任</w:t>
      </w:r>
      <w:r>
        <w:rPr>
          <w:rFonts w:ascii="FangSong" w:hAnsi="FangSong" w:eastAsia="FangSong" w:cs="FangSong"/>
          <w:sz w:val="31"/>
          <w:szCs w:val="31"/>
          <w:spacing w:val="7"/>
        </w:rPr>
        <w:t>务而发生的人员支出和公用支出。</w:t>
      </w:r>
    </w:p>
    <w:p>
      <w:pPr>
        <w:ind w:left="1521" w:right="1474" w:firstLine="636"/>
        <w:spacing w:before="1" w:line="279" w:lineRule="auto"/>
        <w:rPr>
          <w:rFonts w:ascii="FangSong" w:hAnsi="FangSong" w:eastAsia="FangSong" w:cs="FangSong"/>
          <w:sz w:val="31"/>
          <w:szCs w:val="31"/>
        </w:rPr>
      </w:pPr>
      <w:r>
        <w:rPr>
          <w:rFonts w:ascii="SimHei" w:hAnsi="SimHei" w:eastAsia="SimHei" w:cs="SimHei"/>
          <w:sz w:val="31"/>
          <w:szCs w:val="31"/>
          <w:spacing w:val="20"/>
        </w:rPr>
        <w:t>二、项目支出：</w:t>
      </w:r>
      <w:r>
        <w:rPr>
          <w:rFonts w:ascii="FangSong" w:hAnsi="FangSong" w:eastAsia="FangSong" w:cs="FangSong"/>
          <w:sz w:val="31"/>
          <w:szCs w:val="31"/>
          <w:spacing w:val="20"/>
        </w:rPr>
        <w:t>指在基本支出之外为完成特定行政任务和</w:t>
      </w:r>
      <w:r>
        <w:rPr>
          <w:rFonts w:ascii="FangSong" w:hAnsi="FangSong" w:eastAsia="FangSong" w:cs="FangSong"/>
          <w:sz w:val="31"/>
          <w:szCs w:val="31"/>
          <w:spacing w:val="7"/>
        </w:rPr>
        <w:t>事业发展目标所发生的支出。</w:t>
      </w:r>
    </w:p>
    <w:p>
      <w:pPr>
        <w:ind w:left="1520" w:right="1474" w:firstLine="638"/>
        <w:spacing w:before="187" w:line="321" w:lineRule="auto"/>
        <w:rPr>
          <w:rFonts w:ascii="FangSong" w:hAnsi="FangSong" w:eastAsia="FangSong" w:cs="FangSong"/>
          <w:sz w:val="31"/>
          <w:szCs w:val="31"/>
        </w:rPr>
      </w:pPr>
      <w:r>
        <w:rPr>
          <w:rFonts w:ascii="SimHei" w:hAnsi="SimHei" w:eastAsia="SimHei" w:cs="SimHei"/>
          <w:sz w:val="31"/>
          <w:szCs w:val="31"/>
          <w:spacing w:val="19"/>
        </w:rPr>
        <w:t>三、</w:t>
      </w:r>
      <w:r>
        <w:rPr>
          <w:rFonts w:ascii="SimHei" w:hAnsi="SimHei" w:eastAsia="SimHei" w:cs="SimHei"/>
          <w:sz w:val="31"/>
          <w:szCs w:val="31"/>
          <w:spacing w:val="-115"/>
        </w:rPr>
        <w:t xml:space="preserve"> </w:t>
      </w:r>
      <w:r>
        <w:rPr>
          <w:rFonts w:ascii="SimHei" w:hAnsi="SimHei" w:eastAsia="SimHei" w:cs="SimHei"/>
          <w:sz w:val="31"/>
          <w:szCs w:val="31"/>
          <w:spacing w:val="19"/>
        </w:rPr>
        <w:t>“三公”经费：</w:t>
      </w:r>
      <w:r>
        <w:rPr>
          <w:rFonts w:ascii="FangSong" w:hAnsi="FangSong" w:eastAsia="FangSong" w:cs="FangSong"/>
          <w:sz w:val="31"/>
          <w:szCs w:val="31"/>
          <w:spacing w:val="19"/>
        </w:rPr>
        <w:t>指省直部门用财政拨款安排的因公出</w:t>
      </w:r>
      <w:r>
        <w:rPr>
          <w:rFonts w:ascii="FangSong" w:hAnsi="FangSong" w:eastAsia="FangSong" w:cs="FangSong"/>
          <w:sz w:val="31"/>
          <w:szCs w:val="31"/>
          <w:spacing w:val="16"/>
        </w:rPr>
        <w:t>国（境）</w:t>
      </w:r>
      <w:r>
        <w:rPr>
          <w:rFonts w:ascii="FangSong" w:hAnsi="FangSong" w:eastAsia="FangSong" w:cs="FangSong"/>
          <w:sz w:val="31"/>
          <w:szCs w:val="31"/>
          <w:spacing w:val="-75"/>
        </w:rPr>
        <w:t xml:space="preserve"> </w:t>
      </w:r>
      <w:r>
        <w:rPr>
          <w:rFonts w:ascii="FangSong" w:hAnsi="FangSong" w:eastAsia="FangSong" w:cs="FangSong"/>
          <w:sz w:val="31"/>
          <w:szCs w:val="31"/>
          <w:spacing w:val="16"/>
        </w:rPr>
        <w:t>费用、公务用车购置及运行费和公务接待费。其中：</w:t>
      </w:r>
      <w:r>
        <w:rPr>
          <w:rFonts w:ascii="FangSong" w:hAnsi="FangSong" w:eastAsia="FangSong" w:cs="FangSong"/>
          <w:sz w:val="31"/>
          <w:szCs w:val="31"/>
          <w:spacing w:val="12"/>
        </w:rPr>
        <w:t>因公出国（境）</w:t>
      </w:r>
      <w:r>
        <w:rPr>
          <w:rFonts w:ascii="FangSong" w:hAnsi="FangSong" w:eastAsia="FangSong" w:cs="FangSong"/>
          <w:sz w:val="31"/>
          <w:szCs w:val="31"/>
          <w:spacing w:val="-92"/>
        </w:rPr>
        <w:t xml:space="preserve"> </w:t>
      </w:r>
      <w:r>
        <w:rPr>
          <w:rFonts w:ascii="FangSong" w:hAnsi="FangSong" w:eastAsia="FangSong" w:cs="FangSong"/>
          <w:sz w:val="31"/>
          <w:szCs w:val="31"/>
          <w:spacing w:val="12"/>
        </w:rPr>
        <w:t>费用反映单位公务出国（境）</w:t>
      </w:r>
      <w:r>
        <w:rPr>
          <w:rFonts w:ascii="FangSong" w:hAnsi="FangSong" w:eastAsia="FangSong" w:cs="FangSong"/>
          <w:sz w:val="31"/>
          <w:szCs w:val="31"/>
          <w:spacing w:val="-84"/>
        </w:rPr>
        <w:t xml:space="preserve"> </w:t>
      </w:r>
      <w:r>
        <w:rPr>
          <w:rFonts w:ascii="FangSong" w:hAnsi="FangSong" w:eastAsia="FangSong" w:cs="FangSong"/>
          <w:sz w:val="31"/>
          <w:szCs w:val="31"/>
          <w:spacing w:val="12"/>
        </w:rPr>
        <w:t>的国际旅费、</w:t>
      </w:r>
      <w:r>
        <w:rPr>
          <w:rFonts w:ascii="FangSong" w:hAnsi="FangSong" w:eastAsia="FangSong" w:cs="FangSong"/>
          <w:sz w:val="31"/>
          <w:szCs w:val="31"/>
          <w:spacing w:val="-80"/>
        </w:rPr>
        <w:t xml:space="preserve"> </w:t>
      </w:r>
      <w:r>
        <w:rPr>
          <w:rFonts w:ascii="FangSong" w:hAnsi="FangSong" w:eastAsia="FangSong" w:cs="FangSong"/>
          <w:sz w:val="31"/>
          <w:szCs w:val="31"/>
          <w:spacing w:val="12"/>
        </w:rPr>
        <w:t>国</w:t>
      </w:r>
      <w:r>
        <w:rPr>
          <w:rFonts w:ascii="FangSong" w:hAnsi="FangSong" w:eastAsia="FangSong" w:cs="FangSong"/>
          <w:sz w:val="31"/>
          <w:szCs w:val="31"/>
          <w:spacing w:val="20"/>
        </w:rPr>
        <w:t>外城市间交通费、住宿费、伙食费、培训费、公</w:t>
      </w:r>
      <w:r>
        <w:rPr>
          <w:rFonts w:ascii="FangSong" w:hAnsi="FangSong" w:eastAsia="FangSong" w:cs="FangSong"/>
          <w:sz w:val="31"/>
          <w:szCs w:val="31"/>
          <w:spacing w:val="19"/>
        </w:rPr>
        <w:t>杂费等支出；</w:t>
      </w:r>
      <w:r>
        <w:rPr>
          <w:rFonts w:ascii="FangSong" w:hAnsi="FangSong" w:eastAsia="FangSong" w:cs="FangSong"/>
          <w:sz w:val="31"/>
          <w:szCs w:val="31"/>
          <w:spacing w:val="20"/>
        </w:rPr>
        <w:t>公务用车购置费反映公务用车购置支出（含车</w:t>
      </w:r>
      <w:r>
        <w:rPr>
          <w:rFonts w:ascii="FangSong" w:hAnsi="FangSong" w:eastAsia="FangSong" w:cs="FangSong"/>
          <w:sz w:val="31"/>
          <w:szCs w:val="31"/>
          <w:spacing w:val="19"/>
        </w:rPr>
        <w:t>辆购置税、牌照</w:t>
      </w:r>
      <w:r>
        <w:rPr>
          <w:rFonts w:ascii="FangSong" w:hAnsi="FangSong" w:eastAsia="FangSong" w:cs="FangSong"/>
          <w:sz w:val="31"/>
          <w:szCs w:val="31"/>
          <w:spacing w:val="18"/>
        </w:rPr>
        <w:t>费</w:t>
      </w:r>
      <w:r>
        <w:rPr>
          <w:rFonts w:ascii="FangSong" w:hAnsi="FangSong" w:eastAsia="FangSong" w:cs="FangSong"/>
          <w:sz w:val="31"/>
          <w:szCs w:val="31"/>
          <w:spacing w:val="4"/>
        </w:rPr>
        <w:t>）</w:t>
      </w:r>
      <w:r>
        <w:rPr>
          <w:rFonts w:ascii="FangSong" w:hAnsi="FangSong" w:eastAsia="FangSong" w:cs="FangSong"/>
          <w:sz w:val="31"/>
          <w:szCs w:val="31"/>
          <w:spacing w:val="-80"/>
        </w:rPr>
        <w:t xml:space="preserve"> </w:t>
      </w:r>
      <w:r>
        <w:rPr>
          <w:rFonts w:ascii="FangSong" w:hAnsi="FangSong" w:eastAsia="FangSong" w:cs="FangSong"/>
          <w:sz w:val="31"/>
          <w:szCs w:val="31"/>
          <w:spacing w:val="4"/>
        </w:rPr>
        <w:t>；</w:t>
      </w:r>
      <w:r>
        <w:rPr>
          <w:rFonts w:ascii="FangSong" w:hAnsi="FangSong" w:eastAsia="FangSong" w:cs="FangSong"/>
          <w:sz w:val="31"/>
          <w:szCs w:val="31"/>
          <w:spacing w:val="18"/>
        </w:rPr>
        <w:t>公务用车运行维护费反映单位按规定保留的公务用车燃</w:t>
      </w:r>
      <w:r>
        <w:rPr>
          <w:rFonts w:ascii="FangSong" w:hAnsi="FangSong" w:eastAsia="FangSong" w:cs="FangSong"/>
          <w:sz w:val="31"/>
          <w:szCs w:val="31"/>
          <w:spacing w:val="20"/>
        </w:rPr>
        <w:t>料费、维修费、过路过桥费、保险费、安全奖励</w:t>
      </w:r>
      <w:r>
        <w:rPr>
          <w:rFonts w:ascii="FangSong" w:hAnsi="FangSong" w:eastAsia="FangSong" w:cs="FangSong"/>
          <w:sz w:val="31"/>
          <w:szCs w:val="31"/>
          <w:spacing w:val="19"/>
        </w:rPr>
        <w:t>费用等支出；</w:t>
      </w:r>
      <w:r>
        <w:rPr>
          <w:rFonts w:ascii="FangSong" w:hAnsi="FangSong" w:eastAsia="FangSong" w:cs="FangSong"/>
          <w:sz w:val="31"/>
          <w:szCs w:val="31"/>
          <w:spacing w:val="20"/>
        </w:rPr>
        <w:t>公务接待费反映机关和参公事业单位按规定开</w:t>
      </w:r>
      <w:r>
        <w:rPr>
          <w:rFonts w:ascii="FangSong" w:hAnsi="FangSong" w:eastAsia="FangSong" w:cs="FangSong"/>
          <w:sz w:val="31"/>
          <w:szCs w:val="31"/>
          <w:spacing w:val="19"/>
        </w:rPr>
        <w:t>支的各类公务接</w:t>
      </w:r>
      <w:r>
        <w:rPr>
          <w:rFonts w:ascii="FangSong" w:hAnsi="FangSong" w:eastAsia="FangSong" w:cs="FangSong"/>
          <w:sz w:val="31"/>
          <w:szCs w:val="31"/>
          <w:spacing w:val="7"/>
        </w:rPr>
        <w:t>待（含外宾接待）支出。</w:t>
      </w:r>
    </w:p>
    <w:p>
      <w:pPr>
        <w:ind w:left="1521" w:right="1474" w:firstLine="650"/>
        <w:spacing w:before="187" w:line="279" w:lineRule="auto"/>
        <w:rPr>
          <w:rFonts w:ascii="FangSong" w:hAnsi="FangSong" w:eastAsia="FangSong" w:cs="FangSong"/>
          <w:sz w:val="31"/>
          <w:szCs w:val="31"/>
        </w:rPr>
      </w:pPr>
      <w:r>
        <w:rPr>
          <w:rFonts w:ascii="SimHei" w:hAnsi="SimHei" w:eastAsia="SimHei" w:cs="SimHei"/>
          <w:sz w:val="31"/>
          <w:szCs w:val="31"/>
          <w:spacing w:val="20"/>
        </w:rPr>
        <w:t>四、机关运行经费：</w:t>
      </w:r>
      <w:r>
        <w:rPr>
          <w:rFonts w:ascii="FangSong" w:hAnsi="FangSong" w:eastAsia="FangSong" w:cs="FangSong"/>
          <w:sz w:val="31"/>
          <w:szCs w:val="31"/>
          <w:spacing w:val="20"/>
        </w:rPr>
        <w:t>指行政单位和参照公务员法管理的事</w:t>
      </w:r>
      <w:r>
        <w:rPr>
          <w:rFonts w:ascii="FangSong" w:hAnsi="FangSong" w:eastAsia="FangSong" w:cs="FangSong"/>
          <w:sz w:val="31"/>
          <w:szCs w:val="31"/>
          <w:spacing w:val="8"/>
        </w:rPr>
        <w:t>业单位使用财政拨款安排的基本支出中的公用经费支出。</w:t>
      </w:r>
    </w:p>
    <w:p>
      <w:pPr>
        <w:ind w:left="1521" w:right="1474" w:firstLine="639"/>
        <w:spacing w:before="177" w:line="313" w:lineRule="auto"/>
        <w:rPr>
          <w:rFonts w:ascii="FangSong" w:hAnsi="FangSong" w:eastAsia="FangSong" w:cs="FangSong"/>
          <w:sz w:val="31"/>
          <w:szCs w:val="31"/>
        </w:rPr>
      </w:pPr>
      <w:r>
        <w:rPr>
          <w:rFonts w:ascii="SimHei" w:hAnsi="SimHei" w:eastAsia="SimHei" w:cs="SimHei"/>
          <w:sz w:val="31"/>
          <w:szCs w:val="31"/>
          <w:spacing w:val="20"/>
        </w:rPr>
        <w:t>五、政府购买服务：</w:t>
      </w:r>
      <w:r>
        <w:rPr>
          <w:rFonts w:ascii="FangSong" w:hAnsi="FangSong" w:eastAsia="FangSong" w:cs="FangSong"/>
          <w:sz w:val="31"/>
          <w:szCs w:val="31"/>
          <w:spacing w:val="20"/>
        </w:rPr>
        <w:t>根据我国现行政策规定，政府购买服</w:t>
      </w:r>
      <w:r>
        <w:rPr>
          <w:rFonts w:ascii="FangSong" w:hAnsi="FangSong" w:eastAsia="FangSong" w:cs="FangSong"/>
          <w:sz w:val="31"/>
          <w:szCs w:val="31"/>
          <w:spacing w:val="20"/>
        </w:rPr>
        <w:t>务，是指充分发挥市场机制作用，将国家机</w:t>
      </w:r>
      <w:r>
        <w:rPr>
          <w:rFonts w:ascii="FangSong" w:hAnsi="FangSong" w:eastAsia="FangSong" w:cs="FangSong"/>
          <w:sz w:val="31"/>
          <w:szCs w:val="31"/>
          <w:spacing w:val="19"/>
        </w:rPr>
        <w:t>关属于自身职责范</w:t>
      </w:r>
      <w:r>
        <w:rPr>
          <w:rFonts w:ascii="FangSong" w:hAnsi="FangSong" w:eastAsia="FangSong" w:cs="FangSong"/>
          <w:sz w:val="31"/>
          <w:szCs w:val="31"/>
          <w:spacing w:val="20"/>
        </w:rPr>
        <w:t>围且适合通过市场化方式提供的服务事项，</w:t>
      </w:r>
      <w:r>
        <w:rPr>
          <w:rFonts w:ascii="FangSong" w:hAnsi="FangSong" w:eastAsia="FangSong" w:cs="FangSong"/>
          <w:sz w:val="31"/>
          <w:szCs w:val="31"/>
          <w:spacing w:val="19"/>
        </w:rPr>
        <w:t>按照政府采购方式</w:t>
      </w:r>
      <w:r>
        <w:rPr>
          <w:rFonts w:ascii="FangSong" w:hAnsi="FangSong" w:eastAsia="FangSong" w:cs="FangSong"/>
          <w:sz w:val="31"/>
          <w:szCs w:val="31"/>
          <w:spacing w:val="20"/>
        </w:rPr>
        <w:t>和程序，交由符合条件的服务供应商承担，</w:t>
      </w:r>
      <w:r>
        <w:rPr>
          <w:rFonts w:ascii="FangSong" w:hAnsi="FangSong" w:eastAsia="FangSong" w:cs="FangSong"/>
          <w:sz w:val="31"/>
          <w:szCs w:val="31"/>
          <w:spacing w:val="19"/>
        </w:rPr>
        <w:t>并根据服务数量和</w:t>
      </w:r>
      <w:r>
        <w:rPr>
          <w:rFonts w:ascii="FangSong" w:hAnsi="FangSong" w:eastAsia="FangSong" w:cs="FangSong"/>
          <w:sz w:val="31"/>
          <w:szCs w:val="31"/>
          <w:spacing w:val="7"/>
        </w:rPr>
        <w:t>质量等情况向其支付费用的行为。</w:t>
      </w:r>
    </w:p>
    <w:p>
      <w:pPr>
        <w:ind w:left="2162"/>
        <w:spacing w:before="173" w:line="228" w:lineRule="auto"/>
        <w:rPr>
          <w:rFonts w:ascii="SimHei" w:hAnsi="SimHei" w:eastAsia="SimHei" w:cs="SimHei"/>
          <w:sz w:val="31"/>
          <w:szCs w:val="31"/>
        </w:rPr>
      </w:pPr>
      <w:r>
        <w:rPr>
          <w:rFonts w:ascii="SimHei" w:hAnsi="SimHei" w:eastAsia="SimHei" w:cs="SimHei"/>
          <w:sz w:val="31"/>
          <w:szCs w:val="31"/>
          <w:spacing w:val="6"/>
        </w:rPr>
        <w:t>六、财政专户管理资金：</w:t>
      </w:r>
    </w:p>
    <w:p>
      <w:pPr>
        <w:ind w:left="1531" w:right="1474" w:firstLine="633"/>
        <w:spacing w:before="219" w:line="335" w:lineRule="auto"/>
        <w:jc w:val="both"/>
        <w:rPr>
          <w:rFonts w:ascii="FangSong" w:hAnsi="FangSong" w:eastAsia="FangSong" w:cs="FangSong"/>
          <w:sz w:val="31"/>
          <w:szCs w:val="31"/>
        </w:rPr>
      </w:pPr>
      <w:r>
        <w:rPr>
          <w:rFonts w:ascii="FangSong" w:hAnsi="FangSong" w:eastAsia="FangSong" w:cs="FangSong"/>
          <w:sz w:val="31"/>
          <w:szCs w:val="31"/>
          <w:spacing w:val="24"/>
        </w:rPr>
        <w:t>专指教育收费</w:t>
      </w:r>
      <w:r>
        <w:rPr>
          <w:rFonts w:ascii="FangSong" w:hAnsi="FangSong" w:eastAsia="FangSong" w:cs="FangSong"/>
          <w:sz w:val="31"/>
          <w:szCs w:val="31"/>
          <w:spacing w:val="-83"/>
        </w:rPr>
        <w:t xml:space="preserve"> </w:t>
      </w:r>
      <w:r>
        <w:rPr>
          <w:rFonts w:ascii="FangSong" w:hAnsi="FangSong" w:eastAsia="FangSong" w:cs="FangSong"/>
          <w:sz w:val="31"/>
          <w:szCs w:val="31"/>
          <w:spacing w:val="24"/>
        </w:rPr>
        <w:t>，</w:t>
      </w:r>
      <w:r>
        <w:rPr>
          <w:rFonts w:ascii="FangSong" w:hAnsi="FangSong" w:eastAsia="FangSong" w:cs="FangSong"/>
          <w:sz w:val="31"/>
          <w:szCs w:val="31"/>
          <w:spacing w:val="-88"/>
        </w:rPr>
        <w:t xml:space="preserve"> </w:t>
      </w:r>
      <w:r>
        <w:rPr>
          <w:rFonts w:ascii="FangSong" w:hAnsi="FangSong" w:eastAsia="FangSong" w:cs="FangSong"/>
          <w:sz w:val="31"/>
          <w:szCs w:val="31"/>
          <w:spacing w:val="24"/>
        </w:rPr>
        <w:t>包括</w:t>
      </w:r>
      <w:r>
        <w:rPr>
          <w:rFonts w:ascii="FangSong" w:hAnsi="FangSong" w:eastAsia="FangSong" w:cs="FangSong"/>
          <w:sz w:val="31"/>
          <w:szCs w:val="31"/>
          <w:spacing w:val="-51"/>
        </w:rPr>
        <w:t xml:space="preserve"> </w:t>
      </w:r>
      <w:r>
        <w:rPr>
          <w:rFonts w:ascii="FangSong" w:hAnsi="FangSong" w:eastAsia="FangSong" w:cs="FangSong"/>
          <w:sz w:val="31"/>
          <w:szCs w:val="31"/>
          <w:spacing w:val="24"/>
        </w:rPr>
        <w:t>目前在财政专户管理的高中以上学</w:t>
      </w:r>
      <w:r>
        <w:rPr>
          <w:rFonts w:ascii="FangSong" w:hAnsi="FangSong" w:eastAsia="FangSong" w:cs="FangSong"/>
          <w:sz w:val="31"/>
          <w:szCs w:val="31"/>
          <w:spacing w:val="19"/>
        </w:rPr>
        <w:t>费、住宿费，高校委托培养费，党校收费，教育考试考务费，</w:t>
      </w:r>
      <w:r>
        <w:rPr>
          <w:rFonts w:ascii="FangSong" w:hAnsi="FangSong" w:eastAsia="FangSong" w:cs="FangSong"/>
          <w:sz w:val="31"/>
          <w:szCs w:val="31"/>
          <w:spacing w:val="3"/>
        </w:rPr>
        <w:t>函大、</w:t>
      </w:r>
      <w:r>
        <w:rPr>
          <w:rFonts w:ascii="FangSong" w:hAnsi="FangSong" w:eastAsia="FangSong" w:cs="FangSong"/>
          <w:sz w:val="31"/>
          <w:szCs w:val="31"/>
          <w:spacing w:val="-80"/>
        </w:rPr>
        <w:t xml:space="preserve"> </w:t>
      </w:r>
      <w:r>
        <w:rPr>
          <w:rFonts w:ascii="FangSong" w:hAnsi="FangSong" w:eastAsia="FangSong" w:cs="FangSong"/>
          <w:sz w:val="31"/>
          <w:szCs w:val="31"/>
          <w:spacing w:val="3"/>
        </w:rPr>
        <w:t>电大、夜大及短训班培训费等。</w:t>
      </w:r>
    </w:p>
    <w:p>
      <w:pPr>
        <w:spacing w:line="335" w:lineRule="auto"/>
        <w:sectPr>
          <w:headerReference w:type="default" r:id="rId111"/>
          <w:footerReference w:type="default" r:id="rId112"/>
          <w:pgSz w:w="11900" w:h="16840"/>
          <w:pgMar w:top="642" w:right="0" w:bottom="340" w:left="0" w:header="326" w:footer="93" w:gutter="0"/>
        </w:sectPr>
        <w:rPr>
          <w:rFonts w:ascii="FangSong" w:hAnsi="FangSong" w:eastAsia="FangSong" w:cs="FangSong"/>
          <w:sz w:val="31"/>
          <w:szCs w:val="31"/>
        </w:rPr>
      </w:pPr>
    </w:p>
    <w:p>
      <w:pPr>
        <w:pStyle w:val="BodyText"/>
        <w:spacing w:line="285" w:lineRule="auto"/>
        <w:rPr/>
      </w:pPr>
      <w:r/>
    </w:p>
    <w:p>
      <w:pPr>
        <w:pStyle w:val="BodyText"/>
        <w:spacing w:line="285" w:lineRule="auto"/>
        <w:rPr/>
      </w:pPr>
      <w:r/>
    </w:p>
    <w:p>
      <w:pPr>
        <w:ind w:left="1521" w:right="1474" w:firstLine="629"/>
        <w:spacing w:before="100" w:line="299" w:lineRule="auto"/>
        <w:rPr>
          <w:rFonts w:ascii="FangSong" w:hAnsi="FangSong" w:eastAsia="FangSong" w:cs="FangSong"/>
          <w:sz w:val="31"/>
          <w:szCs w:val="31"/>
        </w:rPr>
      </w:pPr>
      <w:r>
        <w:rPr>
          <w:rFonts w:ascii="SimHei" w:hAnsi="SimHei" w:eastAsia="SimHei" w:cs="SimHei"/>
          <w:sz w:val="31"/>
          <w:szCs w:val="31"/>
          <w:spacing w:val="21"/>
        </w:rPr>
        <w:t>七、单位资金：</w:t>
      </w:r>
      <w:r>
        <w:rPr>
          <w:rFonts w:ascii="FangSong" w:hAnsi="FangSong" w:eastAsia="FangSong" w:cs="FangSong"/>
          <w:sz w:val="31"/>
          <w:szCs w:val="31"/>
          <w:spacing w:val="21"/>
        </w:rPr>
        <w:t>是指除政府预算资金和财政专户管理</w:t>
      </w:r>
      <w:r>
        <w:rPr>
          <w:rFonts w:ascii="FangSong" w:hAnsi="FangSong" w:eastAsia="FangSong" w:cs="FangSong"/>
          <w:sz w:val="31"/>
          <w:szCs w:val="31"/>
          <w:spacing w:val="20"/>
        </w:rPr>
        <w:t>资金</w:t>
      </w:r>
      <w:r>
        <w:rPr>
          <w:rFonts w:ascii="FangSong" w:hAnsi="FangSong" w:eastAsia="FangSong" w:cs="FangSong"/>
          <w:sz w:val="31"/>
          <w:szCs w:val="31"/>
          <w:spacing w:val="20"/>
        </w:rPr>
        <w:t>以外的资金，包括事业收入、事业单位经营</w:t>
      </w:r>
      <w:r>
        <w:rPr>
          <w:rFonts w:ascii="FangSong" w:hAnsi="FangSong" w:eastAsia="FangSong" w:cs="FangSong"/>
          <w:sz w:val="31"/>
          <w:szCs w:val="31"/>
          <w:spacing w:val="19"/>
        </w:rPr>
        <w:t>收入、上级补助收</w:t>
      </w:r>
      <w:r>
        <w:rPr>
          <w:rFonts w:ascii="FangSong" w:hAnsi="FangSong" w:eastAsia="FangSong" w:cs="FangSong"/>
          <w:sz w:val="31"/>
          <w:szCs w:val="31"/>
          <w:spacing w:val="7"/>
        </w:rPr>
        <w:t>入、附属单位上缴收入、其他收入。</w:t>
      </w:r>
    </w:p>
    <w:p>
      <w:pPr>
        <w:ind w:left="1520" w:right="1474" w:firstLine="632"/>
        <w:spacing w:before="175" w:line="279" w:lineRule="auto"/>
        <w:rPr>
          <w:rFonts w:ascii="FangSong" w:hAnsi="FangSong" w:eastAsia="FangSong" w:cs="FangSong"/>
          <w:sz w:val="31"/>
          <w:szCs w:val="31"/>
        </w:rPr>
      </w:pPr>
      <w:r>
        <w:rPr>
          <w:rFonts w:ascii="SimHei" w:hAnsi="SimHei" w:eastAsia="SimHei" w:cs="SimHei"/>
          <w:sz w:val="31"/>
          <w:szCs w:val="31"/>
          <w:spacing w:val="21"/>
        </w:rPr>
        <w:t>八、上年结转：</w:t>
      </w:r>
      <w:r>
        <w:rPr>
          <w:rFonts w:ascii="FangSong" w:hAnsi="FangSong" w:eastAsia="FangSong" w:cs="FangSong"/>
          <w:sz w:val="31"/>
          <w:szCs w:val="31"/>
          <w:spacing w:val="21"/>
        </w:rPr>
        <w:t>指以前年度预算安排、结转到本</w:t>
      </w:r>
      <w:r>
        <w:rPr>
          <w:rFonts w:ascii="FangSong" w:hAnsi="FangSong" w:eastAsia="FangSong" w:cs="FangSong"/>
          <w:sz w:val="31"/>
          <w:szCs w:val="31"/>
          <w:spacing w:val="20"/>
        </w:rPr>
        <w:t>年仍按原</w:t>
      </w:r>
      <w:r>
        <w:rPr>
          <w:rFonts w:ascii="FangSong" w:hAnsi="FangSong" w:eastAsia="FangSong" w:cs="FangSong"/>
          <w:sz w:val="31"/>
          <w:szCs w:val="31"/>
          <w:spacing w:val="7"/>
        </w:rPr>
        <w:t>规定用途继续使用的资金。</w:t>
      </w:r>
    </w:p>
    <w:p>
      <w:pPr>
        <w:ind w:left="1521" w:right="1474" w:firstLine="638"/>
        <w:spacing w:before="187" w:line="295" w:lineRule="auto"/>
        <w:rPr>
          <w:rFonts w:ascii="FangSong" w:hAnsi="FangSong" w:eastAsia="FangSong" w:cs="FangSong"/>
          <w:sz w:val="31"/>
          <w:szCs w:val="31"/>
        </w:rPr>
      </w:pPr>
      <w:r>
        <w:rPr>
          <w:rFonts w:ascii="SimHei" w:hAnsi="SimHei" w:eastAsia="SimHei" w:cs="SimHei"/>
          <w:sz w:val="31"/>
          <w:szCs w:val="31"/>
          <w:spacing w:val="20"/>
        </w:rPr>
        <w:t>九、一般公共预算：</w:t>
      </w:r>
      <w:r>
        <w:rPr>
          <w:rFonts w:ascii="FangSong" w:hAnsi="FangSong" w:eastAsia="FangSong" w:cs="FangSong"/>
          <w:sz w:val="31"/>
          <w:szCs w:val="31"/>
          <w:spacing w:val="20"/>
        </w:rPr>
        <w:t>是指以税收为主体的财政收入，安排</w:t>
      </w:r>
      <w:r>
        <w:rPr>
          <w:rFonts w:ascii="FangSong" w:hAnsi="FangSong" w:eastAsia="FangSong" w:cs="FangSong"/>
          <w:sz w:val="31"/>
          <w:szCs w:val="31"/>
          <w:spacing w:val="20"/>
        </w:rPr>
        <w:t>用于保障和改善民生、推动经济社会发展、</w:t>
      </w:r>
      <w:r>
        <w:rPr>
          <w:rFonts w:ascii="FangSong" w:hAnsi="FangSong" w:eastAsia="FangSong" w:cs="FangSong"/>
          <w:sz w:val="31"/>
          <w:szCs w:val="31"/>
          <w:spacing w:val="19"/>
        </w:rPr>
        <w:t>维护国家安全、维</w:t>
      </w:r>
      <w:r>
        <w:rPr>
          <w:rFonts w:ascii="FangSong" w:hAnsi="FangSong" w:eastAsia="FangSong" w:cs="FangSong"/>
          <w:sz w:val="31"/>
          <w:szCs w:val="31"/>
          <w:spacing w:val="8"/>
        </w:rPr>
        <w:t>持国家机构正常运转等方面的收支预算。</w:t>
      </w:r>
    </w:p>
    <w:p>
      <w:pPr>
        <w:ind w:left="1521" w:right="1474" w:firstLine="635"/>
        <w:spacing w:before="193" w:line="296" w:lineRule="auto"/>
        <w:rPr>
          <w:rFonts w:ascii="FangSong" w:hAnsi="FangSong" w:eastAsia="FangSong" w:cs="FangSong"/>
          <w:sz w:val="31"/>
          <w:szCs w:val="31"/>
        </w:rPr>
      </w:pPr>
      <w:r>
        <w:rPr>
          <w:rFonts w:ascii="SimHei" w:hAnsi="SimHei" w:eastAsia="SimHei" w:cs="SimHei"/>
          <w:sz w:val="31"/>
          <w:szCs w:val="31"/>
          <w:spacing w:val="20"/>
        </w:rPr>
        <w:t>十、政府性基金预算：</w:t>
      </w:r>
      <w:r>
        <w:rPr>
          <w:rFonts w:ascii="FangSong" w:hAnsi="FangSong" w:eastAsia="FangSong" w:cs="FangSong"/>
          <w:sz w:val="31"/>
          <w:szCs w:val="31"/>
          <w:spacing w:val="20"/>
        </w:rPr>
        <w:t>是对依照法律、行政法规的规定在</w:t>
      </w:r>
      <w:r>
        <w:rPr>
          <w:rFonts w:ascii="FangSong" w:hAnsi="FangSong" w:eastAsia="FangSong" w:cs="FangSong"/>
          <w:sz w:val="31"/>
          <w:szCs w:val="31"/>
          <w:spacing w:val="27"/>
        </w:rPr>
        <w:t>一定期限内向特定对象征收</w:t>
      </w:r>
      <w:r>
        <w:rPr>
          <w:rFonts w:ascii="FangSong" w:hAnsi="FangSong" w:eastAsia="FangSong" w:cs="FangSong"/>
          <w:sz w:val="31"/>
          <w:szCs w:val="31"/>
          <w:spacing w:val="-84"/>
        </w:rPr>
        <w:t xml:space="preserve"> </w:t>
      </w:r>
      <w:r>
        <w:rPr>
          <w:rFonts w:ascii="FangSong" w:hAnsi="FangSong" w:eastAsia="FangSong" w:cs="FangSong"/>
          <w:sz w:val="31"/>
          <w:szCs w:val="31"/>
          <w:spacing w:val="27"/>
        </w:rPr>
        <w:t>、</w:t>
      </w:r>
      <w:r>
        <w:rPr>
          <w:rFonts w:ascii="FangSong" w:hAnsi="FangSong" w:eastAsia="FangSong" w:cs="FangSong"/>
          <w:sz w:val="31"/>
          <w:szCs w:val="31"/>
          <w:spacing w:val="-86"/>
        </w:rPr>
        <w:t xml:space="preserve"> </w:t>
      </w:r>
      <w:r>
        <w:rPr>
          <w:rFonts w:ascii="FangSong" w:hAnsi="FangSong" w:eastAsia="FangSong" w:cs="FangSong"/>
          <w:sz w:val="31"/>
          <w:szCs w:val="31"/>
          <w:spacing w:val="27"/>
        </w:rPr>
        <w:t>收取或者以其他方式筹集的资</w:t>
      </w:r>
      <w:r>
        <w:rPr>
          <w:rFonts w:ascii="FangSong" w:hAnsi="FangSong" w:eastAsia="FangSong" w:cs="FangSong"/>
          <w:sz w:val="31"/>
          <w:szCs w:val="31"/>
          <w:spacing w:val="8"/>
        </w:rPr>
        <w:t>金，专项用于特定公共事业发展的收支预算。</w:t>
      </w:r>
    </w:p>
    <w:p>
      <w:pPr>
        <w:ind w:left="1517" w:right="1474" w:firstLine="638"/>
        <w:spacing w:before="188" w:line="279" w:lineRule="auto"/>
        <w:rPr>
          <w:rFonts w:ascii="FangSong" w:hAnsi="FangSong" w:eastAsia="FangSong" w:cs="FangSong"/>
          <w:sz w:val="31"/>
          <w:szCs w:val="31"/>
        </w:rPr>
      </w:pPr>
      <w:r>
        <w:rPr>
          <w:rFonts w:ascii="SimHei" w:hAnsi="SimHei" w:eastAsia="SimHei" w:cs="SimHei"/>
          <w:sz w:val="31"/>
          <w:szCs w:val="31"/>
          <w:spacing w:val="20"/>
        </w:rPr>
        <w:t>十一、国有资本经营预算：</w:t>
      </w:r>
      <w:r>
        <w:rPr>
          <w:rFonts w:ascii="FangSong" w:hAnsi="FangSong" w:eastAsia="FangSong" w:cs="FangSong"/>
          <w:sz w:val="31"/>
          <w:szCs w:val="31"/>
          <w:spacing w:val="20"/>
        </w:rPr>
        <w:t>是对国有资本收益作出支出安</w:t>
      </w:r>
      <w:r>
        <w:rPr>
          <w:rFonts w:ascii="FangSong" w:hAnsi="FangSong" w:eastAsia="FangSong" w:cs="FangSong"/>
          <w:sz w:val="31"/>
          <w:szCs w:val="31"/>
          <w:spacing w:val="5"/>
        </w:rPr>
        <w:t>排的收支预算。</w:t>
      </w:r>
    </w:p>
    <w:p>
      <w:pPr>
        <w:ind w:left="1557" w:right="1530" w:firstLine="598"/>
        <w:spacing w:before="172" w:line="284" w:lineRule="auto"/>
        <w:rPr>
          <w:rFonts w:ascii="FangSong" w:hAnsi="FangSong" w:eastAsia="FangSong" w:cs="FangSong"/>
          <w:sz w:val="31"/>
          <w:szCs w:val="31"/>
        </w:rPr>
      </w:pPr>
      <w:r>
        <w:rPr>
          <w:rFonts w:ascii="SimHei" w:hAnsi="SimHei" w:eastAsia="SimHei" w:cs="SimHei"/>
          <w:sz w:val="31"/>
          <w:szCs w:val="31"/>
          <w:spacing w:val="16"/>
        </w:rPr>
        <w:t>十二、财政拨款：</w:t>
      </w:r>
      <w:r>
        <w:rPr>
          <w:rFonts w:ascii="SimHei" w:hAnsi="SimHei" w:eastAsia="SimHei" w:cs="SimHei"/>
          <w:sz w:val="31"/>
          <w:szCs w:val="31"/>
          <w:spacing w:val="-88"/>
        </w:rPr>
        <w:t xml:space="preserve"> </w:t>
      </w:r>
      <w:r>
        <w:rPr>
          <w:rFonts w:ascii="FangSong" w:hAnsi="FangSong" w:eastAsia="FangSong" w:cs="FangSong"/>
          <w:sz w:val="31"/>
          <w:szCs w:val="31"/>
          <w:spacing w:val="16"/>
        </w:rPr>
        <w:t>包含一般公共预算、政府</w:t>
      </w:r>
      <w:r>
        <w:rPr>
          <w:rFonts w:ascii="FangSong" w:hAnsi="FangSong" w:eastAsia="FangSong" w:cs="FangSong"/>
          <w:sz w:val="31"/>
          <w:szCs w:val="31"/>
          <w:spacing w:val="15"/>
        </w:rPr>
        <w:t>性基金预算、</w:t>
      </w:r>
      <w:r>
        <w:rPr>
          <w:rFonts w:ascii="FangSong" w:hAnsi="FangSong" w:eastAsia="FangSong" w:cs="FangSong"/>
          <w:sz w:val="31"/>
          <w:szCs w:val="31"/>
          <w:spacing w:val="2"/>
        </w:rPr>
        <w:t>国有资本经营预算。</w:t>
      </w:r>
    </w:p>
    <w:sectPr>
      <w:headerReference w:type="default" r:id="rId8"/>
      <w:footerReference w:type="default" r:id="rId113"/>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9" w:id="46"/>
    <w:bookmarkEnd w:id="46"/>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62" style="position:absolute;margin-left:86.92pt;margin-top:27.7862pt;mso-position-vertical-relative:text;mso-position-horizontal-relative:text;width:119.4pt;height:18.85pt;z-index:-251561984;rotation:330;" fillcolor="#404040" filled="true" stroked="false" type="#_x0000_t136">
          <v:fill opacity="0.400000"/>
          <v:textpath style="font-family:&quot;STSong&quot;;font-size:20;v-text-kern:t;mso-text-shadow:auto" string="仅供内部审核"/>
        </v:shape>
      </w:pict>
    </w:r>
    <w:r>
      <w:pict>
        <v:shape id="PowerPlusWaterMarkObject164" style="position:absolute;margin-left:490.282pt;margin-top:71.2915pt;mso-position-vertical-relative:page;mso-position-horizontal-relative:page;width:35.45pt;height:6.5pt;z-index:-251563008;" o:allowincell="f" fillcolor="#212529" filled="true" stroked="false" type="#_x0000_t136">
          <v:textpath style="font-family:&quot;SimSun&quot;;font-size:6;v-text-kern:t;mso-text-shadow:auto" string="预算公开表5"/>
        </v:shape>
      </w:pict>
    </w:r>
    <w:r>
      <w:pict>
        <v:shape id="PowerPlusWaterMarkObject166" style="position:absolute;margin-left:491.92pt;margin-top:44.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73.8887pt;margin-top:267.372pt;mso-position-vertical-relative:page;mso-position-horizontal-relative:page;width:23.9pt;height:7.9pt;z-index:-251571200;" o:allowincell="f" fillcolor="#212529" filled="true" stroked="false" type="#_x0000_t136">
          <v:textpath style="font-family:&quot;SimSun&quot;;font-size:7.5;v-text-kern:t;mso-text-shadow:auto" string="080506"/>
        </v:shape>
      </w:pict>
    </w:r>
    <w:r>
      <w:pict>
        <v:shape id="PowerPlusWaterMarkObject170" style="position:absolute;margin-left:69.8661pt;margin-top:282.508pt;mso-position-vertical-relative:page;mso-position-horizontal-relative:page;width:11.7pt;height:7.9pt;z-index:-251570176;" o:allowincell="f" fillcolor="#212529" filled="true" stroked="false" type="#_x0000_t136">
          <v:textpath style="font-family:&quot;SimSun&quot;;font-size:7.5;v-text-kern:t;mso-text-shadow:auto" string="210"/>
        </v:shape>
      </w:pict>
    </w:r>
    <w:r>
      <w:pict>
        <v:shape id="PowerPlusWaterMarkObject172" style="position:absolute;margin-left:-13.08pt;margin-top:288.10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74" style="position:absolute;margin-left:449.242pt;margin-top:282.508pt;mso-position-vertical-relative:page;mso-position-horizontal-relative:page;width:7.55pt;height:7.9pt;z-index:-251574272;" o:allowincell="f" fillcolor="#212529" filled="true" stroked="false" type="#_x0000_t136">
          <v:textpath style="font-family:&quot;SimSun&quot;;font-size:7.5;v-text-kern:t;mso-text-shadow:auto" string="74"/>
        </v:shape>
      </w:pict>
    </w:r>
    <w:r>
      <w:pict>
        <v:shape id="PowerPlusWaterMarkObject176" style="position:absolute;margin-left:440.975pt;margin-top:297.644pt;mso-position-vertical-relative:page;mso-position-horizontal-relative:page;width:15.8pt;height:7.9pt;z-index:-251575296;" o:allowincell="f" fillcolor="#212529" filled="true" stroked="false" type="#_x0000_t136">
          <v:textpath style="font-family:&quot;SimSun&quot;;font-size:7.5;v-text-kern:t;mso-text-shadow:auto" string="9 74"/>
        </v:shape>
      </w:pict>
    </w:r>
    <w:r>
      <w:pict>
        <v:shape id="PowerPlusWaterMarkObject178" style="position:absolute;margin-left:440.975pt;margin-top:312.78pt;mso-position-vertical-relative:page;mso-position-horizontal-relative:page;width:3.65pt;height:7.9pt;z-index:-251573248;" o:allowincell="f" fillcolor="#212529" filled="true" stroked="false" type="#_x0000_t136">
          <v:textpath style="font-family:&quot;SimSun&quot;;font-size:7.5;v-text-kern:t;mso-text-shadow:auto" string="9"/>
        </v:shape>
      </w:pict>
    </w:r>
    <w:r>
      <w:pict>
        <v:shape id="PowerPlusWaterMarkObject180" style="position:absolute;margin-left:391.92pt;margin-top:288.105pt;mso-position-vertical-relative:page;mso-position-horizontal-relative:page;width:119.4pt;height:18.85pt;z-index:-251576320;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86.92pt;margin-top:532.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491.92pt;margin-top:532.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13.08pt;margin-top:776.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391.92pt;margin-top:776.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_x0000_s190" style="position:absolute;margin-left:30pt;margin-top:29.5pt;mso-position-vertical-relative:page;mso-position-horizontal-relative:page;width:535pt;height:1pt;z-index:-2515650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92" style="position:absolute;margin-left:85.9566pt;margin-top:267.372pt;mso-position-vertical-relative:page;mso-position-horizontal-relative:page;width:15.8pt;height:7.9pt;z-index:-251559936;" o:allowincell="f" fillcolor="#212529" filled="true" stroked="false" type="#_x0000_t136">
          <v:textpath style="font-family:&quot;SimSun&quot;;font-size:7.5;v-text-kern:t;mso-text-shadow:auto" string="其他"/>
        </v:shape>
      </w:pict>
    </w:r>
    <w:r>
      <w:pict>
        <v:shape id="PowerPlusWaterMarkObject194" style="position:absolute;margin-left:86.92pt;margin-top:27.7862pt;mso-position-vertical-relative:text;mso-position-horizontal-relative:text;width:119.4pt;height:18.85pt;z-index:-251546624;rotation:330;" fillcolor="#404040" filled="true" stroked="false" type="#_x0000_t136">
          <v:fill opacity="0.400000"/>
          <v:textpath style="font-family:&quot;STSong&quot;;font-size:20;v-text-kern:t;mso-text-shadow:auto" string="仅供内部审核"/>
        </v:shape>
      </w:pict>
    </w:r>
    <w:r>
      <w:pict>
        <v:shape id="PowerPlusWaterMarkObject196" style="position:absolute;margin-left:-13.08pt;margin-top:288.10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86.92pt;margin-top:532.106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13.08pt;margin-top:776.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486.557pt;margin-top:71.2915pt;mso-position-vertical-relative:page;mso-position-horizontal-relative:page;width:35.45pt;height:6.5pt;z-index:-251547648;" o:allowincell="f" fillcolor="#212529" filled="true" stroked="false" type="#_x0000_t136">
          <v:textpath style="font-family:&quot;SimSun&quot;;font-size:6;v-text-kern:t;mso-text-shadow:auto" string="预算公开表6"/>
        </v:shape>
      </w:pict>
    </w:r>
    <w:r>
      <w:pict>
        <v:shape id="PowerPlusWaterMarkObject204" style="position:absolute;margin-left:447.011pt;margin-top:282.508pt;mso-position-vertical-relative:page;mso-position-horizontal-relative:page;width:19.3pt;height:7.9pt;z-index:-251557888;" o:allowincell="f" fillcolor="#212529" filled="true" stroked="false" type="#_x0000_t136">
          <v:textpath style="font-family:&quot;SimSun&quot;;font-size:7.5;v-text-kern:t;mso-text-shadow:auto" string="18 93"/>
        </v:shape>
      </w:pict>
    </w:r>
    <w:r>
      <w:pict>
        <v:shape id="PowerPlusWaterMarkObject206" style="position:absolute;margin-left:446.52pt;margin-top:297.644pt;mso-position-vertical-relative:page;mso-position-horizontal-relative:page;width:19.8pt;height:7.9pt;z-index:-251556864;" o:allowincell="f" fillcolor="#212529" filled="true" stroked="false" type="#_x0000_t136">
          <v:textpath style="font-family:&quot;SimSun&quot;;font-size:7.5;v-text-kern:t;mso-text-shadow:auto" string="23 53"/>
        </v:shape>
      </w:pict>
    </w:r>
    <w:r>
      <w:pict>
        <v:shape id="PowerPlusWaterMarkObject208" style="position:absolute;margin-left:399.063pt;margin-top:312.78pt;mso-position-vertical-relative:page;mso-position-horizontal-relative:page;width:7.7pt;height:7.9pt;z-index:-251555840;" o:allowincell="f" fillcolor="#212529" filled="true" stroked="false" type="#_x0000_t136">
          <v:textpath style="font-family:&quot;SimSun&quot;;font-size:7.5;v-text-kern:t;mso-text-shadow:auto" string="86"/>
        </v:shape>
      </w:pict>
    </w:r>
    <w:r>
      <w:pict>
        <v:shape id="PowerPlusWaterMarkObject210" style="position:absolute;margin-left:399.19pt;margin-top:327.916pt;mso-position-vertical-relative:page;mso-position-horizontal-relative:page;width:7.55pt;height:7.9pt;z-index:-251554816;" o:allowincell="f" fillcolor="#212529" filled="true" stroked="false" type="#_x0000_t136">
          <v:textpath style="font-family:&quot;SimSun&quot;;font-size:7.5;v-text-kern:t;mso-text-shadow:auto" string="50"/>
        </v:shape>
      </w:pict>
    </w:r>
    <w:r>
      <w:pict>
        <v:shape id="PowerPlusWaterMarkObject212" style="position:absolute;margin-left:491.92pt;margin-top:44.1055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391.92pt;margin-top:288.105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491.92pt;margin-top:532.106pt;mso-position-vertical-relative:page;mso-position-horizontal-relative:page;width:119.4pt;height:18.85pt;z-index:-251553792;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391.92pt;margin-top:776.106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_x0000_s220" style="position:absolute;margin-left:30pt;margin-top:29.5pt;mso-position-vertical-relative:page;mso-position-horizontal-relative:page;width:535pt;height:1pt;z-index:-2515496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22" style="position:absolute;margin-left:86.92pt;margin-top:27.7862pt;mso-position-vertical-relative:text;mso-position-horizontal-relative:text;width:119.4pt;height:18.85pt;z-index:-251536384;rotation:330;" fillcolor="#404040" filled="true" stroked="false" type="#_x0000_t136">
          <v:fill opacity="0.400000"/>
          <v:textpath style="font-family:&quot;STSong&quot;;font-size:20;v-text-kern:t;mso-text-shadow:auto" string="仅供内部审核"/>
        </v:shape>
      </w:pict>
    </w:r>
    <w:r>
      <w:pict>
        <v:shape id="PowerPlusWaterMarkObject224" style="position:absolute;margin-left:490.334pt;margin-top:73.4279pt;mso-position-vertical-relative:page;mso-position-horizontal-relative:page;width:35.4pt;height:6.5pt;z-index:-251537408;" o:allowincell="f" fillcolor="#212529" filled="true" stroked="false" type="#_x0000_t136">
          <v:textpath style="font-family:&quot;SimSun&quot;;font-size:6;v-text-kern:t;mso-text-shadow:auto" string="预算公开表7"/>
        </v:shape>
      </w:pict>
    </w:r>
    <w:r>
      <w:pict>
        <v:shape id="PowerPlusWaterMarkObject226" style="position:absolute;margin-left:491.92pt;margin-top:44.1055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28" style="position:absolute;margin-left:-13.08pt;margin-top:288.105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391.92pt;margin-top:288.105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86.92pt;margin-top:532.106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13.08pt;margin-top:776.106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491.92pt;margin-top:532.106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391.92pt;margin-top:776.106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_x0000_s240" style="position:absolute;margin-left:30pt;margin-top:29.5pt;mso-position-vertical-relative:page;mso-position-horizontal-relative:page;width:535pt;height:1pt;z-index:-2515394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42" style="position:absolute;margin-left:86.92pt;margin-top:27.7862pt;mso-position-vertical-relative:text;mso-position-horizontal-relative:text;width:119.4pt;height:18.85pt;z-index:-251526144;rotation:330;" fillcolor="#404040" filled="true" stroked="false" type="#_x0000_t136">
          <v:fill opacity="0.400000"/>
          <v:textpath style="font-family:&quot;STSong&quot;;font-size:20;v-text-kern:t;mso-text-shadow:auto" string="仅供内部审核"/>
        </v:shape>
      </w:pict>
    </w:r>
    <w:r>
      <w:pict>
        <v:shape id="PowerPlusWaterMarkObject244" style="position:absolute;margin-left:490.282pt;margin-top:73.4538pt;mso-position-vertical-relative:page;mso-position-horizontal-relative:page;width:35.45pt;height:6.5pt;z-index:-251527168;" o:allowincell="f" fillcolor="#212529" filled="true" stroked="false" type="#_x0000_t136">
          <v:textpath style="font-family:&quot;SimSun&quot;;font-size:6;v-text-kern:t;mso-text-shadow:auto" string="预算公开表8"/>
        </v:shape>
      </w:pict>
    </w:r>
    <w:r>
      <w:pict>
        <v:shape id="PowerPlusWaterMarkObject246"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13.08pt;margin-top:288.105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288.105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86.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13.08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491.92pt;margin-top:532.106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391.92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_x0000_s260"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62" style="position:absolute;margin-left:86.92pt;margin-top:27.7862pt;mso-position-vertical-relative:text;mso-position-horizontal-relative:text;width:119.4pt;height:18.85pt;z-index:-251515904;rotation:330;" fillcolor="#404040" filled="true" stroked="false" type="#_x0000_t136">
          <v:fill opacity="0.400000"/>
          <v:textpath style="font-family:&quot;STSong&quot;;font-size:20;v-text-kern:t;mso-text-shadow:auto" string="仅供内部审核"/>
        </v:shape>
      </w:pict>
    </w:r>
    <w:r>
      <w:pict>
        <v:shape id="PowerPlusWaterMarkObject264" style="position:absolute;margin-left:490.36pt;margin-top:78.8596pt;mso-position-vertical-relative:page;mso-position-horizontal-relative:page;width:35.35pt;height:6.5pt;z-index:-251516928;" o:allowincell="f" fillcolor="#212529" filled="true" stroked="false" type="#_x0000_t136">
          <v:textpath style="font-family:&quot;SimSun&quot;;font-size:6;v-text-kern:t;mso-text-shadow:auto" string="部门公开表9"/>
        </v:shape>
      </w:pict>
    </w:r>
    <w:r>
      <w:pict>
        <v:shape id="PowerPlusWaterMarkObject266" style="position:absolute;margin-left:491.92pt;margin-top:44.1055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13.08pt;margin-top:288.105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391.92pt;margin-top:288.105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86.92pt;margin-top:532.106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13.08pt;margin-top:776.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491.92pt;margin-top:532.106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78" style="position:absolute;margin-left:391.92pt;margin-top:776.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_x0000_s280" style="position:absolute;margin-left:30pt;margin-top:29.5pt;mso-position-vertical-relative:page;mso-position-horizontal-relative:page;width:535pt;height:1pt;z-index:-25151897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82" style="position:absolute;margin-left:86.92pt;margin-top:27.7862pt;mso-position-vertical-relative:text;mso-position-horizontal-relative:text;width:119.4pt;height:18.85pt;z-index:-251505664;rotation:330;" fillcolor="#404040" filled="true" stroked="false" type="#_x0000_t136">
          <v:fill opacity="0.400000"/>
          <v:textpath style="font-family:&quot;STSong&quot;;font-size:20;v-text-kern:t;mso-text-shadow:auto" string="仅供内部审核"/>
        </v:shape>
      </w:pict>
    </w:r>
    <w:r>
      <w:pict>
        <v:shape id="PowerPlusWaterMarkObject284" style="position:absolute;margin-left:-13.08pt;margin-top:288.105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86.92pt;margin-top:532.106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13.08pt;margin-top:776.106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487.09pt;margin-top:67.4816pt;mso-position-vertical-relative:page;mso-position-horizontal-relative:page;width:38.65pt;height:6.5pt;z-index:-251506688;" o:allowincell="f" fillcolor="#212529" filled="true" stroked="false" type="#_x0000_t136">
          <v:textpath style="font-family:&quot;SimSun&quot;;font-size:6;v-text-kern:t;mso-text-shadow:auto" string="预算公开表11"/>
        </v:shape>
      </w:pict>
    </w:r>
    <w:r>
      <w:pict>
        <v:shape id="PowerPlusWaterMarkObject292" style="position:absolute;margin-left:491.92pt;margin-top:44.1055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391.92pt;margin-top:288.105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296" style="position:absolute;margin-left:491.92pt;margin-top:532.106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98" style="position:absolute;margin-left:391.92pt;margin-top:776.106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_x0000_s300" style="position:absolute;margin-left:30pt;margin-top:29.5pt;mso-position-vertical-relative:page;mso-position-horizontal-relative:page;width:535pt;height:1pt;z-index:-25150873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02" style="position:absolute;margin-left:86.92pt;margin-top:27.7862pt;mso-position-vertical-relative:text;mso-position-horizontal-relative:text;width:119.4pt;height:18.85pt;z-index:-251495424;rotation:330;" fillcolor="#404040" filled="true" stroked="false" type="#_x0000_t136">
          <v:fill opacity="0.400000"/>
          <v:textpath style="font-family:&quot;STSong&quot;;font-size:20;v-text-kern:t;mso-text-shadow:auto" string="仅供内部审核"/>
        </v:shape>
      </w:pict>
    </w:r>
    <w:r>
      <w:pict>
        <v:shape id="PowerPlusWaterMarkObject304" style="position:absolute;margin-left:-13.08pt;margin-top:288.105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306" style="position:absolute;margin-left:86.92pt;margin-top:532.106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13.08pt;margin-top:776.106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310" style="position:absolute;margin-left:487.09pt;margin-top:73.4279pt;mso-position-vertical-relative:page;mso-position-horizontal-relative:page;width:38.65pt;height:6.5pt;z-index:-251496448;" o:allowincell="f" fillcolor="#212529" filled="true" stroked="false" type="#_x0000_t136">
          <v:textpath style="font-family:&quot;SimSun&quot;;font-size:6;v-text-kern:t;mso-text-shadow:auto" string="预算公开表12"/>
        </v:shape>
      </w:pict>
    </w:r>
    <w:r>
      <w:pict>
        <v:shape id="PowerPlusWaterMarkObject312" style="position:absolute;margin-left:491.92pt;margin-top:44.1055pt;mso-position-vertical-relative:page;mso-position-horizontal-relative:page;width:119.4pt;height:18.85pt;z-index:-251497472;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391.92pt;margin-top:288.105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PowerPlusWaterMarkObject316" style="position:absolute;margin-left:491.92pt;margin-top:532.106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18" style="position:absolute;margin-left:391.92pt;margin-top:776.106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_x0000_s320" style="position:absolute;margin-left:30pt;margin-top:29.5pt;mso-position-vertical-relative:page;mso-position-horizontal-relative:page;width:535pt;height:1pt;z-index:-251498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22" style="position:absolute;margin-left:86.92pt;margin-top:27.7862pt;mso-position-vertical-relative:text;mso-position-horizontal-relative:text;width:119.4pt;height:18.85pt;z-index:-251485184;rotation:330;" fillcolor="#404040" filled="true" stroked="false" type="#_x0000_t136">
          <v:fill opacity="0.400000"/>
          <v:textpath style="font-family:&quot;STSong&quot;;font-size:20;v-text-kern:t;mso-text-shadow:auto" string="仅供内部审核"/>
        </v:shape>
      </w:pict>
    </w:r>
    <w:r>
      <w:pict>
        <v:shape id="PowerPlusWaterMarkObject324" style="position:absolute;margin-left:-13.08pt;margin-top:288.105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PowerPlusWaterMarkObject326" style="position:absolute;margin-left:86.92pt;margin-top:532.106pt;mso-position-vertical-relative:page;mso-position-horizontal-relative:page;width:119.4pt;height:18.85pt;z-index:-251493376;rotation:330;" o:allowincell="f" fillcolor="#404040" filled="true" stroked="false" type="#_x0000_t136">
          <v:fill opacity="0.400000"/>
          <v:textpath style="font-family:&quot;STSong&quot;;font-size:20;v-text-kern:t;mso-text-shadow:auto" string="仅供内部审核"/>
        </v:shape>
      </w:pict>
    </w:r>
    <w:r>
      <w:pict>
        <v:shape id="PowerPlusWaterMarkObject328" style="position:absolute;margin-left:-13.08pt;margin-top:776.106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330" style="position:absolute;margin-left:487.09pt;margin-top:73.4279pt;mso-position-vertical-relative:page;mso-position-horizontal-relative:page;width:38.65pt;height:6.5pt;z-index:-251486208;" o:allowincell="f" fillcolor="#212529" filled="true" stroked="false" type="#_x0000_t136">
          <v:textpath style="font-family:&quot;SimSun&quot;;font-size:6;v-text-kern:t;mso-text-shadow:auto" string="预算公开表13"/>
        </v:shape>
      </w:pict>
    </w:r>
    <w:r>
      <w:pict>
        <v:shape id="PowerPlusWaterMarkObject332" style="position:absolute;margin-left:491.92pt;margin-top:44.1055pt;mso-position-vertical-relative:page;mso-position-horizontal-relative:page;width:119.4pt;height:18.85pt;z-index:-251487232;rotation:330;" o:allowincell="f" fillcolor="#404040" filled="true" stroked="false" type="#_x0000_t136">
          <v:fill opacity="0.400000"/>
          <v:textpath style="font-family:&quot;STSong&quot;;font-size:20;v-text-kern:t;mso-text-shadow:auto" string="仅供内部审核"/>
        </v:shape>
      </w:pict>
    </w:r>
    <w:r>
      <w:pict>
        <v:shape id="PowerPlusWaterMarkObject334" style="position:absolute;margin-left:391.92pt;margin-top:288.105pt;mso-position-vertical-relative:page;mso-position-horizontal-relative:page;width:119.4pt;height:18.85pt;z-index:-251490304;rotation:330;" o:allowincell="f" fillcolor="#404040" filled="true" stroked="false" type="#_x0000_t136">
          <v:fill opacity="0.400000"/>
          <v:textpath style="font-family:&quot;STSong&quot;;font-size:20;v-text-kern:t;mso-text-shadow:auto" string="仅供内部审核"/>
        </v:shape>
      </w:pict>
    </w:r>
    <w:r>
      <w:pict>
        <v:shape id="PowerPlusWaterMarkObject336" style="position:absolute;margin-left:491.92pt;margin-top:532.106pt;mso-position-vertical-relative:page;mso-position-horizontal-relative:page;width:119.4pt;height:18.85pt;z-index:-251494400;rotation:330;" o:allowincell="f" fillcolor="#404040" filled="true" stroked="false" type="#_x0000_t136">
          <v:fill opacity="0.400000"/>
          <v:textpath style="font-family:&quot;STSong&quot;;font-size:20;v-text-kern:t;mso-text-shadow:auto" string="仅供内部审核"/>
        </v:shape>
      </w:pict>
    </w:r>
    <w:r>
      <w:pict>
        <v:shape id="PowerPlusWaterMarkObject338" style="position:absolute;margin-left:391.92pt;margin-top:776.106pt;mso-position-vertical-relative:page;mso-position-horizontal-relative:page;width:119.4pt;height:18.85pt;z-index:-251492352;rotation:330;" o:allowincell="f" fillcolor="#404040" filled="true" stroked="false" type="#_x0000_t136">
          <v:fill opacity="0.400000"/>
          <v:textpath style="font-family:&quot;STSong&quot;;font-size:20;v-text-kern:t;mso-text-shadow:auto" string="仅供内部审核"/>
        </v:shape>
      </w:pict>
    </w:r>
    <w:r>
      <w:pict>
        <v:shape id="_x0000_s340" style="position:absolute;margin-left:30pt;margin-top:29.5pt;mso-position-vertical-relative:page;mso-position-horizontal-relative:page;width:535pt;height:1pt;z-index:-2514882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42" style="position:absolute;margin-left:86.92pt;margin-top:27.7862pt;mso-position-vertical-relative:text;mso-position-horizontal-relative:text;width:119.4pt;height:18.85pt;z-index:-251465728;rotation:330;" fillcolor="#404040" filled="true" stroked="false" type="#_x0000_t136">
          <v:fill opacity="0.400000"/>
          <v:textpath style="font-family:&quot;STSong&quot;;font-size:20;v-text-kern:t;mso-text-shadow:auto" string="仅供内部审核"/>
        </v:shape>
      </w:pict>
    </w:r>
    <w:r>
      <w:pict>
        <v:shape id="PowerPlusWaterMarkObject344" style="position:absolute;margin-left:491.92pt;margin-top:44.1055pt;mso-position-vertical-relative:page;mso-position-horizontal-relative:page;width:119.4pt;height:18.85pt;z-index:-251466752;rotation:330;" o:allowincell="f" fillcolor="#404040" filled="true" stroked="false" type="#_x0000_t136">
          <v:fill opacity="0.400000"/>
          <v:textpath style="font-family:&quot;STSong&quot;;font-size:20;v-text-kern:t;mso-text-shadow:auto" string="仅供内部审核"/>
        </v:shape>
      </w:pict>
    </w:r>
    <w:r>
      <w:pict>
        <v:shape id="PowerPlusWaterMarkObject346" style="position:absolute;margin-left:86.8722pt;margin-top:258.837pt;mso-position-vertical-relative:page;mso-position-horizontal-relative:page;width:10.8pt;height:11.8pt;z-index:-251483136;" o:allowincell="f" fillcolor="#000000" filled="true" stroked="false" type="#_x0000_t136">
          <v:textpath style="font-family:&quot;FangSong&quot;;font-size:11.5;v-text-kern:t;mso-text-shadow:auto" string="算"/>
        </v:shape>
      </w:pict>
    </w:r>
    <w:r>
      <w:pict>
        <v:shape id="PowerPlusWaterMarkObject348" style="position:absolute;margin-left:63.1955pt;margin-top:278.838pt;mso-position-vertical-relative:page;mso-position-horizontal-relative:page;width:22.75pt;height:11.8pt;z-index:-251482112;" o:allowincell="f" fillcolor="#000000" filled="true" stroked="false" type="#_x0000_t136">
          <v:textpath style="font-family:&quot;FangSong&quot;;font-size:11.5;v-text-kern:t;mso-text-shadow:auto" string="经营"/>
        </v:shape>
      </w:pict>
    </w:r>
    <w:r>
      <w:pict>
        <v:shape id="PowerPlusWaterMarkObject350" style="position:absolute;margin-left:-13.08pt;margin-top:288.105pt;mso-position-vertical-relative:page;mso-position-horizontal-relative:page;width:119.4pt;height:18.85pt;z-index:-251484160;rotation:330;" o:allowincell="f" fillcolor="#404040" filled="true" stroked="false" type="#_x0000_t136">
          <v:fill opacity="0.400000"/>
          <v:textpath style="font-family:&quot;STSong&quot;;font-size:20;v-text-kern:t;mso-text-shadow:auto" string="仅供内部审核"/>
        </v:shape>
      </w:pict>
    </w:r>
    <w:r>
      <w:pict>
        <v:shape id="PowerPlusWaterMarkObject352" style="position:absolute;margin-left:225.12pt;margin-top:284.408pt;mso-position-vertical-relative:page;mso-position-horizontal-relative:page;width:1.7pt;height:5.6pt;z-index:-251468800;" o:allowincell="f" fillcolor="#000000" filled="true" stroked="false" type="#_x0000_t136">
          <v:textpath style="font-family:&quot;FangSong&quot;;font-size:11.5;v-text-kern:t;mso-text-shadow:auto" string=";"/>
        </v:shape>
      </w:pict>
    </w:r>
    <w:r>
      <w:pict>
        <v:shape id="PowerPlusWaterMarkObject354" style="position:absolute;margin-left:488.849pt;margin-top:258.837pt;mso-position-vertical-relative:page;mso-position-horizontal-relative:page;width:21.3pt;height:11.8pt;z-index:-251479040;" o:allowincell="f" fillcolor="#000000" filled="true" stroked="false" type="#_x0000_t136">
          <v:textpath style="font-family:&quot;FangSong&quot;;font-size:11.5;v-text-kern:t;mso-text-shadow:auto" string="国有"/>
        </v:shape>
      </w:pict>
    </w:r>
    <w:r>
      <w:pict>
        <v:shape id="PowerPlusWaterMarkObject356" style="position:absolute;margin-left:422.076pt;margin-top:278.838pt;mso-position-vertical-relative:page;mso-position-horizontal-relative:page;width:63.95pt;height:11.8pt;z-index:-251480064;" o:allowincell="f" fillcolor="#000000" filled="true" stroked="false" type="#_x0000_t136">
          <v:textpath style="font-family:&quot;FangSong&quot;;font-size:11.5;v-text-kern:t;mso-text-shadow:auto" string="；     资金0"/>
        </v:shape>
      </w:pict>
    </w:r>
    <w:r>
      <w:pict>
        <v:shape id="PowerPlusWaterMarkObject358" style="position:absolute;margin-left:391.92pt;margin-top:288.105pt;mso-position-vertical-relative:page;mso-position-horizontal-relative:page;width:119.4pt;height:18.85pt;z-index:-251481088;rotation:330;" o:allowincell="f" fillcolor="#404040" filled="true" stroked="false" type="#_x0000_t136">
          <v:fill opacity="0.400000"/>
          <v:textpath style="font-family:&quot;STSong&quot;;font-size:20;v-text-kern:t;mso-text-shadow:auto" string="仅供内部审核"/>
        </v:shape>
      </w:pict>
    </w:r>
    <w:r>
      <w:pict>
        <v:shape id="PowerPlusWaterMarkObject360" style="position:absolute;margin-left:134.31pt;margin-top:533.99pt;mso-position-vertical-relative:page;mso-position-horizontal-relative:page;width:45.25pt;height:11.8pt;z-index:-251475968;" o:allowincell="f" fillcolor="#000000" filled="true" stroked="false" type="#_x0000_t136">
          <v:textpath style="font-family:&quot;FangSong&quot;;font-size:11.5;v-text-kern:t;mso-text-shadow:auto" string="山西广播"/>
        </v:shape>
      </w:pict>
    </w:r>
    <w:r>
      <w:pict>
        <v:shape id="PowerPlusWaterMarkObject362" style="position:absolute;margin-left:91.9384pt;margin-top:554.532pt;mso-position-vertical-relative:page;mso-position-horizontal-relative:page;width:51.25pt;height:11.8pt;z-index:-251476992;" o:allowincell="f" fillcolor="#000000" filled="true" stroked="false" type="#_x0000_t136">
          <v:textpath style="font-family:&quot;FangSong&quot;;font-size:11.5;v-text-kern:t;mso-text-shadow:auto" string="7万元  占"/>
        </v:shape>
      </w:pict>
    </w:r>
    <w:r>
      <w:pict>
        <v:shape id="PowerPlusWaterMarkObject364" style="position:absolute;margin-left:86.92pt;margin-top:532.106pt;mso-position-vertical-relative:page;mso-position-horizontal-relative:page;width:119.4pt;height:18.85pt;z-index:-251478016;rotation:330;" o:allowincell="f" fillcolor="#404040" filled="true" stroked="false" type="#_x0000_t136">
          <v:fill opacity="0.400000"/>
          <v:textpath style="font-family:&quot;STSong&quot;;font-size:20;v-text-kern:t;mso-text-shadow:auto" string="仅供内部审核"/>
        </v:shape>
      </w:pict>
    </w:r>
    <w:r>
      <w:pict>
        <v:shape id="PowerPlusWaterMarkObject366" style="position:absolute;margin-left:491.92pt;margin-top:532.106pt;mso-position-vertical-relative:page;mso-position-horizontal-relative:page;width:119.4pt;height:18.85pt;z-index:-251474944;rotation:330;" o:allowincell="f" fillcolor="#404040" filled="true" stroked="false" type="#_x0000_t136">
          <v:fill opacity="0.400000"/>
          <v:textpath style="font-family:&quot;STSong&quot;;font-size:20;v-text-kern:t;mso-text-shadow:auto" string="仅供内部审核"/>
        </v:shape>
      </w:pict>
    </w:r>
    <w:r>
      <w:pict>
        <v:shape id="PowerPlusWaterMarkObject368" style="position:absolute;margin-left:86.2696pt;margin-top:756.166pt;mso-position-vertical-relative:page;mso-position-horizontal-relative:page;width:22.3pt;height:11.8pt;z-index:-251472896;" o:allowincell="f" fillcolor="#000000" filled="true" stroked="false" type="#_x0000_t136">
          <v:textpath style="font-family:&quot;FangSong&quot;;font-size:11.5;v-text-kern:t;mso-text-shadow:auto" string="（二"/>
        </v:shape>
      </w:pict>
    </w:r>
    <w:r>
      <w:pict>
        <v:shape id="PowerPlusWaterMarkObject370" style="position:absolute;margin-left:436.988pt;margin-top:776.167pt;mso-position-vertical-relative:page;mso-position-horizontal-relative:page;width:44.35pt;height:11.8pt;z-index:-251470848;" o:allowincell="f" fillcolor="#000000" filled="true" stroked="false" type="#_x0000_t136">
          <v:textpath style="font-family:&quot;FangSong&quot;;font-size:11.5;v-text-kern:t;mso-text-shadow:auto" string="出289 37"/>
        </v:shape>
      </w:pict>
    </w:r>
    <w:r>
      <w:pict>
        <v:shape id="PowerPlusWaterMarkObject372" style="position:absolute;margin-left:403.107pt;margin-top:796.709pt;mso-position-vertical-relative:page;mso-position-horizontal-relative:page;width:36.45pt;height:11.8pt;z-index:-251469824;" o:allowincell="f" fillcolor="#000000" filled="true" stroked="false" type="#_x0000_t136">
          <v:textpath style="font-family:&quot;FangSong&quot;;font-size:11.5;v-text-kern:t;mso-text-shadow:auto" string="就业支"/>
        </v:shape>
      </w:pict>
    </w:r>
    <w:r>
      <w:pict>
        <v:shape id="PowerPlusWaterMarkObject374" style="position:absolute;margin-left:-13.08pt;margin-top:776.106pt;mso-position-vertical-relative:page;mso-position-horizontal-relative:page;width:119.4pt;height:18.85pt;z-index:-251473920;rotation:330;" o:allowincell="f" fillcolor="#404040" filled="true" stroked="false" type="#_x0000_t136">
          <v:fill opacity="0.400000"/>
          <v:textpath style="font-family:&quot;STSong&quot;;font-size:20;v-text-kern:t;mso-text-shadow:auto" string="仅供内部审核"/>
        </v:shape>
      </w:pict>
    </w:r>
    <w:r>
      <w:pict>
        <v:shape id="PowerPlusWaterMarkObject376" style="position:absolute;margin-left:391.92pt;margin-top:776.106pt;mso-position-vertical-relative:page;mso-position-horizontal-relative:page;width:119.4pt;height:18.85pt;z-index:-251471872;rotation:330;" o:allowincell="f" fillcolor="#404040" filled="true" stroked="false" type="#_x0000_t136">
          <v:fill opacity="0.400000"/>
          <v:textpath style="font-family:&quot;STSong&quot;;font-size:20;v-text-kern:t;mso-text-shadow:auto" string="仅供内部审核"/>
        </v:shape>
      </w:pict>
    </w:r>
    <w:r>
      <w:pict>
        <v:shape id="_x0000_s378" style="position:absolute;margin-left:30pt;margin-top:29.5pt;mso-position-vertical-relative:page;mso-position-horizontal-relative:page;width:535pt;height:1pt;z-index:-25146777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80" style="position:absolute;margin-left:91.3503pt;margin-top:64.2303pt;mso-position-vertical-relative:page;mso-position-horizontal-relative:page;width:51.8pt;height:11.8pt;z-index:-251448320;" o:allowincell="f" fillcolor="#000000" filled="true" stroked="false" type="#_x0000_t136">
          <v:textpath style="font-family:&quot;FangSong&quot;;font-size:11.5;v-text-kern:t;mso-text-shadow:auto" string="%； 卫生健"/>
        </v:shape>
      </w:pict>
    </w:r>
    <w:r>
      <w:pict>
        <v:shape id="PowerPlusWaterMarkObject382" style="position:absolute;margin-left:86.92pt;margin-top:27.7862pt;mso-position-vertical-relative:text;mso-position-horizontal-relative:text;width:119.4pt;height:18.85pt;z-index:-251445248;rotation:330;" fillcolor="#404040" filled="true" stroked="false" type="#_x0000_t136">
          <v:fill opacity="0.400000"/>
          <v:textpath style="font-family:&quot;STSong&quot;;font-size:20;v-text-kern:t;mso-text-shadow:auto" string="仅供内部审核"/>
        </v:shape>
      </w:pict>
    </w:r>
    <w:r>
      <w:pict>
        <v:shape id="PowerPlusWaterMarkObject384" style="position:absolute;margin-left:491.92pt;margin-top:44.1055pt;mso-position-vertical-relative:page;mso-position-horizontal-relative:page;width:119.4pt;height:18.85pt;z-index:-251446272;rotation:330;" o:allowincell="f" fillcolor="#404040" filled="true" stroked="false" type="#_x0000_t136">
          <v:fill opacity="0.400000"/>
          <v:textpath style="font-family:&quot;STSong&quot;;font-size:20;v-text-kern:t;mso-text-shadow:auto" string="仅供内部审核"/>
        </v:shape>
      </w:pict>
    </w:r>
    <w:r>
      <w:pict>
        <v:shape id="PowerPlusWaterMarkObject386" style="position:absolute;margin-left:86.0353pt;margin-top:266.946pt;mso-position-vertical-relative:page;mso-position-horizontal-relative:page;width:22.55pt;height:11.8pt;z-index:-251458560;" o:allowincell="f" fillcolor="#000000" filled="true" stroked="false" type="#_x0000_t136">
          <v:textpath style="font-family:&quot;FangSong&quot;;font-size:11.5;v-text-kern:t;mso-text-shadow:auto" string="2025"/>
        </v:shape>
      </w:pict>
    </w:r>
    <w:r>
      <w:pict>
        <v:shape id="PowerPlusWaterMarkObject388" style="position:absolute;margin-left:63.38pt;margin-top:286.947pt;mso-position-vertical-relative:page;mso-position-horizontal-relative:page;width:10.6pt;height:11.8pt;z-index:-251459584;" o:allowincell="f" fillcolor="#000000" filled="true" stroked="false" type="#_x0000_t136">
          <v:textpath style="font-family:&quot;FangSong&quot;;font-size:11.5;v-text-kern:t;mso-text-shadow:auto" string="元"/>
        </v:shape>
      </w:pict>
    </w:r>
    <w:r>
      <w:pict>
        <v:shape id="PowerPlusWaterMarkObject390" style="position:absolute;margin-left:-13.08pt;margin-top:288.105pt;mso-position-vertical-relative:page;mso-position-horizontal-relative:page;width:119.4pt;height:18.85pt;z-index:-251460608;rotation:330;" o:allowincell="f" fillcolor="#404040" filled="true" stroked="false" type="#_x0000_t136">
          <v:fill opacity="0.400000"/>
          <v:textpath style="font-family:&quot;STSong&quot;;font-size:20;v-text-kern:t;mso-text-shadow:auto" string="仅供内部审核"/>
        </v:shape>
      </w:pict>
    </w:r>
    <w:r>
      <w:pict>
        <v:shape id="PowerPlusWaterMarkObject392" style="position:absolute;margin-left:463.424pt;margin-top:266.946pt;mso-position-vertical-relative:page;mso-position-horizontal-relative:page;width:40.95pt;height:11.8pt;z-index:-251461632;" o:allowincell="f" fillcolor="#000000" filled="true" stroked="false" type="#_x0000_t136">
          <v:textpath style="font-family:&quot;FangSong&quot;;font-size:11.5;v-text-kern:t;mso-text-shadow:auto" string="支出267"/>
        </v:shape>
      </w:pict>
    </w:r>
    <w:r>
      <w:pict>
        <v:shape id="PowerPlusWaterMarkObject394" style="position:absolute;margin-left:405.221pt;margin-top:306.948pt;mso-position-vertical-relative:page;mso-position-horizontal-relative:page;width:45.9pt;height:11.8pt;z-index:-251462656;" o:allowincell="f" fillcolor="#000000" filled="true" stroked="false" type="#_x0000_t136">
          <v:textpath style="font-family:&quot;FangSong&quot;;font-size:11.5;v-text-kern:t;mso-text-shadow:auto" string="会保障缴"/>
        </v:shape>
      </w:pict>
    </w:r>
    <w:r>
      <w:pict>
        <v:shape id="PowerPlusWaterMarkObject396" style="position:absolute;margin-left:402.415pt;margin-top:327.49pt;mso-position-vertical-relative:page;mso-position-horizontal-relative:page;width:10.45pt;height:11.8pt;z-index:-251463680;" o:allowincell="f" fillcolor="#000000" filled="true" stroked="false" type="#_x0000_t136">
          <v:textpath style="font-family:&quot;FangSong&quot;;font-size:11.5;v-text-kern:t;mso-text-shadow:auto" string="费"/>
        </v:shape>
      </w:pict>
    </w:r>
    <w:r>
      <w:pict>
        <v:shape id="PowerPlusWaterMarkObject398" style="position:absolute;margin-left:391.92pt;margin-top:288.105pt;mso-position-vertical-relative:page;mso-position-horizontal-relative:page;width:119.4pt;height:18.85pt;z-index:-251464704;rotation:330;" o:allowincell="f" fillcolor="#404040" filled="true" stroked="false" type="#_x0000_t136">
          <v:fill opacity="0.400000"/>
          <v:textpath style="font-family:&quot;STSong&quot;;font-size:20;v-text-kern:t;mso-text-shadow:auto" string="仅供内部审核"/>
        </v:shape>
      </w:pict>
    </w:r>
    <w:r>
      <w:pict>
        <v:shape id="PowerPlusWaterMarkObject400" style="position:absolute;margin-left:180.45pt;margin-top:509.123pt;mso-position-vertical-relative:page;mso-position-horizontal-relative:page;width:22.7pt;height:11.8pt;z-index:-251455488;" o:allowincell="f" fillcolor="#000000" filled="true" stroked="false" type="#_x0000_t136">
          <v:textpath style="font-family:&quot;FangSong&quot;;font-size:11.5;v-text-kern:t;mso-text-shadow:auto" string="视大"/>
        </v:shape>
      </w:pict>
    </w:r>
    <w:r>
      <w:pict>
        <v:shape id="PowerPlusWaterMarkObject402" style="position:absolute;margin-left:132.107pt;margin-top:529.125pt;mso-position-vertical-relative:page;mso-position-horizontal-relative:page;width:45.65pt;height:11.8pt;z-index:-251454464;" o:allowincell="f" fillcolor="#000000" filled="true" stroked="false" type="#_x0000_t136">
          <v:textpath style="font-family:&quot;FangSong&quot;;font-size:11.5;v-text-kern:t;mso-text-shadow:auto" string="0 50万元"/>
        </v:shape>
      </w:pict>
    </w:r>
    <w:r>
      <w:pict>
        <v:shape id="PowerPlusWaterMarkObject404" style="position:absolute;margin-left:63.02pt;margin-top:548.885pt;mso-position-vertical-relative:page;mso-position-horizontal-relative:page;width:91.75pt;height:11.5pt;z-index:-251453440;" o:allowincell="f" fillcolor="#000000" filled="true" stroked="false" type="#_x0000_t136">
          <v:textpath style="font-family:&quot;Microsoft YaHei&quot;;font-size:11;v-text-kern:t;mso-text-shadow:auto" string="十、绩效管理情况"/>
        </v:shape>
      </w:pict>
    </w:r>
    <w:r>
      <w:pict>
        <v:shape id="PowerPlusWaterMarkObject406" style="position:absolute;margin-left:86.92pt;margin-top:532.106pt;mso-position-vertical-relative:page;mso-position-horizontal-relative:page;width:119.4pt;height:18.85pt;z-index:-251456512;rotation:330;" o:allowincell="f" fillcolor="#404040" filled="true" stroked="false" type="#_x0000_t136">
          <v:fill opacity="0.400000"/>
          <v:textpath style="font-family:&quot;STSong&quot;;font-size:20;v-text-kern:t;mso-text-shadow:auto" string="仅供内部审核"/>
        </v:shape>
      </w:pict>
    </w:r>
    <w:r>
      <w:pict>
        <v:shape id="PowerPlusWaterMarkObject408" style="position:absolute;margin-left:491.92pt;margin-top:532.106pt;mso-position-vertical-relative:page;mso-position-horizontal-relative:page;width:119.4pt;height:18.85pt;z-index:-251457536;rotation:330;" o:allowincell="f" fillcolor="#404040" filled="true" stroked="false" type="#_x0000_t136">
          <v:fill opacity="0.400000"/>
          <v:textpath style="font-family:&quot;STSong&quot;;font-size:20;v-text-kern:t;mso-text-shadow:auto" string="仅供内部审核"/>
        </v:shape>
      </w:pict>
    </w:r>
    <w:r>
      <w:pict>
        <v:shape id="PowerPlusWaterMarkObject410" style="position:absolute;margin-left:387.985pt;margin-top:675.784pt;mso-position-vertical-relative:page;mso-position-horizontal-relative:page;width:1.7pt;height:5.6pt;z-index:-251452416;" o:allowincell="f" fillcolor="#000000" filled="true" stroked="false" type="#_x0000_t136">
          <v:textpath style="font-family:&quot;FangSong&quot;;font-size:11.5;v-text-kern:t;mso-text-shadow:auto" string=";"/>
        </v:shape>
      </w:pict>
    </w:r>
    <w:r>
      <w:pict>
        <v:shape id="PowerPlusWaterMarkObject412" style="position:absolute;margin-left:63.2107pt;margin-top:751.301pt;mso-position-vertical-relative:page;mso-position-horizontal-relative:page;width:45.35pt;height:11.8pt;z-index:-251449344;" o:allowincell="f" fillcolor="#000000" filled="true" stroked="false" type="#_x0000_t136">
          <v:textpath style="font-family:&quot;FangSong&quot;;font-size:11.5;v-text-kern:t;mso-text-shadow:auto" string="（项目绩"/>
        </v:shape>
      </w:pict>
    </w:r>
    <w:r>
      <w:pict>
        <v:shape id="PowerPlusWaterMarkObject414" style="position:absolute;margin-left:-13.08pt;margin-top:776.106pt;mso-position-vertical-relative:page;mso-position-horizontal-relative:page;width:119.4pt;height:18.85pt;z-index:-251450368;rotation:330;" o:allowincell="f" fillcolor="#404040" filled="true" stroked="false" type="#_x0000_t136">
          <v:fill opacity="0.400000"/>
          <v:textpath style="font-family:&quot;STSong&quot;;font-size:20;v-text-kern:t;mso-text-shadow:auto" string="仅供内部审核"/>
        </v:shape>
      </w:pict>
    </w:r>
    <w:r>
      <w:pict>
        <v:shape id="PowerPlusWaterMarkObject416" style="position:absolute;margin-left:391.92pt;margin-top:776.106pt;mso-position-vertical-relative:page;mso-position-horizontal-relative:page;width:119.4pt;height:18.85pt;z-index:-251451392;rotation:330;" o:allowincell="f" fillcolor="#404040" filled="true" stroked="false" type="#_x0000_t136">
          <v:fill opacity="0.400000"/>
          <v:textpath style="font-family:&quot;STSong&quot;;font-size:20;v-text-kern:t;mso-text-shadow:auto" string="仅供内部审核"/>
        </v:shape>
      </w:pict>
    </w:r>
    <w:r>
      <w:pict>
        <v:shape id="_x0000_s418" style="position:absolute;margin-left:30pt;margin-top:29.5pt;mso-position-vertical-relative:page;mso-position-horizontal-relative:page;width:535pt;height:1pt;z-index:-2514472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420" style="position:absolute;margin-left:86.92pt;margin-top:27.7862pt;mso-position-vertical-relative:text;mso-position-horizontal-relative:text;width:119.4pt;height:18.85pt;z-index:-251441152;rotation:330;" fillcolor="#404040" filled="true" stroked="false" type="#_x0000_t136">
          <v:fill opacity="0.400000"/>
          <v:textpath style="font-family:&quot;STSong&quot;;font-size:20;v-text-kern:t;mso-text-shadow:auto" string="仅供内部审核"/>
        </v:shape>
      </w:pict>
    </w:r>
    <w:r>
      <w:pict>
        <v:shape id="PowerPlusWaterMarkObject422" style="position:absolute;margin-left:-13.08pt;margin-top:776.106pt;mso-position-vertical-relative:page;mso-position-horizontal-relative:page;width:119.4pt;height:18.85pt;z-index:-251443200;rotation:330;" o:allowincell="f" fillcolor="#404040" filled="true" stroked="false" type="#_x0000_t136">
          <v:fill opacity="0.400000"/>
          <v:textpath style="font-family:&quot;STSong&quot;;font-size:20;v-text-kern:t;mso-text-shadow:auto" string="仅供内部审核"/>
        </v:shape>
      </w:pict>
    </w:r>
    <w:r>
      <w:pict>
        <v:shape id="PowerPlusWaterMarkObject424" style="position:absolute;margin-left:391.92pt;margin-top:776.106pt;mso-position-vertical-relative:page;mso-position-horizontal-relative:page;width:119.4pt;height:18.85pt;z-index:-251444224;rotation:330;" o:allowincell="f" fillcolor="#404040" filled="true" stroked="false" type="#_x0000_t136">
          <v:fill opacity="0.400000"/>
          <v:textpath style="font-family:&quot;STSong&quot;;font-size:20;v-text-kern:t;mso-text-shadow:auto" string="仅供内部审核"/>
        </v:shape>
      </w:pict>
    </w:r>
    <w:r>
      <w:pict>
        <v:shape id="_x0000_s426" style="position:absolute;margin-left:30pt;margin-top:29.5pt;mso-position-vertical-relative:page;mso-position-horizontal-relative:page;width:535pt;height:1pt;z-index:-25144217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448" style="position:absolute;margin-left:86.92pt;margin-top:27.7862pt;mso-position-vertical-relative:text;mso-position-horizontal-relative:text;width:119.4pt;height:18.85pt;z-index:-251431936;rotation:330;" fillcolor="#404040" filled="true" stroked="false" type="#_x0000_t136">
          <v:fill opacity="0.400000"/>
          <v:textpath style="font-family:&quot;STSong&quot;;font-size:20;v-text-kern:t;mso-text-shadow:auto" string="仅供内部审核"/>
        </v:shape>
      </w:pict>
    </w:r>
    <w:r>
      <w:pict>
        <v:shape id="PowerPlusWaterMarkObject450" style="position:absolute;margin-left:-13.08pt;margin-top:288.105pt;mso-position-vertical-relative:page;mso-position-horizontal-relative:page;width:119.4pt;height:18.85pt;z-index:-251439104;rotation:330;" o:allowincell="f" fillcolor="#404040" filled="true" stroked="false" type="#_x0000_t136">
          <v:fill opacity="0.400000"/>
          <v:textpath style="font-family:&quot;STSong&quot;;font-size:20;v-text-kern:t;mso-text-shadow:auto" string="仅供内部审核"/>
        </v:shape>
      </w:pict>
    </w:r>
    <w:r>
      <w:pict>
        <v:shape id="PowerPlusWaterMarkObject452" style="position:absolute;margin-left:491.92pt;margin-top:44.1055pt;mso-position-vertical-relative:page;mso-position-horizontal-relative:page;width:119.4pt;height:18.85pt;z-index:-251432960;rotation:330;" o:allowincell="f" fillcolor="#404040" filled="true" stroked="false" type="#_x0000_t136">
          <v:fill opacity="0.400000"/>
          <v:textpath style="font-family:&quot;STSong&quot;;font-size:20;v-text-kern:t;mso-text-shadow:auto" string="仅供内部审核"/>
        </v:shape>
      </w:pict>
    </w:r>
    <w:r>
      <w:pict>
        <v:shape id="PowerPlusWaterMarkObject454" style="position:absolute;margin-left:391.92pt;margin-top:288.105pt;mso-position-vertical-relative:page;mso-position-horizontal-relative:page;width:119.4pt;height:18.85pt;z-index:-251440128;rotation:330;" o:allowincell="f" fillcolor="#404040" filled="true" stroked="false" type="#_x0000_t136">
          <v:fill opacity="0.400000"/>
          <v:textpath style="font-family:&quot;STSong&quot;;font-size:20;v-text-kern:t;mso-text-shadow:auto" string="仅供内部审核"/>
        </v:shape>
      </w:pict>
    </w:r>
    <w:r>
      <w:pict>
        <v:shape id="PowerPlusWaterMarkObject456" style="position:absolute;margin-left:86.92pt;margin-top:532.106pt;mso-position-vertical-relative:page;mso-position-horizontal-relative:page;width:119.4pt;height:18.85pt;z-index:-251437056;rotation:330;" o:allowincell="f" fillcolor="#404040" filled="true" stroked="false" type="#_x0000_t136">
          <v:fill opacity="0.400000"/>
          <v:textpath style="font-family:&quot;STSong&quot;;font-size:20;v-text-kern:t;mso-text-shadow:auto" string="仅供内部审核"/>
        </v:shape>
      </w:pict>
    </w:r>
    <w:r>
      <w:pict>
        <v:shape id="PowerPlusWaterMarkObject458" style="position:absolute;margin-left:-13.08pt;margin-top:776.106pt;mso-position-vertical-relative:page;mso-position-horizontal-relative:page;width:119.4pt;height:18.85pt;z-index:-251435008;rotation:330;" o:allowincell="f" fillcolor="#404040" filled="true" stroked="false" type="#_x0000_t136">
          <v:fill opacity="0.400000"/>
          <v:textpath style="font-family:&quot;STSong&quot;;font-size:20;v-text-kern:t;mso-text-shadow:auto" string="仅供内部审核"/>
        </v:shape>
      </w:pict>
    </w:r>
    <w:r>
      <w:pict>
        <v:shape id="PowerPlusWaterMarkObject460" style="position:absolute;margin-left:491.92pt;margin-top:532.106pt;mso-position-vertical-relative:page;mso-position-horizontal-relative:page;width:119.4pt;height:18.85pt;z-index:-251438080;rotation:330;" o:allowincell="f" fillcolor="#404040" filled="true" stroked="false" type="#_x0000_t136">
          <v:fill opacity="0.400000"/>
          <v:textpath style="font-family:&quot;STSong&quot;;font-size:20;v-text-kern:t;mso-text-shadow:auto" string="仅供内部审核"/>
        </v:shape>
      </w:pict>
    </w:r>
    <w:r>
      <w:pict>
        <v:shape id="PowerPlusWaterMarkObject462" style="position:absolute;margin-left:391.92pt;margin-top:776.106pt;mso-position-vertical-relative:page;mso-position-horizontal-relative:page;width:119.4pt;height:18.85pt;z-index:-251436032;rotation:330;" o:allowincell="f" fillcolor="#404040" filled="true" stroked="false" type="#_x0000_t136">
          <v:fill opacity="0.400000"/>
          <v:textpath style="font-family:&quot;STSong&quot;;font-size:20;v-text-kern:t;mso-text-shadow:auto" string="仅供内部审核"/>
        </v:shape>
      </w:pict>
    </w:r>
    <w:r>
      <w:pict>
        <v:shape id="_x0000_s464" style="position:absolute;margin-left:30pt;margin-top:29.5pt;mso-position-vertical-relative:page;mso-position-horizontal-relative:page;width:535pt;height:1pt;z-index:-2514339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466" style="position:absolute;margin-left:86.92pt;margin-top:27.7862pt;mso-position-vertical-relative:text;mso-position-horizontal-relative:text;width:119.4pt;height:18.85pt;z-index:-251424768;rotation:330;" fillcolor="#404040" filled="true" stroked="false" type="#_x0000_t136">
          <v:fill opacity="0.400000"/>
          <v:textpath style="font-family:&quot;STSong&quot;;font-size:20;v-text-kern:t;mso-text-shadow:auto" string="仅供内部审核"/>
        </v:shape>
      </w:pict>
    </w:r>
    <w:r>
      <w:pict>
        <v:shape id="PowerPlusWaterMarkObject468" style="position:absolute;margin-left:-13.08pt;margin-top:288.105pt;mso-position-vertical-relative:page;mso-position-horizontal-relative:page;width:119.4pt;height:18.85pt;z-index:-251427840;rotation:330;" o:allowincell="f" fillcolor="#404040" filled="true" stroked="false" type="#_x0000_t136">
          <v:fill opacity="0.400000"/>
          <v:textpath style="font-family:&quot;STSong&quot;;font-size:20;v-text-kern:t;mso-text-shadow:auto" string="仅供内部审核"/>
        </v:shape>
      </w:pict>
    </w:r>
    <w:r>
      <w:pict>
        <v:shape id="PowerPlusWaterMarkObject470" style="position:absolute;margin-left:491.92pt;margin-top:44.1055pt;mso-position-vertical-relative:page;mso-position-horizontal-relative:page;width:119.4pt;height:18.85pt;z-index:-251425792;rotation:330;" o:allowincell="f" fillcolor="#404040" filled="true" stroked="false" type="#_x0000_t136">
          <v:fill opacity="0.400000"/>
          <v:textpath style="font-family:&quot;STSong&quot;;font-size:20;v-text-kern:t;mso-text-shadow:auto" string="仅供内部审核"/>
        </v:shape>
      </w:pict>
    </w:r>
    <w:r>
      <w:pict>
        <v:shape id="PowerPlusWaterMarkObject472" style="position:absolute;margin-left:-13.08pt;margin-top:776.106pt;mso-position-vertical-relative:page;mso-position-horizontal-relative:page;width:119.4pt;height:18.85pt;z-index:-251428864;rotation:330;" o:allowincell="f" fillcolor="#404040" filled="true" stroked="false" type="#_x0000_t136">
          <v:fill opacity="0.400000"/>
          <v:textpath style="font-family:&quot;STSong&quot;;font-size:20;v-text-kern:t;mso-text-shadow:auto" string="仅供内部审核"/>
        </v:shape>
      </w:pict>
    </w:r>
    <w:r>
      <w:pict>
        <v:shape id="PowerPlusWaterMarkObject474" style="position:absolute;margin-left:491.92pt;margin-top:532.106pt;mso-position-vertical-relative:page;mso-position-horizontal-relative:page;width:119.4pt;height:18.85pt;z-index:-251430912;rotation:330;" o:allowincell="f" fillcolor="#404040" filled="true" stroked="false" type="#_x0000_t136">
          <v:fill opacity="0.400000"/>
          <v:textpath style="font-family:&quot;STSong&quot;;font-size:20;v-text-kern:t;mso-text-shadow:auto" string="仅供内部审核"/>
        </v:shape>
      </w:pict>
    </w:r>
    <w:r>
      <w:pict>
        <v:shape id="PowerPlusWaterMarkObject476" style="position:absolute;margin-left:391.92pt;margin-top:776.106pt;mso-position-vertical-relative:page;mso-position-horizontal-relative:page;width:119.4pt;height:18.85pt;z-index:-251429888;rotation:330;" o:allowincell="f" fillcolor="#404040" filled="true" stroked="false" type="#_x0000_t136">
          <v:fill opacity="0.400000"/>
          <v:textpath style="font-family:&quot;STSong&quot;;font-size:20;v-text-kern:t;mso-text-shadow:auto" string="仅供内部审核"/>
        </v:shape>
      </w:pict>
    </w:r>
    <w:r>
      <w:pict>
        <v:shape id="_x0000_s478" style="position:absolute;margin-left:30pt;margin-top:29.5pt;mso-position-vertical-relative:page;mso-position-horizontal-relative:page;width:535pt;height:1pt;z-index:-2514268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484" style="position:absolute;margin-left:30pt;margin-top:29.5pt;mso-position-vertical-relative:page;mso-position-horizontal-relative:page;width:782pt;height:1pt;z-index:-251423744;" o:allowincell="f" filled="false" strokecolor="#646464" strokeweight="1.00pt" coordsize="15640,20" coordorigin="0,0" path="m0,10l15640,10e">
          <v:stroke joinstyle="miter" miterlimit="10"/>
        </v:shape>
      </w:pict>
    </w:r>
    <w:r>
      <w:pict>
        <v:shape id="PowerPlusWaterMarkObject486" style="position:absolute;margin-left:-13.08pt;margin-top:28.7862pt;mso-position-vertical-relative:text;mso-position-horizontal-relative:text;width:119.4pt;height:18.85pt;z-index:-25142272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山西广播电视大学吕梁分校兴县工作站2025年单位预算公开报告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500" style="position:absolute;margin-left:86.92pt;margin-top:27.7862pt;mso-position-vertical-relative:text;mso-position-horizontal-relative:text;width:119.4pt;height:18.85pt;z-index:-251420672;rotation:330;" fillcolor="#404040" filled="true" stroked="false" type="#_x0000_t136">
          <v:fill opacity="0.400000"/>
          <v:textpath style="font-family:&quot;STSong&quot;;font-size:20;v-text-kern:t;mso-text-shadow:auto" string="仅供内部审核"/>
        </v:shape>
      </w:pict>
    </w:r>
    <w:r>
      <w:pict>
        <v:shape id="_x0000_s502" style="position:absolute;margin-left:30pt;margin-top:29.5pt;mso-position-vertical-relative:page;mso-position-horizontal-relative:page;width:535pt;height:1pt;z-index:-2514216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518" style="position:absolute;margin-left:86.92pt;margin-top:27.7862pt;mso-position-vertical-relative:text;mso-position-horizontal-relative:text;width:119.4pt;height:18.85pt;z-index:-251412480;rotation:330;" fillcolor="#404040" filled="true" stroked="false" type="#_x0000_t136">
          <v:fill opacity="0.400000"/>
          <v:textpath style="font-family:&quot;STSong&quot;;font-size:20;v-text-kern:t;mso-text-shadow:auto" string="仅供内部审核"/>
        </v:shape>
      </w:pict>
    </w:r>
    <w:r>
      <w:pict>
        <v:shape id="PowerPlusWaterMarkObject520" style="position:absolute;margin-left:-13.08pt;margin-top:288.105pt;mso-position-vertical-relative:page;mso-position-horizontal-relative:page;width:119.4pt;height:18.85pt;z-index:-251414528;rotation:330;" o:allowincell="f" fillcolor="#404040" filled="true" stroked="false" type="#_x0000_t136">
          <v:fill opacity="0.400000"/>
          <v:textpath style="font-family:&quot;STSong&quot;;font-size:20;v-text-kern:t;mso-text-shadow:auto" string="仅供内部审核"/>
        </v:shape>
      </w:pict>
    </w:r>
    <w:r>
      <w:pict>
        <v:shape id="PowerPlusWaterMarkObject522" style="position:absolute;margin-left:391.92pt;margin-top:288.105pt;mso-position-vertical-relative:page;mso-position-horizontal-relative:page;width:119.4pt;height:18.85pt;z-index:-251415552;rotation:330;" o:allowincell="f" fillcolor="#404040" filled="true" stroked="false" type="#_x0000_t136">
          <v:fill opacity="0.400000"/>
          <v:textpath style="font-family:&quot;STSong&quot;;font-size:20;v-text-kern:t;mso-text-shadow:auto" string="仅供内部审核"/>
        </v:shape>
      </w:pict>
    </w:r>
    <w:r>
      <w:pict>
        <v:shape id="PowerPlusWaterMarkObject524" style="position:absolute;margin-left:86.92pt;margin-top:532.106pt;mso-position-vertical-relative:page;mso-position-horizontal-relative:page;width:119.4pt;height:18.85pt;z-index:-251418624;rotation:330;" o:allowincell="f" fillcolor="#404040" filled="true" stroked="false" type="#_x0000_t136">
          <v:fill opacity="0.400000"/>
          <v:textpath style="font-family:&quot;STSong&quot;;font-size:20;v-text-kern:t;mso-text-shadow:auto" string="仅供内部审核"/>
        </v:shape>
      </w:pict>
    </w:r>
    <w:r>
      <w:pict>
        <v:shape id="PowerPlusWaterMarkObject526" style="position:absolute;margin-left:-13.08pt;margin-top:776.106pt;mso-position-vertical-relative:page;mso-position-horizontal-relative:page;width:119.4pt;height:18.85pt;z-index:-251416576;rotation:330;" o:allowincell="f" fillcolor="#404040" filled="true" stroked="false" type="#_x0000_t136">
          <v:fill opacity="0.400000"/>
          <v:textpath style="font-family:&quot;STSong&quot;;font-size:20;v-text-kern:t;mso-text-shadow:auto" string="仅供内部审核"/>
        </v:shape>
      </w:pict>
    </w:r>
    <w:r>
      <w:pict>
        <v:shape id="PowerPlusWaterMarkObject528" style="position:absolute;margin-left:491.92pt;margin-top:532.106pt;mso-position-vertical-relative:page;mso-position-horizontal-relative:page;width:119.4pt;height:18.85pt;z-index:-251419648;rotation:330;" o:allowincell="f" fillcolor="#404040" filled="true" stroked="false" type="#_x0000_t136">
          <v:fill opacity="0.400000"/>
          <v:textpath style="font-family:&quot;STSong&quot;;font-size:20;v-text-kern:t;mso-text-shadow:auto" string="仅供内部审核"/>
        </v:shape>
      </w:pict>
    </w:r>
    <w:r>
      <w:pict>
        <v:shape id="PowerPlusWaterMarkObject530" style="position:absolute;margin-left:391.92pt;margin-top:776.106pt;mso-position-vertical-relative:page;mso-position-horizontal-relative:page;width:119.4pt;height:18.85pt;z-index:-251417600;rotation:330;" o:allowincell="f" fillcolor="#404040" filled="true" stroked="false" type="#_x0000_t136">
          <v:fill opacity="0.400000"/>
          <v:textpath style="font-family:&quot;STSong&quot;;font-size:20;v-text-kern:t;mso-text-shadow:auto" string="仅供内部审核"/>
        </v:shape>
      </w:pict>
    </w:r>
    <w:r>
      <w:pict>
        <v:shape id="_x0000_s532" style="position:absolute;margin-left:30pt;margin-top:29.5pt;mso-position-vertical-relative:page;mso-position-horizontal-relative:page;width:535pt;height:1pt;z-index:-2514135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750" style="position:absolute;margin-left:86.92pt;margin-top:27.7862pt;mso-position-vertical-relative:text;mso-position-horizontal-relative:text;width:119.4pt;height:18.85pt;z-index:-251403264;rotation:330;" fillcolor="#404040" filled="true" stroked="false" type="#_x0000_t136">
          <v:fill opacity="0.400000"/>
          <v:textpath style="font-family:&quot;STSong&quot;;font-size:20;v-text-kern:t;mso-text-shadow:auto" string="仅供内部审核"/>
        </v:shape>
      </w:pict>
    </w:r>
    <w:r>
      <w:pict>
        <v:shape id="PowerPlusWaterMarkObject752" style="position:absolute;margin-left:-13.08pt;margin-top:288.105pt;mso-position-vertical-relative:page;mso-position-horizontal-relative:page;width:119.4pt;height:18.85pt;z-index:-251406336;rotation:330;" o:allowincell="f" fillcolor="#404040" filled="true" stroked="false" type="#_x0000_t136">
          <v:fill opacity="0.400000"/>
          <v:textpath style="font-family:&quot;STSong&quot;;font-size:20;v-text-kern:t;mso-text-shadow:auto" string="仅供内部审核"/>
        </v:shape>
      </w:pict>
    </w:r>
    <w:r>
      <w:pict>
        <v:shape id="PowerPlusWaterMarkObject754" style="position:absolute;margin-left:491.92pt;margin-top:44.1055pt;mso-position-vertical-relative:page;mso-position-horizontal-relative:page;width:119.4pt;height:18.85pt;z-index:-251404288;rotation:330;" o:allowincell="f" fillcolor="#404040" filled="true" stroked="false" type="#_x0000_t136">
          <v:fill opacity="0.400000"/>
          <v:textpath style="font-family:&quot;STSong&quot;;font-size:20;v-text-kern:t;mso-text-shadow:auto" string="仅供内部审核"/>
        </v:shape>
      </w:pict>
    </w:r>
    <w:r>
      <w:pict>
        <v:shape id="PowerPlusWaterMarkObject756" style="position:absolute;margin-left:391.92pt;margin-top:288.105pt;mso-position-vertical-relative:page;mso-position-horizontal-relative:page;width:119.4pt;height:18.85pt;z-index:-251407360;rotation:330;" o:allowincell="f" fillcolor="#404040" filled="true" stroked="false" type="#_x0000_t136">
          <v:fill opacity="0.400000"/>
          <v:textpath style="font-family:&quot;STSong&quot;;font-size:20;v-text-kern:t;mso-text-shadow:auto" string="仅供内部审核"/>
        </v:shape>
      </w:pict>
    </w:r>
    <w:r>
      <w:pict>
        <v:shape id="PowerPlusWaterMarkObject758" style="position:absolute;margin-left:86.92pt;margin-top:532.106pt;mso-position-vertical-relative:page;mso-position-horizontal-relative:page;width:119.4pt;height:18.85pt;z-index:-251410432;rotation:330;" o:allowincell="f" fillcolor="#404040" filled="true" stroked="false" type="#_x0000_t136">
          <v:fill opacity="0.400000"/>
          <v:textpath style="font-family:&quot;STSong&quot;;font-size:20;v-text-kern:t;mso-text-shadow:auto" string="仅供内部审核"/>
        </v:shape>
      </w:pict>
    </w:r>
    <w:r>
      <w:pict>
        <v:shape id="PowerPlusWaterMarkObject760" style="position:absolute;margin-left:-13.08pt;margin-top:776.106pt;mso-position-vertical-relative:page;mso-position-horizontal-relative:page;width:119.4pt;height:18.85pt;z-index:-251408384;rotation:330;" o:allowincell="f" fillcolor="#404040" filled="true" stroked="false" type="#_x0000_t136">
          <v:fill opacity="0.400000"/>
          <v:textpath style="font-family:&quot;STSong&quot;;font-size:20;v-text-kern:t;mso-text-shadow:auto" string="仅供内部审核"/>
        </v:shape>
      </w:pict>
    </w:r>
    <w:r>
      <w:pict>
        <v:shape id="PowerPlusWaterMarkObject762" style="position:absolute;margin-left:491.92pt;margin-top:532.106pt;mso-position-vertical-relative:page;mso-position-horizontal-relative:page;width:119.4pt;height:18.85pt;z-index:-251411456;rotation:330;" o:allowincell="f" fillcolor="#404040" filled="true" stroked="false" type="#_x0000_t136">
          <v:fill opacity="0.400000"/>
          <v:textpath style="font-family:&quot;STSong&quot;;font-size:20;v-text-kern:t;mso-text-shadow:auto" string="仅供内部审核"/>
        </v:shape>
      </w:pict>
    </w:r>
    <w:r>
      <w:pict>
        <v:shape id="PowerPlusWaterMarkObject764" style="position:absolute;margin-left:391.92pt;margin-top:776.106pt;mso-position-vertical-relative:page;mso-position-horizontal-relative:page;width:119.4pt;height:18.85pt;z-index:-251409408;rotation:330;" o:allowincell="f" fillcolor="#404040" filled="true" stroked="false" type="#_x0000_t136">
          <v:fill opacity="0.400000"/>
          <v:textpath style="font-family:&quot;STSong&quot;;font-size:20;v-text-kern:t;mso-text-shadow:auto" string="仅供内部审核"/>
        </v:shape>
      </w:pict>
    </w:r>
    <w:r>
      <w:pict>
        <v:shape id="_x0000_s766" style="position:absolute;margin-left:30pt;margin-top:29.5pt;mso-position-vertical-relative:page;mso-position-horizontal-relative:page;width:535pt;height:1pt;z-index:-25140531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768" style="position:absolute;margin-left:86.92pt;margin-top:27.7862pt;mso-position-vertical-relative:text;mso-position-horizontal-relative:text;width:119.4pt;height:18.85pt;z-index:-251394048;rotation:330;" fillcolor="#404040" filled="true" stroked="false" type="#_x0000_t136">
          <v:fill opacity="0.400000"/>
          <v:textpath style="font-family:&quot;STSong&quot;;font-size:20;v-text-kern:t;mso-text-shadow:auto" string="仅供内部审核"/>
        </v:shape>
      </w:pict>
    </w:r>
    <w:r>
      <w:pict>
        <v:shape id="PowerPlusWaterMarkObject770" style="position:absolute;margin-left:-13.08pt;margin-top:288.105pt;mso-position-vertical-relative:page;mso-position-horizontal-relative:page;width:119.4pt;height:18.85pt;z-index:-251399168;rotation:330;" o:allowincell="f" fillcolor="#404040" filled="true" stroked="false" type="#_x0000_t136">
          <v:fill opacity="0.400000"/>
          <v:textpath style="font-family:&quot;STSong&quot;;font-size:20;v-text-kern:t;mso-text-shadow:auto" string="仅供内部审核"/>
        </v:shape>
      </w:pict>
    </w:r>
    <w:r>
      <w:pict>
        <v:shape id="PowerPlusWaterMarkObject772" style="position:absolute;margin-left:491.92pt;margin-top:44.1055pt;mso-position-vertical-relative:page;mso-position-horizontal-relative:page;width:119.4pt;height:18.85pt;z-index:-251395072;rotation:330;" o:allowincell="f" fillcolor="#404040" filled="true" stroked="false" type="#_x0000_t136">
          <v:fill opacity="0.400000"/>
          <v:textpath style="font-family:&quot;STSong&quot;;font-size:20;v-text-kern:t;mso-text-shadow:auto" string="仅供内部审核"/>
        </v:shape>
      </w:pict>
    </w:r>
    <w:r>
      <w:pict>
        <v:shape id="PowerPlusWaterMarkObject774" style="position:absolute;margin-left:391.92pt;margin-top:288.105pt;mso-position-vertical-relative:page;mso-position-horizontal-relative:page;width:119.4pt;height:18.85pt;z-index:-251401216;rotation:330;" o:allowincell="f" fillcolor="#404040" filled="true" stroked="false" type="#_x0000_t136">
          <v:fill opacity="0.400000"/>
          <v:textpath style="font-family:&quot;STSong&quot;;font-size:20;v-text-kern:t;mso-text-shadow:auto" string="仅供内部审核"/>
        </v:shape>
      </w:pict>
    </w:r>
    <w:r>
      <w:pict>
        <v:shape id="PowerPlusWaterMarkObject776" style="position:absolute;margin-left:86.92pt;margin-top:532.106pt;mso-position-vertical-relative:page;mso-position-horizontal-relative:page;width:119.4pt;height:18.85pt;z-index:-251400192;rotation:330;" o:allowincell="f" fillcolor="#404040" filled="true" stroked="false" type="#_x0000_t136">
          <v:fill opacity="0.400000"/>
          <v:textpath style="font-family:&quot;STSong&quot;;font-size:20;v-text-kern:t;mso-text-shadow:auto" string="仅供内部审核"/>
        </v:shape>
      </w:pict>
    </w:r>
    <w:r>
      <w:pict>
        <v:shape id="PowerPlusWaterMarkObject778" style="position:absolute;margin-left:-13.08pt;margin-top:776.106pt;mso-position-vertical-relative:page;mso-position-horizontal-relative:page;width:119.4pt;height:18.85pt;z-index:-251398144;rotation:330;" o:allowincell="f" fillcolor="#404040" filled="true" stroked="false" type="#_x0000_t136">
          <v:fill opacity="0.400000"/>
          <v:textpath style="font-family:&quot;STSong&quot;;font-size:20;v-text-kern:t;mso-text-shadow:auto" string="仅供内部审核"/>
        </v:shape>
      </w:pict>
    </w:r>
    <w:r>
      <w:pict>
        <v:shape id="PowerPlusWaterMarkObject780" style="position:absolute;margin-left:491.92pt;margin-top:532.106pt;mso-position-vertical-relative:page;mso-position-horizontal-relative:page;width:119.4pt;height:18.85pt;z-index:-251402240;rotation:330;" o:allowincell="f" fillcolor="#404040" filled="true" stroked="false" type="#_x0000_t136">
          <v:fill opacity="0.400000"/>
          <v:textpath style="font-family:&quot;STSong&quot;;font-size:20;v-text-kern:t;mso-text-shadow:auto" string="仅供内部审核"/>
        </v:shape>
      </w:pict>
    </w:r>
    <w:r>
      <w:pict>
        <v:shape id="PowerPlusWaterMarkObject782" style="position:absolute;margin-left:391.92pt;margin-top:776.106pt;mso-position-vertical-relative:page;mso-position-horizontal-relative:page;width:119.4pt;height:18.85pt;z-index:-251397120;rotation:330;" o:allowincell="f" fillcolor="#404040" filled="true" stroked="false" type="#_x0000_t136">
          <v:fill opacity="0.400000"/>
          <v:textpath style="font-family:&quot;STSong&quot;;font-size:20;v-text-kern:t;mso-text-shadow:auto" string="仅供内部审核"/>
        </v:shape>
      </w:pict>
    </w:r>
    <w:r>
      <w:pict>
        <v:shape id="_x0000_s784" style="position:absolute;margin-left:30pt;margin-top:29.5pt;mso-position-vertical-relative:page;mso-position-horizontal-relative:page;width:535pt;height:1pt;z-index:-2513960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491.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86.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13.08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776.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山西广播电视大学吕梁分校兴县工作站2025年单位预算公开报告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68" style="position:absolute;margin-left:86.92pt;margin-top:27.7862pt;mso-position-vertical-relative:text;mso-position-horizontal-relative:text;width:119.4pt;height:18.85pt;z-index:-251616256;rotation:330;" fillcolor="#404040" filled="true" stroked="false" type="#_x0000_t136">
          <v:fill opacity="0.400000"/>
          <v:textpath style="font-family:&quot;STSong&quot;;font-size:20;v-text-kern:t;mso-text-shadow:auto" string="仅供内部审核"/>
        </v:shape>
      </w:pict>
    </w:r>
    <w:r>
      <w:pict>
        <v:shape id="PowerPlusWaterMarkObject70" style="position:absolute;margin-left:-13.08pt;margin-top:288.105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13.08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86" style="position:absolute;margin-left:30pt;margin-top:29.5pt;mso-position-vertical-relative:page;mso-position-horizontal-relative:page;width:782pt;height:1pt;z-index:-251611136;" o:allowincell="f" filled="false" strokecolor="#646464" strokeweight="1.00pt" coordsize="15640,20" coordorigin="0,0" path="m0,10l15640,10e">
          <v:stroke joinstyle="miter" miterlimit="10"/>
        </v:shape>
      </w:pict>
    </w:r>
    <w:r>
      <w:pict>
        <v:shape id="PowerPlusWaterMarkObject88" style="position:absolute;margin-left:280.957pt;margin-top:406.395pt;mso-position-vertical-relative:page;mso-position-horizontal-relative:page;width:609.35pt;height:22.25pt;z-index:-25161523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90" style="position:absolute;margin-left:86.92pt;margin-top:287.106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5.0434pt;margin-top:406.395pt;mso-position-vertical-relative:page;mso-position-horizontal-relative:page;width:609.35pt;height:22.25pt;z-index:-25161318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94" style="position:absolute;margin-left:638.92pt;margin-top:529.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312.92pt;margin-top:45.1055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638.92pt;margin-top:45.1055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13.08pt;margin-top:28.7862pt;mso-position-vertical-relative:text;mso-position-horizontal-relative:text;width:119.4pt;height:18.85pt;z-index:-2516080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山西广播电视大学吕梁分校兴县工作站2025年单位预算公开报告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02" style="position:absolute;margin-left:86.92pt;margin-top:27.7862pt;mso-position-vertical-relative:text;mso-position-horizontal-relative:text;width:119.4pt;height:18.85pt;z-index:-251598848;rotation:330;" fillcolor="#404040" filled="true" stroked="false" type="#_x0000_t136">
          <v:fill opacity="0.400000"/>
          <v:textpath style="font-family:&quot;STSong&quot;;font-size:20;v-text-kern:t;mso-text-shadow:auto" string="仅供内部审核"/>
        </v:shape>
      </w:pict>
    </w:r>
    <w:r>
      <w:pict>
        <v:shape id="PowerPlusWaterMarkObject104" style="position:absolute;margin-left:491.92pt;margin-top:44.1055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06" style="position:absolute;margin-left:-13.08pt;margin-top:288.105pt;mso-position-vertical-relative:page;mso-position-horizontal-relative:page;width:119.4pt;height:18.85pt;z-index:-251606016;rotation:330;" o:allowincell="f" fillcolor="#404040" filled="true" stroked="false" type="#_x0000_t136">
          <v:fill opacity="0.400000"/>
          <v:textpath style="font-family:&quot;STSong&quot;;font-size:20;v-text-kern:t;mso-text-shadow:auto" string="仅供内部审核"/>
        </v:shape>
      </w:pict>
    </w:r>
    <w:r>
      <w:pict>
        <v:shape id="WordPictureWatermark108" style="position:absolute;margin-left:395.367pt;margin-top:259.52pt;mso-position-vertical-relative:page;mso-position-horizontal-relative:page;width:112.65pt;height:75.9pt;z-index:-251607040;" o:allowincell="f" filled="false" stroked="false" type="#_x0000_t75">
          <v:imagedata o:title="" r:id="rId1"/>
        </v:shape>
      </w:pict>
    </w:r>
    <w:r>
      <w:pict>
        <v:shape id="PowerPlusWaterMarkObject110" style="position:absolute;margin-left:86.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491.92pt;margin-top:532.106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13.08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391.92pt;margin-top:776.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_x0000_s118" style="position:absolute;margin-left:30pt;margin-top:29.5pt;mso-position-vertical-relative:page;mso-position-horizontal-relative:page;width:535pt;height:1pt;z-index:-2516008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20"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2" style="position:absolute;margin-left:493.62pt;margin-top:72.8103pt;mso-position-vertical-relative:page;mso-position-horizontal-relative:page;width:32.1pt;height:7.2pt;z-index:-251588608;" o:allowincell="f" fillcolor="#212529" filled="true" stroked="false" type="#_x0000_t136">
          <v:textpath style="font-family:&quot;SimSun&quot;;font-size:7;v-text-kern:t;mso-text-shadow:auto" string="算公开表4"/>
        </v:shape>
      </w:pict>
    </w:r>
    <w:r>
      <w:pict>
        <v:shape id="PowerPlusWaterMarkObject124" style="position:absolute;margin-left:491.92pt;margin-top:44.1055pt;mso-position-vertical-relative:page;mso-position-horizontal-relative:page;width:119.4pt;height:18.85pt;z-index:-251589632;rotation:330;" o:allowincell="f" fillcolor="#404040" filled="true" stroked="false" type="#_x0000_t136">
          <v:fill opacity="0.400000"/>
          <v:textpath style="font-family:&quot;STSong&quot;;font-size:20;v-text-kern:t;mso-text-shadow:auto" string="仅供内部审核"/>
        </v:shape>
      </w:pict>
    </w:r>
    <w:r>
      <w:pict>
        <v:shape id="PowerPlusWaterMarkObject126" style="position:absolute;margin-left:405.833pt;margin-top:325.754pt;mso-position-vertical-relative:page;mso-position-horizontal-relative:page;width:7.75pt;height:7.9pt;z-index:-251595776;" o:allowincell="f" fillcolor="#212529" filled="true" stroked="false" type="#_x0000_t136">
          <v:textpath style="font-family:&quot;SimSun&quot;;font-size:7.5;v-text-kern:t;mso-text-shadow:auto" string="42"/>
        </v:shape>
      </w:pict>
    </w:r>
    <w:r>
      <w:pict>
        <v:shape id="PowerPlusWaterMarkObject128" style="position:absolute;margin-left:-13.08pt;margin-top:288.10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6800;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491.92pt;margin-top:532.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13.08pt;margin-top:776.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906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42" style="position:absolute;margin-left:94.1286pt;margin-top:66.2782pt;mso-position-vertical-relative:page;mso-position-horizontal-relative:page;width:40.05pt;height:7.9pt;z-index:-251580416;" o:allowincell="f" fillcolor="#212529" filled="true" stroked="false" type="#_x0000_t136">
          <v:textpath style="font-family:&quot;SimSun&quot;;font-size:7.5;v-text-kern:t;mso-text-shadow:auto" string="政拨款结转"/>
        </v:shape>
      </w:pict>
    </w:r>
    <w:r>
      <w:pict>
        <v:shape id="PowerPlusWaterMarkObject144" style="position:absolute;margin-left:86.92pt;margin-top:27.7862pt;mso-position-vertical-relative:text;mso-position-horizontal-relative:text;width:119.4pt;height:18.85pt;z-index:-251577344;rotation:330;" fillcolor="#404040" filled="true" stroked="false" type="#_x0000_t136">
          <v:fill opacity="0.400000"/>
          <v:textpath style="font-family:&quot;STSong&quot;;font-size:20;v-text-kern:t;mso-text-shadow:auto" string="仅供内部审核"/>
        </v:shape>
      </w:pict>
    </w:r>
    <w:r>
      <w:pict>
        <v:shape id="PowerPlusWaterMarkObject146" style="position:absolute;margin-left:-13.08pt;margin-top:288.10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491.92pt;margin-top:44.1055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391.92pt;margin-top:288.105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86.92pt;margin-top:532.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13.08pt;margin-top:776.106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491.92pt;margin-top:532.106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58" style="position:absolute;margin-left:391.92pt;margin-top:776.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_x0000_s160" style="position:absolute;margin-left:30pt;margin-top:29.5pt;mso-position-vertical-relative:page;mso-position-horizontal-relative:page;width:535pt;height:1pt;z-index:-25157939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山西广播电视大学吕梁分校兴县工作站2025年单位预算公开报告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45.xml"/><Relationship Id="rId98" Type="http://schemas.openxmlformats.org/officeDocument/2006/relationships/image" Target="media/image30.png"/><Relationship Id="rId97" Type="http://schemas.openxmlformats.org/officeDocument/2006/relationships/footer" Target="footer44.xml"/><Relationship Id="rId96" Type="http://schemas.openxmlformats.org/officeDocument/2006/relationships/image" Target="media/image29.png"/><Relationship Id="rId95" Type="http://schemas.openxmlformats.org/officeDocument/2006/relationships/footer" Target="footer43.xml"/><Relationship Id="rId94" Type="http://schemas.openxmlformats.org/officeDocument/2006/relationships/image" Target="media/image28.png"/><Relationship Id="rId93" Type="http://schemas.openxmlformats.org/officeDocument/2006/relationships/footer" Target="footer42.xml"/><Relationship Id="rId92" Type="http://schemas.openxmlformats.org/officeDocument/2006/relationships/image" Target="media/image27.png"/><Relationship Id="rId91" Type="http://schemas.openxmlformats.org/officeDocument/2006/relationships/footer" Target="footer41.xml"/><Relationship Id="rId90" Type="http://schemas.openxmlformats.org/officeDocument/2006/relationships/image" Target="media/image26.png"/><Relationship Id="rId9" Type="http://schemas.openxmlformats.org/officeDocument/2006/relationships/footer" Target="footer3.xml"/><Relationship Id="rId89" Type="http://schemas.openxmlformats.org/officeDocument/2006/relationships/footer" Target="footer40.xml"/><Relationship Id="rId88" Type="http://schemas.openxmlformats.org/officeDocument/2006/relationships/image" Target="media/image25.png"/><Relationship Id="rId87" Type="http://schemas.openxmlformats.org/officeDocument/2006/relationships/footer" Target="footer39.xml"/><Relationship Id="rId86" Type="http://schemas.openxmlformats.org/officeDocument/2006/relationships/image" Target="media/image24.png"/><Relationship Id="rId85" Type="http://schemas.openxmlformats.org/officeDocument/2006/relationships/footer" Target="footer38.xml"/><Relationship Id="rId84" Type="http://schemas.openxmlformats.org/officeDocument/2006/relationships/image" Target="media/image23.png"/><Relationship Id="rId83" Type="http://schemas.openxmlformats.org/officeDocument/2006/relationships/footer" Target="footer37.xml"/><Relationship Id="rId82" Type="http://schemas.openxmlformats.org/officeDocument/2006/relationships/image" Target="media/image22.png"/><Relationship Id="rId81" Type="http://schemas.openxmlformats.org/officeDocument/2006/relationships/footer" Target="footer36.xml"/><Relationship Id="rId80" Type="http://schemas.openxmlformats.org/officeDocument/2006/relationships/image" Target="media/image21.png"/><Relationship Id="rId8" Type="http://schemas.openxmlformats.org/officeDocument/2006/relationships/header" Target="header5.xml"/><Relationship Id="rId79" Type="http://schemas.openxmlformats.org/officeDocument/2006/relationships/footer" Target="footer35.xml"/><Relationship Id="rId78" Type="http://schemas.openxmlformats.org/officeDocument/2006/relationships/image" Target="media/image20.png"/><Relationship Id="rId77" Type="http://schemas.openxmlformats.org/officeDocument/2006/relationships/footer" Target="footer34.xml"/><Relationship Id="rId76" Type="http://schemas.openxmlformats.org/officeDocument/2006/relationships/image" Target="media/image19.png"/><Relationship Id="rId75" Type="http://schemas.openxmlformats.org/officeDocument/2006/relationships/footer" Target="footer33.xml"/><Relationship Id="rId74" Type="http://schemas.openxmlformats.org/officeDocument/2006/relationships/image" Target="media/image18.png"/><Relationship Id="rId73" Type="http://schemas.openxmlformats.org/officeDocument/2006/relationships/footer" Target="footer32.xml"/><Relationship Id="rId72" Type="http://schemas.openxmlformats.org/officeDocument/2006/relationships/image" Target="media/image17.png"/><Relationship Id="rId71" Type="http://schemas.openxmlformats.org/officeDocument/2006/relationships/footer" Target="footer31.xml"/><Relationship Id="rId70" Type="http://schemas.openxmlformats.org/officeDocument/2006/relationships/image" Target="media/image16.png"/><Relationship Id="rId7" Type="http://schemas.openxmlformats.org/officeDocument/2006/relationships/footer" Target="footer2.xml"/><Relationship Id="rId69" Type="http://schemas.openxmlformats.org/officeDocument/2006/relationships/footer" Target="footer30.xml"/><Relationship Id="rId68" Type="http://schemas.openxmlformats.org/officeDocument/2006/relationships/image" Target="media/image15.png"/><Relationship Id="rId67" Type="http://schemas.openxmlformats.org/officeDocument/2006/relationships/footer" Target="footer29.xml"/><Relationship Id="rId66" Type="http://schemas.openxmlformats.org/officeDocument/2006/relationships/image" Target="media/image14.png"/><Relationship Id="rId65" Type="http://schemas.openxmlformats.org/officeDocument/2006/relationships/footer" Target="footer28.xml"/><Relationship Id="rId64" Type="http://schemas.openxmlformats.org/officeDocument/2006/relationships/image" Target="media/image13.png"/><Relationship Id="rId63" Type="http://schemas.openxmlformats.org/officeDocument/2006/relationships/footer" Target="footer27.xml"/><Relationship Id="rId62" Type="http://schemas.openxmlformats.org/officeDocument/2006/relationships/image" Target="media/image12.png"/><Relationship Id="rId61" Type="http://schemas.openxmlformats.org/officeDocument/2006/relationships/footer" Target="footer26.xml"/><Relationship Id="rId60" Type="http://schemas.openxmlformats.org/officeDocument/2006/relationships/image" Target="media/image11.png"/><Relationship Id="rId6" Type="http://schemas.openxmlformats.org/officeDocument/2006/relationships/footer" Target="footer1.xml"/><Relationship Id="rId59" Type="http://schemas.openxmlformats.org/officeDocument/2006/relationships/footer" Target="footer25.xml"/><Relationship Id="rId58" Type="http://schemas.openxmlformats.org/officeDocument/2006/relationships/image" Target="media/image10.png"/><Relationship Id="rId57" Type="http://schemas.openxmlformats.org/officeDocument/2006/relationships/footer" Target="footer24.xml"/><Relationship Id="rId56" Type="http://schemas.openxmlformats.org/officeDocument/2006/relationships/header" Target="header25.xml"/><Relationship Id="rId55" Type="http://schemas.openxmlformats.org/officeDocument/2006/relationships/image" Target="media/image9.png"/><Relationship Id="rId54" Type="http://schemas.openxmlformats.org/officeDocument/2006/relationships/footer" Target="footer23.xml"/><Relationship Id="rId53" Type="http://schemas.openxmlformats.org/officeDocument/2006/relationships/header" Target="header24.xml"/><Relationship Id="rId52" Type="http://schemas.openxmlformats.org/officeDocument/2006/relationships/image" Target="media/image8.png"/><Relationship Id="rId51" Type="http://schemas.openxmlformats.org/officeDocument/2006/relationships/footer" Target="footer22.xml"/><Relationship Id="rId50" Type="http://schemas.openxmlformats.org/officeDocument/2006/relationships/header" Target="header23.xml"/><Relationship Id="rId5" Type="http://schemas.openxmlformats.org/officeDocument/2006/relationships/header" Target="header4.xml"/><Relationship Id="rId49" Type="http://schemas.openxmlformats.org/officeDocument/2006/relationships/image" Target="media/image7.png"/><Relationship Id="rId48" Type="http://schemas.openxmlformats.org/officeDocument/2006/relationships/footer" Target="footer21.xml"/><Relationship Id="rId47" Type="http://schemas.openxmlformats.org/officeDocument/2006/relationships/header" Target="header22.xml"/><Relationship Id="rId46" Type="http://schemas.openxmlformats.org/officeDocument/2006/relationships/footer" Target="footer20.xml"/><Relationship Id="rId45" Type="http://schemas.openxmlformats.org/officeDocument/2006/relationships/header" Target="header21.xml"/><Relationship Id="rId44" Type="http://schemas.openxmlformats.org/officeDocument/2006/relationships/image" Target="media/image6.png"/><Relationship Id="rId43" Type="http://schemas.openxmlformats.org/officeDocument/2006/relationships/footer" Target="footer19.xml"/><Relationship Id="rId42" Type="http://schemas.openxmlformats.org/officeDocument/2006/relationships/image" Target="media/image5.png"/><Relationship Id="rId41" Type="http://schemas.openxmlformats.org/officeDocument/2006/relationships/footer" Target="footer18.xml"/><Relationship Id="rId40" Type="http://schemas.openxmlformats.org/officeDocument/2006/relationships/header" Target="header20.xml"/><Relationship Id="rId4" Type="http://schemas.openxmlformats.org/officeDocument/2006/relationships/header" Target="header3.xml"/><Relationship Id="rId39" Type="http://schemas.openxmlformats.org/officeDocument/2006/relationships/image" Target="media/image4.png"/><Relationship Id="rId38" Type="http://schemas.openxmlformats.org/officeDocument/2006/relationships/footer" Target="footer17.xml"/><Relationship Id="rId37" Type="http://schemas.openxmlformats.org/officeDocument/2006/relationships/header" Target="header19.xml"/><Relationship Id="rId36" Type="http://schemas.openxmlformats.org/officeDocument/2006/relationships/image" Target="media/image3.png"/><Relationship Id="rId35" Type="http://schemas.openxmlformats.org/officeDocument/2006/relationships/footer" Target="footer16.xml"/><Relationship Id="rId34" Type="http://schemas.openxmlformats.org/officeDocument/2006/relationships/header" Target="header18.xml"/><Relationship Id="rId33" Type="http://schemas.openxmlformats.org/officeDocument/2006/relationships/footer" Target="footer15.xml"/><Relationship Id="rId32" Type="http://schemas.openxmlformats.org/officeDocument/2006/relationships/header" Target="header17.xml"/><Relationship Id="rId31" Type="http://schemas.openxmlformats.org/officeDocument/2006/relationships/footer" Target="footer14.xml"/><Relationship Id="rId30" Type="http://schemas.openxmlformats.org/officeDocument/2006/relationships/header" Target="header16.xml"/><Relationship Id="rId3" Type="http://schemas.openxmlformats.org/officeDocument/2006/relationships/image" Target="media/image1.png"/><Relationship Id="rId29" Type="http://schemas.openxmlformats.org/officeDocument/2006/relationships/footer" Target="footer13.xml"/><Relationship Id="rId28" Type="http://schemas.openxmlformats.org/officeDocument/2006/relationships/header" Target="header15.xml"/><Relationship Id="rId27" Type="http://schemas.openxmlformats.org/officeDocument/2006/relationships/footer" Target="footer12.xml"/><Relationship Id="rId26" Type="http://schemas.openxmlformats.org/officeDocument/2006/relationships/header" Target="header14.xml"/><Relationship Id="rId25" Type="http://schemas.openxmlformats.org/officeDocument/2006/relationships/footer" Target="footer11.xml"/><Relationship Id="rId24" Type="http://schemas.openxmlformats.org/officeDocument/2006/relationships/header" Target="header13.xml"/><Relationship Id="rId23" Type="http://schemas.openxmlformats.org/officeDocument/2006/relationships/footer" Target="footer10.xml"/><Relationship Id="rId22" Type="http://schemas.openxmlformats.org/officeDocument/2006/relationships/header" Target="header12.xml"/><Relationship Id="rId21" Type="http://schemas.openxmlformats.org/officeDocument/2006/relationships/footer" Target="footer9.xml"/><Relationship Id="rId20" Type="http://schemas.openxmlformats.org/officeDocument/2006/relationships/header" Target="header11.xml"/><Relationship Id="rId2" Type="http://schemas.openxmlformats.org/officeDocument/2006/relationships/header" Target="header2.xml"/><Relationship Id="rId19" Type="http://schemas.openxmlformats.org/officeDocument/2006/relationships/footer" Target="footer8.xml"/><Relationship Id="rId18" Type="http://schemas.openxmlformats.org/officeDocument/2006/relationships/header" Target="header10.xml"/><Relationship Id="rId17" Type="http://schemas.openxmlformats.org/officeDocument/2006/relationships/footer" Target="footer7.xml"/><Relationship Id="rId16" Type="http://schemas.openxmlformats.org/officeDocument/2006/relationships/header" Target="header9.xml"/><Relationship Id="rId15" Type="http://schemas.openxmlformats.org/officeDocument/2006/relationships/footer" Target="footer6.xml"/><Relationship Id="rId14" Type="http://schemas.openxmlformats.org/officeDocument/2006/relationships/header" Target="header8.xml"/><Relationship Id="rId13" Type="http://schemas.openxmlformats.org/officeDocument/2006/relationships/footer" Target="footer5.xml"/><Relationship Id="rId12" Type="http://schemas.openxmlformats.org/officeDocument/2006/relationships/header" Target="header7.xml"/><Relationship Id="rId116" Type="http://schemas.openxmlformats.org/officeDocument/2006/relationships/fontTable" Target="fontTable.xml"/><Relationship Id="rId115" Type="http://schemas.openxmlformats.org/officeDocument/2006/relationships/styles" Target="styles.xml"/><Relationship Id="rId114" Type="http://schemas.openxmlformats.org/officeDocument/2006/relationships/settings" Target="settings.xml"/><Relationship Id="rId113" Type="http://schemas.openxmlformats.org/officeDocument/2006/relationships/footer" Target="footer52.xml"/><Relationship Id="rId112" Type="http://schemas.openxmlformats.org/officeDocument/2006/relationships/footer" Target="footer51.xml"/><Relationship Id="rId111" Type="http://schemas.openxmlformats.org/officeDocument/2006/relationships/header" Target="header27.xml"/><Relationship Id="rId110" Type="http://schemas.openxmlformats.org/officeDocument/2006/relationships/footer" Target="footer50.xml"/><Relationship Id="rId11" Type="http://schemas.openxmlformats.org/officeDocument/2006/relationships/footer" Target="footer4.xml"/><Relationship Id="rId109" Type="http://schemas.openxmlformats.org/officeDocument/2006/relationships/header" Target="header26.xml"/><Relationship Id="rId108" Type="http://schemas.openxmlformats.org/officeDocument/2006/relationships/image" Target="media/image35.png"/><Relationship Id="rId107" Type="http://schemas.openxmlformats.org/officeDocument/2006/relationships/footer" Target="footer49.xml"/><Relationship Id="rId106" Type="http://schemas.openxmlformats.org/officeDocument/2006/relationships/image" Target="media/image34.png"/><Relationship Id="rId105" Type="http://schemas.openxmlformats.org/officeDocument/2006/relationships/footer" Target="footer48.xml"/><Relationship Id="rId104" Type="http://schemas.openxmlformats.org/officeDocument/2006/relationships/image" Target="media/image33.png"/><Relationship Id="rId103" Type="http://schemas.openxmlformats.org/officeDocument/2006/relationships/footer" Target="footer47.xml"/><Relationship Id="rId102" Type="http://schemas.openxmlformats.org/officeDocument/2006/relationships/image" Target="media/image32.png"/><Relationship Id="rId101" Type="http://schemas.openxmlformats.org/officeDocument/2006/relationships/footer" Target="footer46.xml"/><Relationship Id="rId100" Type="http://schemas.openxmlformats.org/officeDocument/2006/relationships/image" Target="media/image31.png"/><Relationship Id="rId10" Type="http://schemas.openxmlformats.org/officeDocument/2006/relationships/header" Target="header6.xml"/><Relationship Id="rId1" Type="http://schemas.openxmlformats.org/officeDocument/2006/relationships/header" Target="header1.xml"/></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2025-09-26T10:04:39Z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2025-09-26T15:27:24</vt:filetime>
  </property>
</Properties>
</file>