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520" w:lineRule="exact"/>
        <w:jc w:val="center"/>
        <w:textAlignment w:val="auto"/>
        <w:rPr>
          <w:rFonts w:hint="eastAsia"/>
          <w:b/>
          <w:bCs/>
          <w:sz w:val="36"/>
          <w:szCs w:val="28"/>
        </w:rPr>
      </w:pPr>
      <w:r>
        <w:rPr>
          <w:rFonts w:hint="eastAsia" w:ascii="黑体" w:hAnsi="黑体" w:eastAsia="黑体" w:cs="黑体"/>
          <w:b w:val="0"/>
          <w:bCs w:val="0"/>
          <w:sz w:val="36"/>
          <w:szCs w:val="28"/>
          <w:lang w:val="en-US" w:eastAsia="zh-CN"/>
        </w:rPr>
        <w:t>2022项目支出绩效</w:t>
      </w:r>
      <w:r>
        <w:rPr>
          <w:rFonts w:hint="eastAsia" w:ascii="黑体" w:hAnsi="黑体" w:eastAsia="黑体" w:cs="黑体"/>
          <w:b w:val="0"/>
          <w:bCs w:val="0"/>
          <w:sz w:val="36"/>
          <w:szCs w:val="28"/>
        </w:rPr>
        <w:t>自评报告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default" w:ascii="仿宋_GB2312" w:hAnsi="仿宋_GB2312" w:cs="仿宋_GB2312"/>
          <w:b w:val="0"/>
          <w:bCs w:val="0"/>
          <w:sz w:val="32"/>
          <w:szCs w:val="24"/>
          <w:lang w:val="en-US" w:eastAsia="zh-CN"/>
        </w:rPr>
      </w:pPr>
      <w:r>
        <w:rPr>
          <w:rFonts w:hint="eastAsia" w:ascii="仿宋_GB2312" w:hAnsi="仿宋_GB2312" w:cs="仿宋_GB2312"/>
          <w:b w:val="0"/>
          <w:bCs w:val="0"/>
          <w:sz w:val="32"/>
          <w:szCs w:val="24"/>
          <w:lang w:val="en-US" w:eastAsia="zh-CN"/>
        </w:rPr>
        <w:t>根据兴县财政局《关于开展2021年度预算项目支出绩效评价和部门整体支出绩效评价工作的通知》（兴财绩〔2021〕1122号），</w:t>
      </w:r>
      <w:r>
        <w:rPr>
          <w:rFonts w:hint="eastAsia" w:ascii="仿宋_GB2312" w:eastAsia="仿宋_GB2312"/>
          <w:sz w:val="32"/>
          <w:szCs w:val="32"/>
        </w:rPr>
        <w:t>为落实十九大提出的“全面实施绩效管理”要求和“花钱</w:t>
      </w:r>
      <w:r>
        <w:rPr>
          <w:rFonts w:hint="eastAsia" w:ascii="仿宋_GB2312"/>
          <w:sz w:val="32"/>
          <w:szCs w:val="32"/>
          <w:lang w:val="en-US" w:eastAsia="zh-CN"/>
        </w:rPr>
        <w:t>必问效，无效必问责</w:t>
      </w:r>
      <w:r>
        <w:rPr>
          <w:rFonts w:hint="eastAsia" w:ascii="仿宋_GB2312" w:eastAsia="仿宋_GB2312"/>
          <w:sz w:val="32"/>
          <w:szCs w:val="32"/>
        </w:rPr>
        <w:t>”的绩效财政理念，提高财政资金使用效益，现根据《通知》要求，结合我</w:t>
      </w:r>
      <w:r>
        <w:rPr>
          <w:rFonts w:hint="eastAsia" w:ascii="仿宋_GB2312"/>
          <w:sz w:val="32"/>
          <w:szCs w:val="32"/>
          <w:lang w:val="en-US" w:eastAsia="zh-CN"/>
        </w:rPr>
        <w:t>单位</w:t>
      </w:r>
      <w:r>
        <w:rPr>
          <w:rFonts w:hint="eastAsia" w:ascii="仿宋_GB2312" w:eastAsia="仿宋_GB2312"/>
          <w:sz w:val="32"/>
          <w:szCs w:val="32"/>
        </w:rPr>
        <w:t>实际</w:t>
      </w:r>
      <w:r>
        <w:rPr>
          <w:rFonts w:hint="eastAsia" w:ascii="仿宋_GB2312"/>
          <w:sz w:val="32"/>
          <w:szCs w:val="32"/>
          <w:lang w:val="en-US" w:eastAsia="zh-CN"/>
        </w:rPr>
        <w:t>情况</w:t>
      </w:r>
      <w:r>
        <w:rPr>
          <w:rFonts w:hint="eastAsia" w:ascii="仿宋_GB2312" w:eastAsia="仿宋_GB2312"/>
          <w:sz w:val="32"/>
          <w:szCs w:val="32"/>
        </w:rPr>
        <w:t>，就</w:t>
      </w:r>
      <w:r>
        <w:rPr>
          <w:rFonts w:hint="eastAsia" w:ascii="仿宋_GB2312"/>
          <w:sz w:val="32"/>
          <w:szCs w:val="32"/>
          <w:lang w:val="en-US" w:eastAsia="zh-CN"/>
        </w:rPr>
        <w:t>平扫黑除恶项目</w:t>
      </w:r>
      <w:r>
        <w:rPr>
          <w:rFonts w:hint="eastAsia" w:ascii="仿宋_GB2312" w:eastAsia="仿宋_GB2312"/>
          <w:sz w:val="32"/>
          <w:szCs w:val="32"/>
        </w:rPr>
        <w:t>情况报告如下：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eastAsia" w:ascii="黑体" w:hAnsi="黑体" w:eastAsia="黑体" w:cs="黑体"/>
          <w:b w:val="0"/>
          <w:bCs w:val="0"/>
          <w:sz w:val="32"/>
          <w:szCs w:val="24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24"/>
          <w:lang w:val="en-US" w:eastAsia="zh-CN"/>
        </w:rPr>
        <w:t>一、项目基本情况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3" w:firstLineChars="200"/>
        <w:jc w:val="both"/>
        <w:textAlignment w:val="auto"/>
        <w:rPr>
          <w:rFonts w:hint="eastAsia" w:ascii="黑体" w:hAnsi="黑体" w:eastAsia="黑体" w:cs="黑体"/>
          <w:b w:val="0"/>
          <w:bCs w:val="0"/>
          <w:sz w:val="32"/>
          <w:szCs w:val="24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32"/>
          <w:szCs w:val="24"/>
          <w:lang w:val="en-US" w:eastAsia="zh-CN"/>
        </w:rPr>
        <w:t>（一）项目概况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both"/>
        <w:textAlignment w:val="auto"/>
        <w:rPr>
          <w:rFonts w:hint="default" w:ascii="仿宋_GB2312" w:hAnsi="仿宋_GB2312" w:cs="仿宋_GB2312"/>
          <w:b w:val="0"/>
          <w:bCs w:val="0"/>
          <w:sz w:val="32"/>
          <w:szCs w:val="24"/>
          <w:lang w:val="en-US" w:eastAsia="zh-CN"/>
        </w:rPr>
      </w:pPr>
      <w:r>
        <w:rPr>
          <w:rFonts w:hint="eastAsia" w:ascii="仿宋_GB2312" w:hAnsi="仿宋_GB2312" w:cs="仿宋_GB2312"/>
          <w:b w:val="0"/>
          <w:bCs w:val="0"/>
          <w:sz w:val="32"/>
          <w:szCs w:val="24"/>
          <w:lang w:val="en-US" w:eastAsia="zh-CN"/>
        </w:rPr>
        <w:t>深入学习贯彻习近平总书记关于扫黑除恶斗争的重要指示批示精神，坚决落实中央、省委各项决策部署，提高政治站位，及时安排部署，广泛宣传发动，深入排查线索，强化推进举措，持续奋力攻坚，不断推动扫黑除恶专项斗争向纵深发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3" w:firstLineChars="200"/>
        <w:jc w:val="both"/>
        <w:textAlignment w:val="auto"/>
        <w:rPr>
          <w:rFonts w:hint="eastAsia" w:ascii="黑体" w:hAnsi="黑体" w:eastAsia="黑体" w:cs="黑体"/>
          <w:b w:val="0"/>
          <w:bCs w:val="0"/>
          <w:sz w:val="32"/>
          <w:szCs w:val="24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32"/>
          <w:szCs w:val="24"/>
          <w:lang w:val="en-US" w:eastAsia="zh-CN"/>
        </w:rPr>
        <w:t>（二）项目绩效目标情况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3" w:firstLineChars="200"/>
        <w:jc w:val="both"/>
        <w:textAlignment w:val="auto"/>
        <w:rPr>
          <w:rFonts w:hint="eastAsia" w:ascii="仿宋" w:hAnsi="仿宋" w:eastAsia="仿宋" w:cs="仿宋"/>
          <w:b/>
          <w:bCs/>
          <w:sz w:val="32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24"/>
          <w:lang w:val="en-US" w:eastAsia="zh-CN"/>
        </w:rPr>
        <w:t>1.年度总体目标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both"/>
        <w:textAlignment w:val="auto"/>
        <w:rPr>
          <w:rFonts w:hint="default" w:ascii="仿宋_GB2312" w:hAnsi="仿宋_GB2312" w:cs="仿宋_GB2312"/>
          <w:b w:val="0"/>
          <w:bCs w:val="0"/>
          <w:sz w:val="32"/>
          <w:szCs w:val="24"/>
          <w:lang w:val="en-US" w:eastAsia="zh-CN"/>
        </w:rPr>
      </w:pPr>
      <w:r>
        <w:rPr>
          <w:rFonts w:hint="eastAsia" w:ascii="仿宋_GB2312" w:hAnsi="仿宋_GB2312" w:cs="仿宋_GB2312"/>
          <w:b w:val="0"/>
          <w:bCs w:val="0"/>
          <w:sz w:val="32"/>
          <w:szCs w:val="24"/>
          <w:lang w:val="en-US" w:eastAsia="zh-CN"/>
        </w:rPr>
        <w:t>通过加大打财断血、打伞破网力度等工作措施，对黑恶势力犯罪案件逐案过筛，做到“一案三查”和“两个一律”复核，彻底摧毁黑恶势力经济基础，实现“三张黑伞一起打”目标。确保全县社会大局平稳安定，人民安居乐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3" w:firstLineChars="200"/>
        <w:jc w:val="both"/>
        <w:textAlignment w:val="auto"/>
        <w:rPr>
          <w:rFonts w:hint="default" w:ascii="黑体" w:hAnsi="黑体" w:eastAsia="黑体" w:cs="黑体"/>
          <w:b w:val="0"/>
          <w:bCs w:val="0"/>
          <w:sz w:val="32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24"/>
          <w:lang w:val="en-US" w:eastAsia="zh-CN"/>
        </w:rPr>
        <w:t>2.阶段性目标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eastAsia" w:ascii="仿宋_GB2312" w:hAnsi="仿宋_GB2312" w:cs="仿宋_GB2312"/>
          <w:b w:val="0"/>
          <w:bCs w:val="0"/>
          <w:sz w:val="32"/>
          <w:szCs w:val="24"/>
          <w:lang w:val="en-US" w:eastAsia="zh-CN"/>
        </w:rPr>
      </w:pPr>
      <w:r>
        <w:rPr>
          <w:rFonts w:hint="eastAsia" w:ascii="仿宋_GB2312" w:hAnsi="仿宋_GB2312" w:cs="仿宋_GB2312"/>
          <w:b w:val="0"/>
          <w:bCs w:val="0"/>
          <w:sz w:val="32"/>
          <w:szCs w:val="24"/>
          <w:lang w:val="en-US" w:eastAsia="zh-CN"/>
        </w:rPr>
        <w:t>（1）数量指标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default" w:ascii="仿宋_GB2312" w:hAnsi="仿宋_GB2312" w:cs="仿宋_GB2312"/>
          <w:b w:val="0"/>
          <w:bCs w:val="0"/>
          <w:sz w:val="32"/>
          <w:szCs w:val="24"/>
          <w:lang w:val="en-US" w:eastAsia="zh-CN"/>
        </w:rPr>
      </w:pPr>
      <w:r>
        <w:rPr>
          <w:rFonts w:hint="eastAsia" w:ascii="仿宋_GB2312" w:hAnsi="仿宋_GB2312" w:cs="仿宋_GB2312"/>
          <w:b w:val="0"/>
          <w:bCs w:val="0"/>
          <w:sz w:val="32"/>
          <w:szCs w:val="24"/>
          <w:lang w:val="en-US" w:eastAsia="zh-CN"/>
        </w:rPr>
        <w:t>扫黑除恶活动宣传，扫黑除恶成果展示（次）≥24次，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eastAsia" w:ascii="仿宋_GB2312" w:hAnsi="仿宋_GB2312" w:cs="仿宋_GB2312"/>
          <w:b w:val="0"/>
          <w:bCs w:val="0"/>
          <w:sz w:val="32"/>
          <w:szCs w:val="24"/>
          <w:lang w:val="en-US" w:eastAsia="zh-CN"/>
        </w:rPr>
      </w:pPr>
      <w:r>
        <w:rPr>
          <w:rFonts w:hint="eastAsia" w:ascii="仿宋_GB2312" w:hAnsi="仿宋_GB2312" w:cs="仿宋_GB2312"/>
          <w:b w:val="0"/>
          <w:bCs w:val="0"/>
          <w:sz w:val="32"/>
          <w:szCs w:val="24"/>
          <w:lang w:val="en-US" w:eastAsia="zh-CN"/>
        </w:rPr>
        <w:t>网络维护，督导合格率≥100%；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eastAsia" w:ascii="仿宋_GB2312" w:hAnsi="仿宋_GB2312" w:cs="仿宋_GB2312"/>
          <w:b w:val="0"/>
          <w:bCs w:val="0"/>
          <w:sz w:val="32"/>
          <w:szCs w:val="24"/>
          <w:lang w:val="en-US" w:eastAsia="zh-CN"/>
        </w:rPr>
      </w:pPr>
      <w:r>
        <w:rPr>
          <w:rFonts w:hint="eastAsia" w:ascii="仿宋_GB2312" w:hAnsi="仿宋_GB2312" w:cs="仿宋_GB2312"/>
          <w:b w:val="0"/>
          <w:bCs w:val="0"/>
          <w:sz w:val="32"/>
          <w:szCs w:val="24"/>
          <w:lang w:val="en-US" w:eastAsia="zh-CN"/>
        </w:rPr>
        <w:t>质量指标：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right="0" w:rightChars="0"/>
        <w:jc w:val="both"/>
        <w:textAlignment w:val="auto"/>
        <w:rPr>
          <w:rFonts w:hint="default" w:ascii="仿宋_GB2312" w:hAnsi="仿宋_GB2312" w:cs="仿宋_GB2312"/>
          <w:b w:val="0"/>
          <w:bCs w:val="0"/>
          <w:sz w:val="32"/>
          <w:szCs w:val="24"/>
          <w:lang w:val="en-US" w:eastAsia="zh-CN"/>
        </w:rPr>
      </w:pPr>
      <w:r>
        <w:rPr>
          <w:rFonts w:hint="eastAsia" w:ascii="仿宋_GB2312" w:hAnsi="仿宋_GB2312" w:cs="仿宋_GB2312"/>
          <w:b w:val="0"/>
          <w:bCs w:val="0"/>
          <w:sz w:val="32"/>
          <w:szCs w:val="24"/>
          <w:lang w:val="en-US" w:eastAsia="zh-CN"/>
        </w:rPr>
        <w:t>扫黑除恶专项监督检查工作达标率100（%），检察机关起诉审结率100%。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right="0" w:rightChars="0" w:firstLine="640" w:firstLineChars="200"/>
        <w:jc w:val="both"/>
        <w:textAlignment w:val="auto"/>
        <w:rPr>
          <w:rFonts w:hint="eastAsia" w:ascii="仿宋_GB2312" w:hAnsi="仿宋_GB2312" w:cs="仿宋_GB2312"/>
          <w:b w:val="0"/>
          <w:bCs w:val="0"/>
          <w:sz w:val="32"/>
          <w:szCs w:val="24"/>
          <w:lang w:val="en-US" w:eastAsia="zh-CN"/>
        </w:rPr>
      </w:pPr>
      <w:r>
        <w:rPr>
          <w:rFonts w:hint="eastAsia" w:ascii="仿宋_GB2312" w:hAnsi="仿宋_GB2312" w:cs="仿宋_GB2312"/>
          <w:b w:val="0"/>
          <w:bCs w:val="0"/>
          <w:sz w:val="32"/>
          <w:szCs w:val="24"/>
          <w:lang w:val="en-US" w:eastAsia="zh-CN"/>
        </w:rPr>
        <w:t>（3）时效指标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eastAsia" w:ascii="仿宋_GB2312" w:hAnsi="仿宋_GB2312" w:cs="仿宋_GB2312"/>
          <w:b w:val="0"/>
          <w:bCs w:val="0"/>
          <w:sz w:val="32"/>
          <w:szCs w:val="24"/>
          <w:lang w:val="en-US" w:eastAsia="zh-CN"/>
        </w:rPr>
      </w:pPr>
      <w:r>
        <w:rPr>
          <w:rFonts w:hint="eastAsia" w:ascii="仿宋_GB2312" w:hAnsi="仿宋_GB2312" w:cs="仿宋_GB2312"/>
          <w:b w:val="0"/>
          <w:bCs w:val="0"/>
          <w:sz w:val="32"/>
          <w:szCs w:val="24"/>
          <w:lang w:val="en-US" w:eastAsia="zh-CN"/>
        </w:rPr>
        <w:t>线索核查及时率100%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eastAsia" w:ascii="仿宋_GB2312" w:hAnsi="仿宋_GB2312" w:cs="仿宋_GB2312"/>
          <w:b w:val="0"/>
          <w:bCs w:val="0"/>
          <w:sz w:val="32"/>
          <w:szCs w:val="24"/>
          <w:lang w:val="en-US" w:eastAsia="zh-CN"/>
        </w:rPr>
      </w:pPr>
      <w:r>
        <w:rPr>
          <w:rFonts w:hint="eastAsia" w:ascii="仿宋_GB2312" w:hAnsi="仿宋_GB2312" w:cs="仿宋_GB2312"/>
          <w:b w:val="0"/>
          <w:bCs w:val="0"/>
          <w:sz w:val="32"/>
          <w:szCs w:val="24"/>
          <w:lang w:val="en-US" w:eastAsia="zh-CN"/>
        </w:rPr>
        <w:t>（4）成本指标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eastAsia" w:ascii="仿宋_GB2312" w:hAnsi="仿宋_GB2312" w:cs="仿宋_GB2312"/>
          <w:b w:val="0"/>
          <w:bCs w:val="0"/>
          <w:sz w:val="32"/>
          <w:szCs w:val="24"/>
          <w:lang w:val="en-US" w:eastAsia="zh-CN"/>
        </w:rPr>
      </w:pPr>
      <w:r>
        <w:rPr>
          <w:rFonts w:hint="eastAsia" w:ascii="仿宋_GB2312" w:hAnsi="仿宋_GB2312" w:cs="仿宋_GB2312"/>
          <w:b w:val="0"/>
          <w:bCs w:val="0"/>
          <w:sz w:val="32"/>
          <w:szCs w:val="24"/>
          <w:lang w:val="en-US" w:eastAsia="zh-CN"/>
        </w:rPr>
        <w:t>严格按照财政预算控制成本开展工作。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eastAsia" w:ascii="仿宋_GB2312" w:hAnsi="仿宋_GB2312" w:cs="仿宋_GB2312"/>
          <w:b w:val="0"/>
          <w:bCs w:val="0"/>
          <w:sz w:val="32"/>
          <w:szCs w:val="24"/>
          <w:lang w:val="en-US" w:eastAsia="zh-CN"/>
        </w:rPr>
      </w:pPr>
      <w:r>
        <w:rPr>
          <w:rFonts w:hint="eastAsia" w:ascii="仿宋_GB2312" w:hAnsi="仿宋_GB2312" w:cs="仿宋_GB2312"/>
          <w:b w:val="0"/>
          <w:bCs w:val="0"/>
          <w:sz w:val="32"/>
          <w:szCs w:val="24"/>
          <w:lang w:val="en-US" w:eastAsia="zh-CN"/>
        </w:rPr>
        <w:t>（5）社会效益指标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eastAsia" w:ascii="仿宋_GB2312" w:hAnsi="仿宋_GB2312" w:cs="仿宋_GB2312"/>
          <w:b w:val="0"/>
          <w:bCs w:val="0"/>
          <w:sz w:val="32"/>
          <w:szCs w:val="24"/>
          <w:lang w:val="en-US" w:eastAsia="zh-CN"/>
        </w:rPr>
      </w:pPr>
      <w:r>
        <w:rPr>
          <w:rFonts w:hint="eastAsia" w:ascii="仿宋_GB2312" w:hAnsi="仿宋_GB2312" w:cs="仿宋_GB2312"/>
          <w:b w:val="0"/>
          <w:bCs w:val="0"/>
          <w:sz w:val="32"/>
          <w:szCs w:val="24"/>
          <w:lang w:val="en-US" w:eastAsia="zh-CN"/>
        </w:rPr>
        <w:t>扫黑除恶政策知晓率95（%）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eastAsia" w:ascii="黑体" w:hAnsi="黑体" w:eastAsia="黑体" w:cs="黑体"/>
          <w:b w:val="0"/>
          <w:bCs w:val="0"/>
          <w:sz w:val="32"/>
          <w:szCs w:val="24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24"/>
          <w:lang w:val="en-US" w:eastAsia="zh-CN"/>
        </w:rPr>
        <w:t>二、单位自评工作开展情况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default" w:ascii="仿宋_GB2312" w:hAnsi="仿宋_GB2312" w:cs="仿宋_GB2312"/>
          <w:b w:val="0"/>
          <w:bCs w:val="0"/>
          <w:sz w:val="32"/>
          <w:szCs w:val="24"/>
          <w:lang w:val="en-US" w:eastAsia="zh-CN"/>
        </w:rPr>
      </w:pPr>
      <w:r>
        <w:rPr>
          <w:rFonts w:hint="eastAsia" w:ascii="仿宋_GB2312" w:hAnsi="仿宋_GB2312" w:cs="仿宋_GB2312"/>
          <w:b w:val="0"/>
          <w:bCs w:val="0"/>
          <w:sz w:val="32"/>
          <w:szCs w:val="24"/>
          <w:lang w:val="en-US" w:eastAsia="zh-CN"/>
        </w:rPr>
        <w:t>为做好绩效自评工作，我单位制定了切实可行的绩效评价工作方案，专门成立了绩效评价工作小组，按照绩效评价指标及评分标准逐项打分，对扫黑除恶项目支出预算进行了全面客观公正的绩效自评工作。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eastAsia" w:ascii="黑体" w:hAnsi="黑体" w:eastAsia="黑体" w:cs="黑体"/>
          <w:b w:val="0"/>
          <w:bCs w:val="0"/>
          <w:sz w:val="32"/>
          <w:szCs w:val="24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24"/>
          <w:lang w:val="en-US" w:eastAsia="zh-CN"/>
        </w:rPr>
        <w:t>三、综合评价结论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default" w:ascii="仿宋_GB2312" w:hAnsi="仿宋_GB2312" w:cs="仿宋_GB2312"/>
          <w:b w:val="0"/>
          <w:bCs w:val="0"/>
          <w:sz w:val="32"/>
          <w:szCs w:val="24"/>
          <w:lang w:val="en-US" w:eastAsia="zh-CN"/>
        </w:rPr>
      </w:pPr>
      <w:r>
        <w:rPr>
          <w:rFonts w:hint="eastAsia" w:ascii="仿宋_GB2312" w:hAnsi="仿宋_GB2312" w:cs="仿宋_GB2312"/>
          <w:b w:val="0"/>
          <w:bCs w:val="0"/>
          <w:sz w:val="32"/>
          <w:szCs w:val="24"/>
          <w:lang w:val="en-US" w:eastAsia="zh-CN"/>
        </w:rPr>
        <w:t>依据兴县财政局《关于开展2021年度预算项目支出绩效评价和部门整体支出绩效评价工作的通知》（兴财绩〔2021〕1122号）等文件及项目评价等级要求，本项目绩效评价结果采用综合评分定级的方法，评价计分采取百分制。本项目绩效自评综合得分90</w:t>
      </w:r>
      <w:bookmarkStart w:id="0" w:name="_GoBack"/>
      <w:bookmarkEnd w:id="0"/>
      <w:r>
        <w:rPr>
          <w:rFonts w:hint="eastAsia" w:ascii="仿宋_GB2312" w:hAnsi="仿宋_GB2312" w:cs="仿宋_GB2312"/>
          <w:b w:val="0"/>
          <w:bCs w:val="0"/>
          <w:sz w:val="32"/>
          <w:szCs w:val="24"/>
          <w:lang w:val="en-US" w:eastAsia="zh-CN"/>
        </w:rPr>
        <w:t>分，评价等级为“优”。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default" w:ascii="黑体" w:hAnsi="黑体" w:eastAsia="黑体" w:cs="黑体"/>
          <w:b w:val="0"/>
          <w:bCs w:val="0"/>
          <w:sz w:val="32"/>
          <w:szCs w:val="24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24"/>
          <w:lang w:val="en-US" w:eastAsia="zh-CN"/>
        </w:rPr>
        <w:t>四、项目资金使用和管理情况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3" w:firstLineChars="200"/>
        <w:jc w:val="both"/>
        <w:textAlignment w:val="auto"/>
        <w:rPr>
          <w:rFonts w:hint="default" w:ascii="仿宋_GB2312" w:hAnsi="仿宋_GB2312" w:cs="仿宋_GB2312"/>
          <w:b w:val="0"/>
          <w:bCs w:val="0"/>
          <w:sz w:val="32"/>
          <w:szCs w:val="24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32"/>
          <w:szCs w:val="24"/>
          <w:lang w:val="en-US" w:eastAsia="zh-CN"/>
        </w:rPr>
        <w:t>（一）项目资金到位情况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eastAsia" w:ascii="仿宋_GB2312" w:hAnsi="仿宋_GB2312" w:cs="仿宋_GB2312"/>
          <w:b w:val="0"/>
          <w:bCs w:val="0"/>
          <w:sz w:val="32"/>
          <w:szCs w:val="24"/>
          <w:lang w:val="en-US" w:eastAsia="zh-CN"/>
        </w:rPr>
      </w:pPr>
      <w:r>
        <w:rPr>
          <w:rFonts w:hint="eastAsia" w:ascii="仿宋_GB2312" w:hAnsi="仿宋_GB2312" w:cs="仿宋_GB2312"/>
          <w:b w:val="0"/>
          <w:bCs w:val="0"/>
          <w:sz w:val="32"/>
          <w:szCs w:val="24"/>
          <w:lang w:val="en-US" w:eastAsia="zh-CN"/>
        </w:rPr>
        <w:t>资金由兴县财政局足额安排，根据工作进度及时拨付到位。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3" w:firstLineChars="200"/>
        <w:jc w:val="both"/>
        <w:textAlignment w:val="auto"/>
        <w:rPr>
          <w:rFonts w:hint="default" w:ascii="仿宋_GB2312" w:hAnsi="仿宋_GB2312" w:cs="仿宋_GB2312"/>
          <w:b w:val="0"/>
          <w:bCs w:val="0"/>
          <w:sz w:val="32"/>
          <w:szCs w:val="24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32"/>
          <w:szCs w:val="24"/>
          <w:lang w:val="en-US" w:eastAsia="zh-CN"/>
        </w:rPr>
        <w:t>（二）项目资金使用情况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eastAsia" w:ascii="仿宋_GB2312" w:hAnsi="仿宋_GB2312" w:cs="仿宋_GB2312"/>
          <w:b w:val="0"/>
          <w:bCs w:val="0"/>
          <w:sz w:val="32"/>
          <w:szCs w:val="24"/>
          <w:lang w:val="en-US" w:eastAsia="zh-CN"/>
        </w:rPr>
      </w:pPr>
      <w:r>
        <w:rPr>
          <w:rFonts w:hint="eastAsia" w:ascii="仿宋_GB2312" w:hAnsi="仿宋_GB2312" w:cs="仿宋_GB2312"/>
          <w:b w:val="0"/>
          <w:bCs w:val="0"/>
          <w:sz w:val="32"/>
          <w:szCs w:val="24"/>
          <w:lang w:val="en-US" w:eastAsia="zh-CN"/>
        </w:rPr>
        <w:t>1.完成数量。县财政当年预算安排工作经费支出34万元，当年实际使用23万元，结余11万元。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hAnsi="仿宋_GB2312" w:cs="仿宋_GB2312"/>
          <w:b w:val="0"/>
          <w:bCs w:val="0"/>
          <w:sz w:val="32"/>
          <w:szCs w:val="24"/>
          <w:lang w:val="en-US" w:eastAsia="zh-CN"/>
        </w:rPr>
        <w:t>2.</w:t>
      </w:r>
      <w:r>
        <w:rPr>
          <w:rFonts w:hint="eastAsia" w:ascii="仿宋_GB2312" w:eastAsia="仿宋_GB2312"/>
          <w:sz w:val="32"/>
          <w:szCs w:val="32"/>
        </w:rPr>
        <w:t>完成质量。完成省市下达的任务</w:t>
      </w:r>
      <w:r>
        <w:rPr>
          <w:rFonts w:hint="eastAsia" w:ascii="仿宋_GB2312"/>
          <w:sz w:val="32"/>
          <w:szCs w:val="32"/>
          <w:lang w:eastAsia="zh-CN"/>
        </w:rPr>
        <w:t>，</w:t>
      </w:r>
      <w:r>
        <w:rPr>
          <w:rFonts w:hint="eastAsia" w:ascii="仿宋_GB2312" w:eastAsia="仿宋_GB2312"/>
          <w:sz w:val="32"/>
          <w:szCs w:val="32"/>
        </w:rPr>
        <w:t>）确保</w:t>
      </w:r>
      <w:r>
        <w:rPr>
          <w:rFonts w:hint="eastAsia" w:ascii="仿宋_GB2312" w:hAnsi="仿宋_GB2312" w:cs="仿宋_GB2312"/>
          <w:b w:val="0"/>
          <w:bCs w:val="0"/>
          <w:sz w:val="32"/>
          <w:szCs w:val="24"/>
          <w:lang w:val="en-US" w:eastAsia="zh-CN"/>
        </w:rPr>
        <w:t>项目资金</w:t>
      </w:r>
      <w:r>
        <w:rPr>
          <w:rFonts w:hint="eastAsia" w:ascii="仿宋_GB2312" w:eastAsia="仿宋_GB2312"/>
          <w:sz w:val="32"/>
          <w:szCs w:val="32"/>
        </w:rPr>
        <w:t>使用符合规定，有明确规范的依据和手续。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/>
          <w:sz w:val="32"/>
          <w:szCs w:val="32"/>
          <w:lang w:val="en-US" w:eastAsia="zh-CN"/>
        </w:rPr>
        <w:t>3.完成时效。本项目资金已于2021年度按时支出，确保了本项目顺利进行。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3" w:firstLineChars="200"/>
        <w:jc w:val="both"/>
        <w:textAlignment w:val="auto"/>
        <w:rPr>
          <w:rFonts w:hint="default" w:ascii="仿宋_GB2312" w:hAnsi="仿宋_GB2312" w:cs="仿宋_GB2312"/>
          <w:b w:val="0"/>
          <w:bCs w:val="0"/>
          <w:sz w:val="32"/>
          <w:szCs w:val="24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32"/>
          <w:szCs w:val="24"/>
          <w:lang w:val="en-US" w:eastAsia="zh-CN"/>
        </w:rPr>
        <w:t>（三）项目资金管理情况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default" w:ascii="仿宋_GB2312" w:hAnsi="仿宋_GB2312" w:cs="仿宋_GB2312"/>
          <w:b w:val="0"/>
          <w:bCs w:val="0"/>
          <w:sz w:val="32"/>
          <w:szCs w:val="24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通过绩效自评，评价小组认为</w:t>
      </w:r>
      <w:r>
        <w:rPr>
          <w:rFonts w:hint="eastAsia" w:ascii="仿宋_GB2312"/>
          <w:sz w:val="32"/>
          <w:szCs w:val="32"/>
          <w:lang w:val="en-US" w:eastAsia="zh-CN"/>
        </w:rPr>
        <w:t>县</w:t>
      </w:r>
      <w:r>
        <w:rPr>
          <w:rFonts w:hint="eastAsia" w:ascii="仿宋_GB2312" w:eastAsia="仿宋_GB2312"/>
          <w:sz w:val="32"/>
          <w:szCs w:val="32"/>
        </w:rPr>
        <w:t>财政预算安排我</w:t>
      </w:r>
      <w:r>
        <w:rPr>
          <w:rFonts w:hint="eastAsia" w:ascii="仿宋_GB2312"/>
          <w:sz w:val="32"/>
          <w:szCs w:val="32"/>
          <w:lang w:val="en-US" w:eastAsia="zh-CN"/>
        </w:rPr>
        <w:t>单位</w:t>
      </w:r>
      <w:r>
        <w:rPr>
          <w:rFonts w:hint="eastAsia" w:ascii="仿宋_GB2312" w:hAnsi="仿宋_GB2312" w:cs="仿宋_GB2312"/>
          <w:b w:val="0"/>
          <w:bCs w:val="0"/>
          <w:sz w:val="32"/>
          <w:szCs w:val="24"/>
          <w:lang w:val="en-US" w:eastAsia="zh-CN"/>
        </w:rPr>
        <w:t>扫黑除恶经费</w:t>
      </w:r>
      <w:r>
        <w:rPr>
          <w:rFonts w:hint="eastAsia" w:ascii="仿宋_GB2312"/>
          <w:sz w:val="32"/>
          <w:szCs w:val="32"/>
          <w:lang w:val="en-US" w:eastAsia="zh-CN"/>
        </w:rPr>
        <w:t>支出</w:t>
      </w:r>
      <w:r>
        <w:rPr>
          <w:rFonts w:hint="eastAsia" w:ascii="仿宋_GB2312" w:eastAsia="仿宋_GB2312"/>
          <w:sz w:val="32"/>
          <w:szCs w:val="32"/>
        </w:rPr>
        <w:t>政策依据充分，经费安排符合我</w:t>
      </w:r>
      <w:r>
        <w:rPr>
          <w:rFonts w:hint="eastAsia" w:ascii="仿宋_GB2312"/>
          <w:sz w:val="32"/>
          <w:szCs w:val="32"/>
          <w:lang w:val="en-US" w:eastAsia="zh-CN"/>
        </w:rPr>
        <w:t>县</w:t>
      </w:r>
      <w:r>
        <w:rPr>
          <w:rFonts w:hint="eastAsia" w:ascii="仿宋_GB2312" w:eastAsia="仿宋_GB2312"/>
          <w:sz w:val="32"/>
          <w:szCs w:val="32"/>
        </w:rPr>
        <w:t>有关规定，符合工作实际需要，目标制定明确，政策和需求依据充分，资金按照时序支出，严格按用途使用，按照财务管理规定开支。项目经费支出组织管理水平总体较高。资金到位及时，对资金的使用监管有力有效。通过本项资金安排和实施，取得了明显的社会效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eastAsia" w:ascii="黑体" w:hAnsi="黑体" w:eastAsia="黑体" w:cs="黑体"/>
          <w:b w:val="0"/>
          <w:bCs w:val="0"/>
          <w:sz w:val="32"/>
          <w:szCs w:val="24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24"/>
          <w:lang w:val="en-US" w:eastAsia="zh-CN"/>
        </w:rPr>
        <w:t>五、绩效目标完成情况总体分析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default" w:ascii="仿宋_GB2312" w:hAnsi="仿宋_GB2312" w:cs="仿宋_GB2312"/>
          <w:b w:val="0"/>
          <w:bCs w:val="0"/>
          <w:sz w:val="32"/>
          <w:szCs w:val="24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本支出控制在预算范围内，没有超额支出属</w:t>
      </w:r>
      <w:r>
        <w:rPr>
          <w:rFonts w:hint="eastAsia" w:ascii="仿宋_GB2312"/>
          <w:sz w:val="32"/>
          <w:szCs w:val="32"/>
          <w:lang w:val="en-US" w:eastAsia="zh-CN"/>
        </w:rPr>
        <w:t>一次性项目。</w:t>
      </w:r>
      <w:r>
        <w:rPr>
          <w:rFonts w:hint="eastAsia" w:ascii="仿宋_GB2312" w:hAnsi="仿宋_GB2312" w:cs="仿宋_GB2312"/>
          <w:b w:val="0"/>
          <w:bCs w:val="0"/>
          <w:sz w:val="32"/>
          <w:szCs w:val="24"/>
          <w:lang w:val="en-US" w:eastAsia="zh-CN"/>
        </w:rPr>
        <w:t>本项目经费纳入单位财务统一管理，召开专题会议研究通过后方可开支，本着节约成本、提高资金专款专用的原则，杜绝经费支出的随意性，管理好项目经费。项目产出指标、效益指标及满意度指标的实际完成值均达到年度指标值，达到预期效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eastAsia" w:ascii="黑体" w:hAnsi="黑体" w:eastAsia="黑体" w:cs="黑体"/>
          <w:b w:val="0"/>
          <w:bCs w:val="0"/>
          <w:sz w:val="32"/>
          <w:szCs w:val="24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24"/>
          <w:lang w:val="en-US" w:eastAsia="zh-CN"/>
        </w:rPr>
        <w:t>六、偏离原因和改进措施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default" w:ascii="仿宋_GB2312" w:hAnsi="仿宋_GB2312" w:cs="仿宋_GB2312"/>
          <w:b w:val="0"/>
          <w:bCs w:val="0"/>
          <w:sz w:val="32"/>
          <w:szCs w:val="24"/>
          <w:lang w:val="en-US" w:eastAsia="zh-CN"/>
        </w:rPr>
      </w:pPr>
      <w:r>
        <w:rPr>
          <w:rFonts w:hint="eastAsia" w:ascii="仿宋_GB2312" w:hAnsi="仿宋_GB2312" w:cs="仿宋_GB2312"/>
          <w:b w:val="0"/>
          <w:bCs w:val="0"/>
          <w:sz w:val="32"/>
          <w:szCs w:val="24"/>
          <w:lang w:val="en-US" w:eastAsia="zh-CN"/>
        </w:rPr>
        <w:t>本着节约成本、提高资金专款专用的原则，杜绝经费支出的随意性，工作顺利开展，年度绩效目标及阶段性目标均已完成。下一步继续加强项目绩效评价工作，提高财政资金使用效益，强化支出责任，确保工作经费得到合理使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eastAsia" w:ascii="黑体" w:hAnsi="黑体" w:eastAsia="黑体" w:cs="黑体"/>
          <w:b w:val="0"/>
          <w:bCs w:val="0"/>
          <w:sz w:val="32"/>
          <w:szCs w:val="24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24"/>
          <w:lang w:val="en-US" w:eastAsia="zh-CN"/>
        </w:rPr>
        <w:t>七、绩效自评结果应用和公开情况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default" w:ascii="仿宋_GB2312" w:hAnsi="仿宋_GB2312" w:cs="仿宋_GB2312"/>
          <w:b w:val="0"/>
          <w:bCs w:val="0"/>
          <w:sz w:val="32"/>
          <w:szCs w:val="24"/>
          <w:lang w:val="en-US" w:eastAsia="zh-CN"/>
        </w:rPr>
      </w:pPr>
      <w:r>
        <w:rPr>
          <w:rFonts w:hint="eastAsia" w:ascii="仿宋_GB2312" w:hAnsi="仿宋_GB2312" w:cs="仿宋_GB2312"/>
          <w:b w:val="0"/>
          <w:bCs w:val="0"/>
          <w:sz w:val="32"/>
          <w:szCs w:val="24"/>
          <w:lang w:val="en-US" w:eastAsia="zh-CN"/>
        </w:rPr>
        <w:t>我单位将对扫黑除恶绩效自评结果向社会公开，接受社会监督；加强绩效目标编制，实施全过程绩效管理。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hint="default" w:ascii="仿宋_GB2312" w:hAnsi="仿宋_GB2312" w:cs="仿宋_GB2312"/>
          <w:b w:val="0"/>
          <w:bCs w:val="0"/>
          <w:sz w:val="32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hint="default" w:ascii="仿宋_GB2312" w:hAnsi="仿宋_GB2312" w:cs="仿宋_GB2312"/>
          <w:b w:val="0"/>
          <w:bCs w:val="0"/>
          <w:sz w:val="32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center"/>
        <w:textAlignment w:val="auto"/>
        <w:rPr>
          <w:rFonts w:hint="eastAsia" w:ascii="仿宋_GB2312" w:hAnsi="仿宋_GB2312" w:cs="仿宋_GB2312"/>
          <w:b w:val="0"/>
          <w:bCs w:val="0"/>
          <w:sz w:val="32"/>
          <w:szCs w:val="24"/>
          <w:lang w:val="en-US" w:eastAsia="zh-CN"/>
        </w:rPr>
      </w:pPr>
      <w:r>
        <w:rPr>
          <w:rFonts w:hint="eastAsia" w:ascii="仿宋_GB2312" w:hAnsi="仿宋_GB2312" w:cs="仿宋_GB2312"/>
          <w:b w:val="0"/>
          <w:bCs w:val="0"/>
          <w:sz w:val="32"/>
          <w:szCs w:val="24"/>
          <w:lang w:val="en-US" w:eastAsia="zh-CN"/>
        </w:rPr>
        <w:t xml:space="preserve">                                 兴县政法委</w:t>
      </w:r>
    </w:p>
    <w:p>
      <w:pPr>
        <w:jc w:val="right"/>
      </w:pPr>
      <w:r>
        <w:rPr>
          <w:rFonts w:hint="eastAsia" w:ascii="仿宋_GB2312" w:hAnsi="仿宋_GB2312" w:cs="仿宋_GB2312"/>
          <w:b w:val="0"/>
          <w:bCs w:val="0"/>
          <w:sz w:val="32"/>
          <w:szCs w:val="24"/>
          <w:lang w:val="en-US" w:eastAsia="zh-CN"/>
        </w:rPr>
        <w:t>2022年8月20日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EE7A94B"/>
    <w:multiLevelType w:val="singleLevel"/>
    <w:tmpl w:val="0EE7A94B"/>
    <w:lvl w:ilvl="0" w:tentative="0">
      <w:start w:val="2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6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M0ZjNhNDMxYmFmMzk4MDZmOTkwZWI0MDlkYmFlODcifQ=="/>
  </w:docVars>
  <w:rsids>
    <w:rsidRoot w:val="00000000"/>
    <w:rsid w:val="0B8D4759"/>
    <w:rsid w:val="17AD29B5"/>
    <w:rsid w:val="306442D7"/>
    <w:rsid w:val="3B8C7444"/>
    <w:rsid w:val="3CB522A7"/>
    <w:rsid w:val="3DC8686D"/>
    <w:rsid w:val="4EE0299F"/>
    <w:rsid w:val="58191F85"/>
    <w:rsid w:val="6C314ED7"/>
    <w:rsid w:val="7258554F"/>
    <w:rsid w:val="72651A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eepNext w:val="0"/>
      <w:keepLines w:val="0"/>
      <w:widowControl w:val="0"/>
      <w:shd w:val="clear" w:color="auto" w:fill="auto"/>
      <w:bidi w:val="0"/>
      <w:spacing w:before="0" w:after="0" w:line="240" w:lineRule="auto"/>
      <w:ind w:left="0" w:right="0" w:firstLine="0"/>
      <w:jc w:val="left"/>
    </w:pPr>
    <w:rPr>
      <w:rFonts w:ascii="Times New Roman" w:hAnsi="Times New Roman" w:eastAsia="仿宋_GB2312" w:cs="Times New Roman"/>
      <w:color w:val="000000"/>
      <w:spacing w:val="0"/>
      <w:w w:val="100"/>
      <w:position w:val="0"/>
      <w:sz w:val="32"/>
      <w:szCs w:val="24"/>
      <w:shd w:val="clear" w:color="auto" w:fill="auto"/>
      <w:lang w:val="en-US" w:eastAsia="en-US" w:bidi="en-US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1340</Words>
  <Characters>1384</Characters>
  <Lines>0</Lines>
  <Paragraphs>0</Paragraphs>
  <TotalTime>18</TotalTime>
  <ScaleCrop>false</ScaleCrop>
  <LinksUpToDate>false</LinksUpToDate>
  <CharactersWithSpaces>1417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2022-08-17T07:11:00Z</dcterms:created>
  <dc:creator>icesx</dc:creator>
  <cp:lastModifiedBy>Lenovo</cp:lastModifiedBy>
  <dcterms:modified xsi:type="dcterms:W3CDTF">2022-10-24T14:27:07Z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D299E4F5044A442B8DEE31A6040FF8E2</vt:lpwstr>
  </property>
</Properties>
</file>