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兴县林业局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2018年三北防护林</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lang w:eastAsia="zh-CN"/>
        </w:rPr>
        <w:t>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绿水青山”是生态福祉，“金山银山”是民生保障，“购买式造林”从精准脱贫的工作流程设计和精准脱贫政策体系形成了两条路径，以生态建设为战场，以增收脱贫为目的，实现在“一个战场”打赢生态治理、脱贫攻坚“两个战役”，走出一条具有特色的社会、经济、生态共赢之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为深入贯彻落实吕梁市植树造林工作会议精神，牢固树立“身边增绿、梅花城乡、改善生态、脱贫增收”理念，在确保造林质量的前提下，依托扶贫攻坚造林专业合作社实施工程，尽可能地吸收具有劳动能力的贫困户参与劳务投入，努力实现生态建设与脱贫攻坚互相促进，景观增绿与农民增收双赢。继而加快兴县生态步伐，展现兴县对外新形象。</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）《中华人民共和国国民经济和社会发展第十三个五年规划纲要》；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 xml:space="preserve">    （2）《中共中央 国务院关于打赢脱贫攻坚战三年行动的指导意见》；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eastAsia="zh-CN"/>
        </w:rPr>
        <w:t>）山西省人民政府《关于印发山西省“十三五”脱贫攻坚规划的通知》；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（4）中共山西省委 山西省人民政府 关于坚决打赢全省脱贫攻坚战三年行动的实施意见》；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（5）山西省林业厅《三北防护林建设体系五期工程规划工作方案》；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（6）兴县人民政府《关于印发兴县打赢蓝天保卫战三年行动计划的通知》（兴政发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18</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35号）；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（7）其他相关政策性文件。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拟在康宁镇、孟家坪乡（含原贺家会乡）、蔡家会镇、固贤乡、瓦塘镇建设3万亩防护林，以期达到恢复植被、修复生态、防止水土流失、改善生态环境、调节区域气候、增加农业收入的目的。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年兴县林业局对2018年三北防护林预算指标</w:t>
      </w:r>
      <w:r>
        <w:rPr>
          <w:rFonts w:hint="eastAsia" w:ascii="Times New Roman" w:hAnsi="Times New Roman" w:eastAsia="仿宋_GB2312" w:cs="Times New Roman"/>
          <w:bCs/>
          <w:kern w:val="2"/>
          <w:sz w:val="32"/>
          <w:szCs w:val="32"/>
          <w:highlight w:val="none"/>
          <w:lang w:val="en-US" w:eastAsia="zh-CN"/>
        </w:rPr>
        <w:t>809.62万元。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年兴县林业局对2018年三北防护林实际支付</w:t>
      </w:r>
      <w:r>
        <w:rPr>
          <w:rFonts w:hint="eastAsia" w:ascii="Times New Roman" w:hAnsi="Times New Roman" w:eastAsia="仿宋_GB2312" w:cs="Times New Roman"/>
          <w:bCs/>
          <w:kern w:val="2"/>
          <w:sz w:val="32"/>
          <w:szCs w:val="32"/>
          <w:highlight w:val="none"/>
          <w:lang w:val="en-US" w:eastAsia="zh-CN"/>
        </w:rPr>
        <w:t>809.54</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依托扶贫攻坚造林专业合作社实施工程，尽可能地吸收具有劳动能力的贫困户参与劳务投入，在康宁镇、孟家坪乡（含原贺家会乡）、蔡家会镇、固贤乡、瓦塘镇建设3万亩防护林。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二、绩效评价工作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（一）绩效评价目的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梳理2018年三北防护林项目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default" w:ascii="Times New Roman" w:hAnsi="Times New Roman" w:eastAsia="仿宋_GB2312" w:cs="Times New Roman"/>
          <w:b/>
          <w:bCs w:val="0"/>
          <w:kern w:val="2"/>
          <w:sz w:val="32"/>
          <w:szCs w:val="32"/>
          <w:highlight w:val="none"/>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（三）绩效评价指标体系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绩效评价指标体系是绩效评价工作的核心，主要包括评价指标的设计原则、评价指标及指标值的确定、权重设定、证据收集方法等。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1.绩效评价指标设计原则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是指衡量绩效目标实现程度的考核工具。绩效评价指标体系的构建是一项复杂的系统工程，也是绩效评价的重点和难点。要构建科学、合理的绩效评价指标体系，除了要遵循指标甄选的一般原则外，还要根据项目的目标和任务，从影响项目实现的效益情况把握绩效指标体系构建的思路，项目绩效评价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各评价指标之间要有一定的逻辑关系，一定层级的绩效评价指标必须与同一层级的绩效评价目的相一致，要从不同的侧面反映项目实施的主要特征和状态，并能体现出项目未来的发展趋势。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评价指标体系框架，结合项目的实际情况及项目绩效评价原则，构建兴县林业局2018年三北防护林的绩效评价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评价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val="en-US" w:eastAsia="zh-CN"/>
        </w:rPr>
        <w:t>2018年三北防护林</w:t>
      </w:r>
      <w:r>
        <w:rPr>
          <w:rFonts w:hint="eastAsia" w:ascii="Times New Roman" w:hAnsi="Times New Roman" w:eastAsia="仿宋_GB2312" w:cs="Times New Roman"/>
          <w:bCs/>
          <w:kern w:val="2"/>
          <w:sz w:val="32"/>
          <w:szCs w:val="32"/>
          <w:highlight w:val="none"/>
        </w:rPr>
        <w:t>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w:t>
      </w:r>
      <w:r>
        <w:rPr>
          <w:rFonts w:hint="eastAsia" w:ascii="Times New Roman" w:hAnsi="Times New Roman" w:eastAsia="仿宋_GB2312" w:cs="Times New Roman"/>
          <w:bCs/>
          <w:kern w:val="2"/>
          <w:sz w:val="32"/>
          <w:szCs w:val="32"/>
          <w:highlight w:val="none"/>
          <w:lang w:val="en-US" w:eastAsia="zh-CN"/>
        </w:rPr>
        <w:t>评价指标体系确定的评价指标、评价权重、评价标准和评价方法，对评价对象进行全面的定量、定性分析和综合评价，形成评价结论。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项目的绩效评价情况，撰写绩效自评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本次绩效评价指标体系按照逻辑分析法，从“投入”、“产出”、“效益”和“满意度指标”4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投入指标从项目资金执行情况方面进行考察，投入指标分值共计10分，本项目实际得分9.99分：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A11全年预算执行率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兴县林业局2021年度“2018年三北防护林项目”全年预算金额809.62万元，全年支出金额809.54万元。执行率=全年支出金额/全年预算金额=809.54/809.62=99.99%。</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依据项目支出绩效自评得分规则，项目资金全年预算执行率得9.99分。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表2-1产出指标评分情况表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B产出</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w:t>
            </w:r>
            <w:r>
              <w:rPr>
                <w:rFonts w:hint="default" w:ascii="Times New Roman" w:hAnsi="Times New Roman" w:cs="Times New Roman"/>
                <w:bCs/>
                <w:kern w:val="2"/>
                <w:sz w:val="20"/>
                <w:szCs w:val="20"/>
                <w:highlight w:val="none"/>
                <w:vertAlign w:val="baseline"/>
                <w:lang w:val="en-US" w:eastAsia="zh-CN"/>
              </w:rPr>
              <w:t>数量指标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11</w:t>
            </w:r>
            <w:r>
              <w:rPr>
                <w:rFonts w:hint="eastAsia" w:ascii="Times New Roman" w:hAnsi="Times New Roman" w:cs="Times New Roman"/>
                <w:bCs/>
                <w:kern w:val="2"/>
                <w:sz w:val="20"/>
                <w:szCs w:val="20"/>
                <w:highlight w:val="none"/>
                <w:vertAlign w:val="baseline"/>
                <w:lang w:val="en-US" w:eastAsia="zh-CN"/>
              </w:rPr>
              <w:t>林地完成面积</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B12苗木栽植数量</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2质量指标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2</w:t>
            </w:r>
            <w:r>
              <w:rPr>
                <w:rFonts w:hint="eastAsia" w:ascii="Times New Roman" w:hAnsi="Times New Roman" w:cs="Times New Roman"/>
                <w:bCs/>
                <w:kern w:val="2"/>
                <w:sz w:val="20"/>
                <w:szCs w:val="20"/>
                <w:highlight w:val="none"/>
                <w:vertAlign w:val="baseline"/>
                <w:lang w:val="en-US" w:eastAsia="zh-CN"/>
              </w:rPr>
              <w:t>1</w:t>
            </w:r>
            <w:r>
              <w:rPr>
                <w:rFonts w:hint="default" w:ascii="Times New Roman" w:hAnsi="Times New Roman" w:cs="Times New Roman"/>
                <w:bCs/>
                <w:kern w:val="2"/>
                <w:sz w:val="20"/>
                <w:szCs w:val="20"/>
                <w:highlight w:val="none"/>
                <w:vertAlign w:val="baseline"/>
                <w:lang w:val="en-US" w:eastAsia="zh-CN"/>
              </w:rPr>
              <w:t>交工验收成活保存率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3时效指标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31</w:t>
            </w:r>
            <w:r>
              <w:rPr>
                <w:rFonts w:hint="eastAsia" w:ascii="Times New Roman" w:hAnsi="Times New Roman" w:cs="Times New Roman"/>
                <w:bCs/>
                <w:kern w:val="2"/>
                <w:sz w:val="20"/>
                <w:szCs w:val="20"/>
                <w:highlight w:val="none"/>
                <w:vertAlign w:val="baseline"/>
                <w:lang w:val="en-US" w:eastAsia="zh-CN"/>
              </w:rPr>
              <w:t>投入运行率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4成本指标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w:t>
            </w:r>
            <w:r>
              <w:rPr>
                <w:rFonts w:hint="default" w:ascii="Times New Roman" w:hAnsi="Times New Roman" w:cs="Times New Roman"/>
                <w:bCs/>
                <w:kern w:val="2"/>
                <w:sz w:val="20"/>
                <w:szCs w:val="20"/>
                <w:highlight w:val="none"/>
                <w:vertAlign w:val="baseline"/>
                <w:lang w:val="en-US" w:eastAsia="zh-CN"/>
              </w:rPr>
              <w:t>41植树造林成本</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50</w:t>
            </w:r>
          </w:p>
        </w:tc>
      </w:tr>
    </w:tbl>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林地完成面积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兴县林业局2021年度三北防护林项目按计划完成3万亩林地的养护工作。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宋体" w:hAnsi="宋体" w:eastAsia="宋体" w:cs="宋体"/>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苗木栽植数量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兴县林业局2021年度吕梁山生态脆弱区项目计划完成330万株苗木的栽植任务。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依据项目支出绩效自评得分规则，项目完成率得20分。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质量指标-交工验收成活保存率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兴县林业局2021年度“2018年三北防护林”建设养护期于2020年年末结束，在其交工验收时成活保存率达85%以上。依据项目支出绩效自评得分规则，项目验收合格率得10分。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兴县林业局2021年度“2018年三北防护林”项目在交工后正式运行，为降低大气污染物和区域生态环境改善起到一定促进作用。依据项目支出绩效自评得分规则，项目投入运行率得分10分。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成本指标-植树造林成本</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林业局2021年度“2018年三北防护林”项目通过议标方式确定16家扶贫攻坚造林合作社进行造林，根据议标确定的金额及栽植亩数计算，植树造林成本低于850元/亩。依据项目支出绩效自评得分规则，植树造林成本得分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效果指标从经济效益、生态效益和可持续影响三个方面进行考察，效果指标分值共计30分，本项目实际得分30分：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表3-1 效果指标评分情况表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C效果</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C1项目效果</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11</w:t>
            </w:r>
            <w:r>
              <w:rPr>
                <w:rFonts w:hint="eastAsia" w:ascii="Arial" w:hAnsi="Arial" w:cs="Arial"/>
                <w:bCs/>
                <w:kern w:val="2"/>
                <w:sz w:val="20"/>
                <w:szCs w:val="20"/>
                <w:highlight w:val="none"/>
                <w:vertAlign w:val="baseline"/>
                <w:lang w:val="en-US" w:eastAsia="zh-CN"/>
              </w:rPr>
              <w:t>经济</w:t>
            </w:r>
            <w:r>
              <w:rPr>
                <w:rFonts w:hint="default" w:ascii="Arial" w:hAnsi="Arial" w:cs="Arial"/>
                <w:bCs/>
                <w:kern w:val="2"/>
                <w:sz w:val="20"/>
                <w:szCs w:val="20"/>
                <w:highlight w:val="none"/>
                <w:vertAlign w:val="baseline"/>
                <w:lang w:val="en-US" w:eastAsia="zh-CN"/>
              </w:rPr>
              <w:t>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w:t>
            </w:r>
            <w:r>
              <w:rPr>
                <w:rFonts w:hint="eastAsia" w:ascii="Arial" w:hAnsi="Arial" w:cs="Arial"/>
                <w:bCs/>
                <w:kern w:val="2"/>
                <w:sz w:val="20"/>
                <w:szCs w:val="20"/>
                <w:highlight w:val="none"/>
                <w:vertAlign w:val="baseline"/>
                <w:lang w:val="en-US" w:eastAsia="zh-CN"/>
              </w:rPr>
              <w:t>2生态效益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C</w:t>
            </w:r>
            <w:r>
              <w:rPr>
                <w:rFonts w:hint="default" w:ascii="Arial" w:hAnsi="Arial" w:cs="Arial"/>
                <w:bCs/>
                <w:kern w:val="2"/>
                <w:sz w:val="20"/>
                <w:szCs w:val="20"/>
                <w:highlight w:val="none"/>
                <w:vertAlign w:val="baseline"/>
                <w:lang w:val="en-US" w:eastAsia="zh-CN"/>
              </w:rPr>
              <w:t>1</w:t>
            </w:r>
            <w:r>
              <w:rPr>
                <w:rFonts w:hint="eastAsia" w:ascii="Arial" w:hAnsi="Arial" w:cs="Arial"/>
                <w:bCs/>
                <w:kern w:val="2"/>
                <w:sz w:val="20"/>
                <w:szCs w:val="20"/>
                <w:highlight w:val="none"/>
                <w:vertAlign w:val="baseline"/>
                <w:lang w:val="en-US" w:eastAsia="zh-CN"/>
              </w:rPr>
              <w:t>3可持续影响</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r>
    </w:tbl>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2018年三北防护林项目由脱贫攻坚造林专业合作社通过聘用贫困户进行种树，直接带动贫困户收入增长，有助于其脱贫发展。栽植树木植被可以待到成熟期，通过采伐对苗木进行销售产生直接经济效益。依据项目支出绩效自评得分规则，社会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指标考核项目实施对改善生态环境所带来的直接或间接的影响。2018年三北防护林项目的实施可以有效增加区域森林面积，改善地表植被，遏制水土流失进程，有助于改善区域生态环境。同时可以逐步调整农牧产业结构，促进社会和谐发展。依据项目支出绩效自评得分规则，社会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2018年三北防护林项目既能保持水土不被流失又能保持气候的稳定，还是“粉尘的过滤器”和“天然的蓄水库”。通过紧紧围绕加强生态系统的保护和修复，聚焦增绿增收互促双赢的目标，推进大规模国土绿化行动，取得了良好的生态效益。其可持续影响较长，项目发展的可持续性较强。根据绩效评价指标体系，可持续影响得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bookmarkStart w:id="9" w:name="_Toc24444_WPSOffice_Level1"/>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，该指标采取问卷调查的方式，问卷调查采取对利益相关方全覆盖的方式，通过随机抽查方式发放问卷20份，实际收回20</w:t>
      </w:r>
      <w:r>
        <w:rPr>
          <w:rFonts w:hint="default" w:ascii="Times New Roman" w:hAnsi="Times New Roman" w:eastAsia="仿宋_GB2312" w:cs="Times New Roman"/>
          <w:bCs/>
          <w:kern w:val="2"/>
          <w:sz w:val="32"/>
          <w:szCs w:val="32"/>
          <w:highlight w:val="none"/>
          <w:lang w:val="en-US" w:eastAsia="zh-CN"/>
        </w:rPr>
        <w:t>份调查问卷</w:t>
      </w:r>
      <w:r>
        <w:rPr>
          <w:rFonts w:hint="eastAsia" w:ascii="Times New Roman" w:hAnsi="Times New Roman" w:eastAsia="仿宋_GB2312" w:cs="Times New Roman"/>
          <w:bCs/>
          <w:kern w:val="2"/>
          <w:sz w:val="32"/>
          <w:szCs w:val="32"/>
          <w:highlight w:val="none"/>
          <w:lang w:val="en-US" w:eastAsia="zh-CN"/>
        </w:rPr>
        <w:t>。均为全部非常满意。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依据项目支出绩效自评得分规则，满意度等级从非常满意到不满意的权重分别为100%、80%、50%、0，项目满意度＝（非常满意数*100%+满意数*80%+一般数*50%+不满意数*0）/调查问卷回收总数*100%。</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应将绩效评价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绩效评价是对效果的评价，评价结果直接反应项目实施的效益。评价分为四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兴县县农业农村局202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年度“2018年三北防护林”项目绩效评价得分</w:t>
      </w:r>
      <w:r>
        <w:rPr>
          <w:rFonts w:hint="eastAsia" w:ascii="Times New Roman" w:hAnsi="Times New Roman" w:eastAsia="仿宋_GB2312" w:cs="Times New Roman"/>
          <w:bCs/>
          <w:kern w:val="2"/>
          <w:sz w:val="32"/>
          <w:szCs w:val="32"/>
          <w:highlight w:val="none"/>
          <w:lang w:val="en-US" w:eastAsia="zh-CN"/>
        </w:rPr>
        <w:t>为99.99</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r>
        <w:rPr>
          <w:rFonts w:hint="eastAsia" w:ascii="Times New Roman" w:hAnsi="Times New Roman" w:eastAsia="仿宋_GB2312" w:cs="Times New Roman"/>
          <w:bCs/>
          <w:kern w:val="2"/>
          <w:sz w:val="32"/>
          <w:szCs w:val="32"/>
          <w:highlight w:val="none"/>
          <w:lang w:val="en-US" w:eastAsia="zh-CN"/>
        </w:rPr>
        <w:t>在“一个战场打赢两场战役”的指引下，沟壑纵横、生态脆弱的吕梁山打响了一场“绿色扶贫”攻坚战。吕梁山区的底色逐渐由黄变绿，一道纵观南北的“绿色走廊”已现雏形。这一切，都离不开“购买式造林”，“购买式造林”坚持以贫困户参与的合作社承接造林等绿化工程，让绿化工作得以推进的同时又让贫困群众得以受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bookmarkStart w:id="12" w:name="_Toc13436_WPSOffice_Level2"/>
      <w:r>
        <w:rPr>
          <w:rFonts w:hint="default" w:ascii="Times New Roman" w:hAnsi="Times New Roman" w:eastAsia="仿宋_GB2312" w:cs="Times New Roman"/>
          <w:bCs/>
          <w:kern w:val="2"/>
          <w:sz w:val="32"/>
          <w:szCs w:val="32"/>
          <w:highlight w:val="none"/>
          <w:lang w:val="en-US" w:eastAsia="zh-CN"/>
        </w:rPr>
        <w:t>绩效评价</w:t>
      </w:r>
      <w:r>
        <w:rPr>
          <w:rFonts w:hint="eastAsia" w:ascii="Times New Roman" w:hAnsi="Times New Roman" w:eastAsia="仿宋_GB2312" w:cs="Times New Roman"/>
          <w:bCs/>
          <w:kern w:val="2"/>
          <w:sz w:val="32"/>
          <w:szCs w:val="32"/>
          <w:highlight w:val="none"/>
          <w:lang w:val="en-US" w:eastAsia="zh-CN"/>
        </w:rPr>
        <w:t>指标体系</w:t>
      </w:r>
      <w:r>
        <w:rPr>
          <w:rFonts w:hint="default" w:ascii="Times New Roman" w:hAnsi="Times New Roman" w:eastAsia="仿宋_GB2312" w:cs="Times New Roman"/>
          <w:bCs/>
          <w:kern w:val="2"/>
          <w:sz w:val="32"/>
          <w:szCs w:val="32"/>
          <w:highlight w:val="none"/>
          <w:lang w:val="en-US" w:eastAsia="zh-CN"/>
        </w:rPr>
        <w:t>表</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bookmarkStart w:id="13" w:name="_GoBack"/>
      <w:bookmarkEnd w:id="13"/>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兴县林业局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兴县林业局2018年三北防护林项目支出绩效自评报告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兴县林业局2018年三北防护林项目支出绩效自评报告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C37FD"/>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367C99"/>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BC7312"/>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056C3F"/>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3D5434"/>
    <w:rsid w:val="2A4A7AF0"/>
    <w:rsid w:val="2A7A5999"/>
    <w:rsid w:val="2AF96231"/>
    <w:rsid w:val="2BB661FC"/>
    <w:rsid w:val="2BF42FA2"/>
    <w:rsid w:val="2CA80CAA"/>
    <w:rsid w:val="2F5E1B5C"/>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4231B1C"/>
    <w:rsid w:val="3502603F"/>
    <w:rsid w:val="352B0153"/>
    <w:rsid w:val="357251C3"/>
    <w:rsid w:val="36DA5039"/>
    <w:rsid w:val="373551FC"/>
    <w:rsid w:val="377161FB"/>
    <w:rsid w:val="378473D3"/>
    <w:rsid w:val="387C133F"/>
    <w:rsid w:val="38AD350C"/>
    <w:rsid w:val="38C81578"/>
    <w:rsid w:val="39C0385F"/>
    <w:rsid w:val="3B267196"/>
    <w:rsid w:val="3B6C3ED7"/>
    <w:rsid w:val="3BB86365"/>
    <w:rsid w:val="3BD16BF1"/>
    <w:rsid w:val="3C5F50EB"/>
    <w:rsid w:val="3D685812"/>
    <w:rsid w:val="3D754856"/>
    <w:rsid w:val="3DA75B0A"/>
    <w:rsid w:val="3E1D4AE0"/>
    <w:rsid w:val="3E493C55"/>
    <w:rsid w:val="3F4C1E14"/>
    <w:rsid w:val="3FE8302B"/>
    <w:rsid w:val="401A3DFE"/>
    <w:rsid w:val="41AA260C"/>
    <w:rsid w:val="42143DB4"/>
    <w:rsid w:val="425F380C"/>
    <w:rsid w:val="42F064E9"/>
    <w:rsid w:val="43894CC0"/>
    <w:rsid w:val="43CD2ACE"/>
    <w:rsid w:val="43F919D7"/>
    <w:rsid w:val="442D736F"/>
    <w:rsid w:val="446C23AB"/>
    <w:rsid w:val="4500160B"/>
    <w:rsid w:val="453F306A"/>
    <w:rsid w:val="45A740DF"/>
    <w:rsid w:val="461038DC"/>
    <w:rsid w:val="46C20F13"/>
    <w:rsid w:val="470B136A"/>
    <w:rsid w:val="475A27F6"/>
    <w:rsid w:val="47703AA0"/>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16560E"/>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CE93E4A"/>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51B537A"/>
    <w:rsid w:val="75655534"/>
    <w:rsid w:val="7569258E"/>
    <w:rsid w:val="75B306BD"/>
    <w:rsid w:val="75BC41B5"/>
    <w:rsid w:val="76686599"/>
    <w:rsid w:val="76D6493F"/>
    <w:rsid w:val="77460A8A"/>
    <w:rsid w:val="774F00CD"/>
    <w:rsid w:val="775478D8"/>
    <w:rsid w:val="77570494"/>
    <w:rsid w:val="788A29CA"/>
    <w:rsid w:val="78EC1FF5"/>
    <w:rsid w:val="79B566A9"/>
    <w:rsid w:val="7A10574B"/>
    <w:rsid w:val="7AD315B5"/>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4535</Words>
  <Characters>4737</Characters>
  <Lines>0</Lines>
  <Paragraphs>0</Paragraphs>
  <TotalTime>0</TotalTime>
  <ScaleCrop>false</ScaleCrop>
  <LinksUpToDate>false</LinksUpToDate>
  <CharactersWithSpaces>4763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2022-08-31T10:30:56Z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