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兴县林业局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黄河沿岸（兴县段）生态保护修复工程</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bookmarkStart w:id="15" w:name="_GoBack"/>
      <w:bookmarkEnd w:id="1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2019年9月18日习近平总书记在黄河流域生态保护和高质量发展座谈会发表重要讲话：保护黄河是事关中华民族伟大复兴的千秋大计。黄河流域在我国经济社会发展和生态安全方面具有十分重要的地位。治理黄河，重在保护，要在治理。要坚持山水林田湖草综合治理、系统治理、源头治理，统筹推进各项工作，加强协同配合，推动黄河流域高质量发展。要坚持绿水青山就是金山银山的理念，坚持生态优先、绿色发展，以水而定、量水而行，因地制宜、分类施策，上下游、干支流、左右岸统筹谋划，共同抓好大保护，协同推进大治理，着力加强生态保护治理、保障黄河长治久安、促进全流域高质量发展、改善人民群众生活、保护传承弘扬黄河文化，让黄河成为造福人民的幸福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随着城市的不断发展，绿地在城市中的作用日趋重要。绿地是现代城市的重要基础设施，是促进经济、社会、人口、资源协调发展，提高城市综合竞争力的重要因素。同时，城市绿地作为城市唯一有生命的基础设施，也是衡量一个城市文明程度和综合服务水平的重要标志之一，是改善生态环境和提高广大人民群众生活质量的公益事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兴县人民政府常务会议纪要（[2019]19次）；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（2）兴县发展和改革局关于对《黄河沿岸（兴县段）生态保护修复工程可行性研究报告》的批复（兴发改审发〔2020〕4号）；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（3）兴县行政审批服务管理局关于对《黄河沿岸（兴县段）生态保护修复工程初步设计》的批复（兴审管审发〔2020〕45号）；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本项目建设内容为兴县段沿黄扶贫旅游公路及可视山体的景观绿化工程等。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（1）兴县段沿黄旅游公路（全长85.4km）两侧绿化带进行绿化，绿化面积358200㎡（约537亩）；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（2）可视山体绿化部分以兴县境内临近黄河山脊线为界限，平均绿化宽度400米，绿化长度85公里，绿化范围约34000296 ㎡（约51000亩）。其中退耕还林地面积约259733 ㎡（约389亩）；农田、枣林地面积约13337053 ㎡（约20005.6亩）；剩余有效绿化面积约20403579 ㎡（约30605.4亩）。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年兴县财政局实际拨付兴县林业局“黄河沿岸（兴县段）生态保护修复工程”资金</w:t>
      </w:r>
      <w:r>
        <w:rPr>
          <w:rFonts w:hint="eastAsia" w:ascii="Times New Roman" w:hAnsi="Times New Roman" w:eastAsia="仿宋_GB2312" w:cs="Times New Roman"/>
          <w:bCs/>
          <w:kern w:val="2"/>
          <w:sz w:val="32"/>
          <w:szCs w:val="32"/>
          <w:highlight w:val="none"/>
          <w:lang w:val="en-US" w:eastAsia="zh-CN"/>
        </w:rPr>
        <w:t>2,000.00万元，资金到位率100.00%。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年兴县林业局“黄河沿岸（兴县段）生态保护修复工程”资金实际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2,000.00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兴县林业局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为强化项目管理，使用好项目资金，保障政策切实落地。对</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的使用范围、申报及审核流程进行了规范。通过开展绩效考评，建立激励机制和问责制度，把目标责任制落到实处，保证资金安全性、规范性、有效性。对事前、事中、事后全过程监督，建立资金、项目监督责任制和责任追究制，不定期开展专项检查，对弄虚作假、挤占、截留、挪用、套取和不作为、乱作为等行为要严肃追责。</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项目拟在南山公园实施夜游配套项目。届时，公园将不仅在白天为居民提供闲暇休憩的场所，更能在夜间为居民提供富有参与性和互动性的游憩场地，延长公园的服务时间。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因此项目的建设能够有效增加当地居民的社会福利，提高人民的幸福感，并通过夜间活动场所的增加，使人与人之间的关系更趋和谐。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val="en-US" w:eastAsia="zh-CN"/>
        </w:rPr>
        <w:t>自</w:t>
      </w:r>
      <w:r>
        <w:rPr>
          <w:rFonts w:hint="eastAsia" w:ascii="Times New Roman" w:hAnsi="Times New Roman" w:eastAsia="仿宋_GB2312" w:cs="Times New Roman"/>
          <w:bCs/>
          <w:kern w:val="2"/>
          <w:sz w:val="32"/>
          <w:szCs w:val="32"/>
          <w:highlight w:val="none"/>
        </w:rPr>
        <w:t>评，了解</w:t>
      </w:r>
      <w:r>
        <w:rPr>
          <w:rFonts w:hint="eastAsia" w:ascii="Times New Roman" w:hAnsi="Times New Roman" w:eastAsia="仿宋_GB2312" w:cs="Times New Roman"/>
          <w:bCs/>
          <w:kern w:val="2"/>
          <w:sz w:val="32"/>
          <w:szCs w:val="32"/>
          <w:highlight w:val="none"/>
          <w:lang w:eastAsia="zh-CN"/>
        </w:rPr>
        <w:t>黄河沿岸（兴县段）生态保护修复工程</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highlight w:val="none"/>
          <w:lang w:eastAsia="zh-CN"/>
        </w:rPr>
        <w:t>为</w:t>
      </w:r>
      <w:r>
        <w:rPr>
          <w:rFonts w:hint="eastAsia" w:ascii="Times New Roman" w:hAnsi="Times New Roman" w:eastAsia="仿宋_GB2312" w:cs="Times New Roman"/>
          <w:bCs/>
          <w:kern w:val="2"/>
          <w:sz w:val="32"/>
          <w:szCs w:val="32"/>
          <w:highlight w:val="none"/>
        </w:rPr>
        <w:t>指导预算编制和申报绩效目标</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优化财政支出结构提供决策参考和依据，以保证项目资金使用管理的规范性、安全性和有效性。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（3）《项目支出绩效评估管理办法》（财预〔2020〕10号）；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（4）国务院办公厅《关于转发财政部、国务院爱卫办、国家发展改革委〈扶贫项目资金绩效管理办法〉的通知》</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国办发〔2018〕35号</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（5）山西省财政厅 山西省扶贫开发办公室 山西省发展和改革委员会 山西省民族事务委员会 山西省农业厅 山西省林业厅关于印发《财政专项扶贫资金管理办法》的通知（晋财农〔2017〕124号）；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（6）中共山西省委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（7）其他有关预算管理制度、资金及财务管理办法、财务会计资料、项目验收（评价、决算、稽查、检查）报告、相关行业政策、行业标准及专业技术规范、预算下达相关文件等。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通过专家评估、访谈、公众问卷及抽样调查等对财政支出效果进行评判，评价绩效目标的实现程度。由于该项目是兴县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的重要民生工程，无法直接用指标计量其效益，为客观测定专项资金的使用效果，本次评价采取对利益相关方全覆盖的方式，随机走访受益群众了解项目情况及对项目的满意程度。同时对项目主管领导进行访谈，最后进行综合分析，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财政项目支出绩效评价指标体系框架，结合项目的实际情况及项目绩效评价原则，构建兴县林业局2021年度黄河沿岸（兴县段）生态保护修复工程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在全面收集资料的基础上，根据经审核后的评价工作方案，对已收集的资料进行分类整理、审查和分析。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）通过</w:t>
      </w:r>
      <w:r>
        <w:rPr>
          <w:rFonts w:hint="eastAsia" w:ascii="Times New Roman" w:hAnsi="Times New Roman" w:eastAsia="仿宋_GB2312" w:cs="Times New Roman"/>
          <w:bCs/>
          <w:kern w:val="2"/>
          <w:sz w:val="32"/>
          <w:szCs w:val="32"/>
          <w:highlight w:val="none"/>
        </w:rPr>
        <w:t>查询</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相关资料，熟悉有关方面的国家政策、法律、法规</w:t>
      </w:r>
      <w:r>
        <w:rPr>
          <w:rFonts w:hint="eastAsia" w:ascii="Times New Roman" w:hAnsi="Times New Roman" w:eastAsia="仿宋_GB2312" w:cs="Times New Roman"/>
          <w:bCs/>
          <w:kern w:val="2"/>
          <w:sz w:val="32"/>
          <w:szCs w:val="32"/>
          <w:highlight w:val="none"/>
          <w:lang w:eastAsia="zh-CN"/>
        </w:rPr>
        <w:t>及部门规章，</w:t>
      </w:r>
      <w:r>
        <w:rPr>
          <w:rFonts w:hint="eastAsia" w:ascii="Times New Roman" w:hAnsi="Times New Roman" w:eastAsia="仿宋_GB2312" w:cs="Times New Roman"/>
          <w:bCs/>
          <w:kern w:val="2"/>
          <w:sz w:val="32"/>
          <w:szCs w:val="32"/>
          <w:highlight w:val="none"/>
        </w:rPr>
        <w:t>了解项目</w:t>
      </w:r>
      <w:r>
        <w:rPr>
          <w:rFonts w:hint="eastAsia" w:ascii="Times New Roman" w:hAnsi="Times New Roman" w:eastAsia="仿宋_GB2312" w:cs="Times New Roman"/>
          <w:bCs/>
          <w:kern w:val="2"/>
          <w:sz w:val="32"/>
          <w:szCs w:val="32"/>
          <w:highlight w:val="none"/>
          <w:lang w:eastAsia="zh-CN"/>
        </w:rPr>
        <w:t>相关的</w:t>
      </w:r>
      <w:r>
        <w:rPr>
          <w:rFonts w:hint="eastAsia" w:ascii="Times New Roman" w:hAnsi="Times New Roman" w:eastAsia="仿宋_GB2312" w:cs="Times New Roman"/>
          <w:bCs/>
          <w:kern w:val="2"/>
          <w:sz w:val="32"/>
          <w:szCs w:val="32"/>
          <w:highlight w:val="none"/>
        </w:rPr>
        <w:t>政策</w:t>
      </w:r>
      <w:r>
        <w:rPr>
          <w:rFonts w:hint="eastAsia" w:ascii="Times New Roman" w:hAnsi="Times New Roman" w:eastAsia="仿宋_GB2312" w:cs="Times New Roman"/>
          <w:bCs/>
          <w:kern w:val="2"/>
          <w:sz w:val="32"/>
          <w:szCs w:val="32"/>
          <w:highlight w:val="none"/>
          <w:lang w:eastAsia="zh-CN"/>
        </w:rPr>
        <w:t>规定，检查项目相关的审批资料、财务资料、管理制度、会议记录和工作总结，抽查与项目相关的招投标资料、合同资料、验收资料，</w:t>
      </w:r>
      <w:r>
        <w:rPr>
          <w:rFonts w:hint="eastAsia" w:ascii="Times New Roman" w:hAnsi="Times New Roman" w:eastAsia="仿宋_GB2312" w:cs="Times New Roman"/>
          <w:bCs/>
          <w:kern w:val="2"/>
          <w:sz w:val="32"/>
          <w:szCs w:val="32"/>
          <w:highlight w:val="none"/>
        </w:rPr>
        <w:t>对</w:t>
      </w:r>
      <w:r>
        <w:rPr>
          <w:rFonts w:hint="eastAsia" w:ascii="Times New Roman" w:hAnsi="Times New Roman" w:eastAsia="仿宋_GB2312" w:cs="Times New Roman"/>
          <w:bCs/>
          <w:kern w:val="2"/>
          <w:sz w:val="32"/>
          <w:szCs w:val="32"/>
          <w:highlight w:val="none"/>
          <w:lang w:eastAsia="zh-CN"/>
        </w:rPr>
        <w:t>财务</w:t>
      </w:r>
      <w:r>
        <w:rPr>
          <w:rFonts w:hint="eastAsia" w:ascii="Times New Roman" w:hAnsi="Times New Roman" w:eastAsia="仿宋_GB2312" w:cs="Times New Roman"/>
          <w:bCs/>
          <w:kern w:val="2"/>
          <w:sz w:val="32"/>
          <w:szCs w:val="32"/>
          <w:highlight w:val="none"/>
        </w:rPr>
        <w:t>资料反映的预算资金收支活动</w:t>
      </w:r>
      <w:r>
        <w:rPr>
          <w:rFonts w:hint="eastAsia" w:ascii="Times New Roman" w:hAnsi="Times New Roman" w:eastAsia="仿宋_GB2312" w:cs="Times New Roman"/>
          <w:bCs/>
          <w:kern w:val="2"/>
          <w:sz w:val="32"/>
          <w:szCs w:val="32"/>
          <w:highlight w:val="none"/>
          <w:lang w:eastAsia="zh-CN"/>
        </w:rPr>
        <w:t>的</w:t>
      </w:r>
      <w:r>
        <w:rPr>
          <w:rFonts w:hint="eastAsia" w:ascii="Times New Roman" w:hAnsi="Times New Roman" w:eastAsia="仿宋_GB2312" w:cs="Times New Roman"/>
          <w:bCs/>
          <w:kern w:val="2"/>
          <w:sz w:val="32"/>
          <w:szCs w:val="32"/>
          <w:highlight w:val="none"/>
        </w:rPr>
        <w:t>合规性</w:t>
      </w:r>
      <w:r>
        <w:rPr>
          <w:rFonts w:hint="eastAsia" w:ascii="Times New Roman" w:hAnsi="Times New Roman" w:eastAsia="仿宋_GB2312" w:cs="Times New Roman"/>
          <w:bCs/>
          <w:kern w:val="2"/>
          <w:sz w:val="32"/>
          <w:szCs w:val="32"/>
          <w:highlight w:val="none"/>
          <w:lang w:eastAsia="zh-CN"/>
        </w:rPr>
        <w:t>以及项目实施过程和组织管理的有效性进行</w:t>
      </w:r>
      <w:r>
        <w:rPr>
          <w:rFonts w:hint="eastAsia" w:ascii="Times New Roman" w:hAnsi="Times New Roman" w:eastAsia="仿宋_GB2312" w:cs="Times New Roman"/>
          <w:bCs/>
          <w:kern w:val="2"/>
          <w:sz w:val="32"/>
          <w:szCs w:val="32"/>
          <w:highlight w:val="none"/>
        </w:rPr>
        <w:t>检查。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（2）根据评价对象的具体情况向预算部门和资金使用单位收集相关资料</w:t>
      </w:r>
      <w:r>
        <w:rPr>
          <w:rFonts w:hint="eastAsia" w:ascii="Times New Roman" w:hAnsi="Times New Roman" w:eastAsia="仿宋_GB2312" w:cs="Times New Roman"/>
          <w:bCs/>
          <w:kern w:val="2"/>
          <w:sz w:val="32"/>
          <w:szCs w:val="32"/>
          <w:highlight w:val="none"/>
          <w:lang w:eastAsia="zh-CN"/>
        </w:rPr>
        <w:t>，并</w:t>
      </w:r>
      <w:r>
        <w:rPr>
          <w:rFonts w:hint="eastAsia" w:ascii="Times New Roman" w:hAnsi="Times New Roman" w:eastAsia="仿宋_GB2312" w:cs="Times New Roman"/>
          <w:bCs/>
          <w:kern w:val="2"/>
          <w:sz w:val="32"/>
          <w:szCs w:val="32"/>
          <w:highlight w:val="none"/>
        </w:rPr>
        <w:t>设计相关表格，对收集的资料进行整理、分类、分析，提出补充资料</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（2）从项目利益相关方中确定访谈对象，包括项目的管理人员、实施人员、项目受益者及参与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。根据调查的内容范围和主要问题，设计访谈提纲并开展访谈，获取绩效评价业务需要的基础资料。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）根据项目的具体情况设计</w:t>
      </w:r>
      <w:r>
        <w:rPr>
          <w:rFonts w:hint="eastAsia" w:ascii="Times New Roman" w:hAnsi="Times New Roman" w:eastAsia="仿宋_GB2312" w:cs="Times New Roman"/>
          <w:bCs/>
          <w:kern w:val="2"/>
          <w:sz w:val="32"/>
          <w:szCs w:val="32"/>
          <w:highlight w:val="none"/>
          <w:lang w:eastAsia="zh-CN"/>
        </w:rPr>
        <w:t>社会公众</w:t>
      </w:r>
      <w:r>
        <w:rPr>
          <w:rFonts w:hint="eastAsia" w:ascii="Times New Roman" w:hAnsi="Times New Roman" w:eastAsia="仿宋_GB2312" w:cs="Times New Roman"/>
          <w:bCs/>
          <w:kern w:val="2"/>
          <w:sz w:val="32"/>
          <w:szCs w:val="32"/>
          <w:highlight w:val="none"/>
        </w:rPr>
        <w:t>问卷调查表，并按照一定的问卷数量开展问卷调查，对</w:t>
      </w:r>
      <w:r>
        <w:rPr>
          <w:rFonts w:hint="eastAsia" w:ascii="Times New Roman" w:hAnsi="Times New Roman" w:eastAsia="仿宋_GB2312" w:cs="Times New Roman"/>
          <w:bCs/>
          <w:kern w:val="2"/>
          <w:sz w:val="32"/>
          <w:szCs w:val="32"/>
          <w:highlight w:val="none"/>
          <w:lang w:eastAsia="zh-CN"/>
        </w:rPr>
        <w:t>回收的</w:t>
      </w:r>
      <w:r>
        <w:rPr>
          <w:rFonts w:hint="eastAsia" w:ascii="Times New Roman" w:hAnsi="Times New Roman" w:eastAsia="仿宋_GB2312" w:cs="Times New Roman"/>
          <w:bCs/>
          <w:kern w:val="2"/>
          <w:sz w:val="32"/>
          <w:szCs w:val="32"/>
          <w:highlight w:val="none"/>
        </w:rPr>
        <w:t>问卷数据进行整理与分析，将问卷汇总结果作为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（4）调研结束后对</w:t>
      </w:r>
      <w:r>
        <w:rPr>
          <w:rFonts w:hint="eastAsia" w:ascii="Times New Roman" w:hAnsi="Times New Roman" w:eastAsia="仿宋_GB2312" w:cs="Times New Roman"/>
          <w:bCs/>
          <w:kern w:val="2"/>
          <w:sz w:val="32"/>
          <w:szCs w:val="32"/>
          <w:highlight w:val="none"/>
          <w:lang w:eastAsia="zh-CN"/>
        </w:rPr>
        <w:t>现场</w:t>
      </w:r>
      <w:r>
        <w:rPr>
          <w:rFonts w:hint="eastAsia" w:ascii="Times New Roman" w:hAnsi="Times New Roman" w:eastAsia="仿宋_GB2312" w:cs="Times New Roman"/>
          <w:bCs/>
          <w:kern w:val="2"/>
          <w:sz w:val="32"/>
          <w:szCs w:val="32"/>
          <w:highlight w:val="none"/>
        </w:rPr>
        <w:t>调研记录进行整理与分析，</w:t>
      </w:r>
      <w:r>
        <w:rPr>
          <w:rFonts w:hint="eastAsia" w:ascii="Times New Roman" w:hAnsi="Times New Roman" w:eastAsia="仿宋_GB2312" w:cs="Times New Roman"/>
          <w:bCs/>
          <w:kern w:val="2"/>
          <w:sz w:val="32"/>
          <w:szCs w:val="32"/>
          <w:highlight w:val="none"/>
          <w:lang w:eastAsia="zh-CN"/>
        </w:rPr>
        <w:t>形成综合评价的基础数据</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w:t>
      </w:r>
      <w:r>
        <w:rPr>
          <w:rFonts w:hint="eastAsia" w:ascii="Times New Roman" w:hAnsi="Times New Roman" w:eastAsia="仿宋_GB2312" w:cs="Times New Roman"/>
          <w:bCs/>
          <w:kern w:val="2"/>
          <w:sz w:val="32"/>
          <w:szCs w:val="32"/>
          <w:highlight w:val="none"/>
        </w:rPr>
        <w:t>现场评价工作</w:t>
      </w:r>
      <w:r>
        <w:rPr>
          <w:rFonts w:hint="eastAsia" w:ascii="Times New Roman" w:hAnsi="Times New Roman" w:eastAsia="仿宋_GB2312" w:cs="Times New Roman"/>
          <w:bCs/>
          <w:kern w:val="2"/>
          <w:sz w:val="32"/>
          <w:szCs w:val="32"/>
          <w:highlight w:val="none"/>
          <w:lang w:eastAsia="zh-CN"/>
        </w:rPr>
        <w:t>取</w:t>
      </w:r>
      <w:r>
        <w:rPr>
          <w:rFonts w:hint="eastAsia" w:ascii="Times New Roman" w:hAnsi="Times New Roman" w:eastAsia="仿宋_GB2312" w:cs="Times New Roman"/>
          <w:bCs/>
          <w:kern w:val="2"/>
          <w:sz w:val="32"/>
          <w:szCs w:val="32"/>
          <w:highlight w:val="none"/>
        </w:rPr>
        <w:t>得的资料，</w:t>
      </w:r>
      <w:r>
        <w:rPr>
          <w:rFonts w:hint="eastAsia" w:ascii="Times New Roman" w:hAnsi="Times New Roman" w:eastAsia="仿宋_GB2312" w:cs="Times New Roman"/>
          <w:bCs/>
          <w:kern w:val="2"/>
          <w:sz w:val="32"/>
          <w:szCs w:val="32"/>
          <w:highlight w:val="none"/>
          <w:lang w:eastAsia="zh-CN"/>
        </w:rPr>
        <w:t>依据</w:t>
      </w:r>
      <w:r>
        <w:rPr>
          <w:rFonts w:hint="eastAsia" w:ascii="Times New Roman" w:hAnsi="Times New Roman" w:eastAsia="仿宋_GB2312" w:cs="Times New Roman"/>
          <w:bCs/>
          <w:kern w:val="2"/>
          <w:sz w:val="32"/>
          <w:szCs w:val="32"/>
          <w:highlight w:val="none"/>
          <w:lang w:val="en-US" w:eastAsia="zh-CN"/>
        </w:rPr>
        <w:t>评价工作方案确定的评价指标、评价权重、评价标准和评价方法，对评价对象进行全面的定量、定性分析和综合评价，形成评价结论。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单位的绩效评价情况，撰写绩效自评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兴县林业局黄河沿岸（兴县段）生态保护修复工程全年预算金额2,000.00万元，全年支出金额2,000.00万元。执行率=全年支出金额/全年预算金额=2,000.00 /2,000.00*100.00%=100.00%。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表2-1产出指标评分情况表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B产出</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1数量指标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11</w:t>
            </w:r>
            <w:r>
              <w:rPr>
                <w:rFonts w:hint="eastAsia" w:ascii="Times New Roman" w:hAnsi="Times New Roman" w:cs="Times New Roman"/>
                <w:bCs/>
                <w:kern w:val="2"/>
                <w:sz w:val="20"/>
                <w:szCs w:val="20"/>
                <w:highlight w:val="none"/>
                <w:vertAlign w:val="baseline"/>
                <w:lang w:val="en-US" w:eastAsia="zh-CN"/>
              </w:rPr>
              <w:t>沿黄公路两侧绿化</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B12可视山体绿化</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2质量指标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验收合格率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3时效指标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31</w:t>
            </w:r>
            <w:r>
              <w:rPr>
                <w:rFonts w:hint="eastAsia" w:ascii="Times New Roman" w:hAnsi="Times New Roman" w:cs="Times New Roman"/>
                <w:bCs/>
                <w:kern w:val="2"/>
                <w:sz w:val="20"/>
                <w:szCs w:val="20"/>
                <w:highlight w:val="none"/>
                <w:vertAlign w:val="baseline"/>
                <w:lang w:val="en-US" w:eastAsia="zh-CN"/>
              </w:rPr>
              <w:t>完成及时性</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4成本指标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41预算成本完成率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r>
    </w:tbl>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B11沿黄公路两侧绿化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兴县林业局“黄河沿岸（兴县段）生态保护修复工程”拟对兴县段沿黄公路两侧绿化带进行绿化，绿化面积约537亩，</w:t>
      </w:r>
      <w:r>
        <w:rPr>
          <w:rFonts w:hint="eastAsia" w:ascii="Times New Roman" w:hAnsi="Times New Roman" w:eastAsia="仿宋_GB2312" w:cs="Times New Roman"/>
          <w:bCs/>
          <w:kern w:val="2"/>
          <w:sz w:val="32"/>
          <w:szCs w:val="32"/>
          <w:highlight w:val="yellow"/>
          <w:lang w:val="en-US" w:eastAsia="zh-CN"/>
        </w:rPr>
        <w:t>实际项目内容已按标准完成</w:t>
      </w:r>
      <w:r>
        <w:rPr>
          <w:rFonts w:hint="eastAsia" w:ascii="Times New Roman" w:hAnsi="Times New Roman" w:eastAsia="仿宋_GB2312" w:cs="Times New Roman"/>
          <w:bCs/>
          <w:kern w:val="2"/>
          <w:sz w:val="32"/>
          <w:szCs w:val="32"/>
          <w:highlight w:val="none"/>
          <w:lang w:val="en-US" w:eastAsia="zh-CN"/>
        </w:rPr>
        <w:t>。依据项目支出绩效自评得分规则，沿黄公路两侧绿化得10分。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B12可视山体绿化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兴县林业局“黄河沿岸（兴县段）生态保护修复工程”拟对兴县段沿黄公路可视山体进行绿化，绿化长度85公里，绿化面积约51000亩，</w:t>
      </w:r>
      <w:r>
        <w:rPr>
          <w:rFonts w:hint="eastAsia" w:ascii="Times New Roman" w:hAnsi="Times New Roman" w:eastAsia="仿宋_GB2312" w:cs="Times New Roman"/>
          <w:bCs/>
          <w:kern w:val="2"/>
          <w:sz w:val="32"/>
          <w:szCs w:val="32"/>
          <w:highlight w:val="yellow"/>
          <w:lang w:val="en-US" w:eastAsia="zh-CN"/>
        </w:rPr>
        <w:t>实际项目内容已按标准完成</w:t>
      </w:r>
      <w:r>
        <w:rPr>
          <w:rFonts w:hint="eastAsia" w:ascii="Times New Roman" w:hAnsi="Times New Roman" w:eastAsia="仿宋_GB2312" w:cs="Times New Roman"/>
          <w:bCs/>
          <w:kern w:val="2"/>
          <w:sz w:val="32"/>
          <w:szCs w:val="32"/>
          <w:highlight w:val="none"/>
          <w:lang w:val="en-US" w:eastAsia="zh-CN"/>
        </w:rPr>
        <w:t>。依据项目支出绩效自评得分规则，可视山体绿化得10分。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（3）B21验收合格率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兴县林业局“黄河沿岸（兴县段）生态保护修复工程”</w:t>
      </w:r>
      <w:r>
        <w:rPr>
          <w:rFonts w:hint="eastAsia" w:ascii="Times New Roman" w:hAnsi="Times New Roman" w:eastAsia="仿宋_GB2312" w:cs="Times New Roman"/>
          <w:bCs/>
          <w:kern w:val="2"/>
          <w:sz w:val="32"/>
          <w:szCs w:val="32"/>
          <w:highlight w:val="yellow"/>
          <w:lang w:val="en-US" w:eastAsia="zh-CN"/>
        </w:rPr>
        <w:t>项目建设内容均已通过验收</w:t>
      </w:r>
      <w:r>
        <w:rPr>
          <w:rFonts w:hint="eastAsia" w:ascii="Times New Roman" w:hAnsi="Times New Roman" w:eastAsia="仿宋_GB2312" w:cs="Times New Roman"/>
          <w:bCs/>
          <w:kern w:val="2"/>
          <w:sz w:val="32"/>
          <w:szCs w:val="32"/>
          <w:highlight w:val="none"/>
          <w:lang w:val="en-US" w:eastAsia="zh-CN"/>
        </w:rPr>
        <w:t>。依据项目支出绩效自评得分规则，项目验收合格率得10分。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（4）B31完成及时性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兴县林业局“黄河沿岸（兴县段）生态保护修复工程”项目</w:t>
      </w:r>
      <w:r>
        <w:rPr>
          <w:rFonts w:hint="eastAsia" w:ascii="Times New Roman" w:hAnsi="Times New Roman" w:eastAsia="仿宋_GB2312" w:cs="Times New Roman"/>
          <w:bCs/>
          <w:kern w:val="2"/>
          <w:sz w:val="32"/>
          <w:szCs w:val="32"/>
          <w:highlight w:val="yellow"/>
          <w:lang w:val="en-US" w:eastAsia="zh-CN"/>
        </w:rPr>
        <w:t>已按照计划时间开工并完工验收</w:t>
      </w:r>
      <w:r>
        <w:rPr>
          <w:rFonts w:hint="eastAsia" w:ascii="Times New Roman" w:hAnsi="Times New Roman" w:eastAsia="仿宋_GB2312" w:cs="Times New Roman"/>
          <w:bCs/>
          <w:kern w:val="2"/>
          <w:sz w:val="32"/>
          <w:szCs w:val="32"/>
          <w:highlight w:val="none"/>
          <w:lang w:val="en-US" w:eastAsia="zh-CN"/>
        </w:rPr>
        <w:t>。依据项目支出绩效自评得分规则，项目完成及时性得分10分。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（5）B41预算成本完成率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兴县林业局“黄河沿岸（兴县段）生态保护修复工程”项目预算资金2,000.00万元，实际支付资金2,000.00万元，预算成本完成率100.00%。预算成本完成率10分。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效果指标从经济效益、社会效益、生态效益和可持续影响四个方面进行考察，效果指标分值共计30分，本项目实际得分27分，详见下表：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C效果</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C1项目效果</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11</w:t>
            </w:r>
            <w:r>
              <w:rPr>
                <w:rFonts w:hint="eastAsia" w:ascii="Arial" w:hAnsi="Arial" w:cs="Arial"/>
                <w:bCs/>
                <w:kern w:val="2"/>
                <w:sz w:val="20"/>
                <w:szCs w:val="20"/>
                <w:highlight w:val="none"/>
                <w:vertAlign w:val="baseline"/>
                <w:lang w:val="en-US" w:eastAsia="zh-CN"/>
              </w:rPr>
              <w:t>经济</w:t>
            </w:r>
            <w:r>
              <w:rPr>
                <w:rFonts w:hint="default" w:ascii="Arial" w:hAnsi="Arial" w:cs="Arial"/>
                <w:bCs/>
                <w:kern w:val="2"/>
                <w:sz w:val="20"/>
                <w:szCs w:val="20"/>
                <w:highlight w:val="none"/>
                <w:vertAlign w:val="baseline"/>
                <w:lang w:val="en-US" w:eastAsia="zh-CN"/>
              </w:rPr>
              <w:t>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C12社会效益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3生态效益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4可持续影响</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27</w:t>
            </w:r>
          </w:p>
        </w:tc>
      </w:tr>
    </w:tbl>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w:t>
      </w:r>
      <w:r>
        <w:rPr>
          <w:rFonts w:hint="default"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val="en-US" w:eastAsia="zh-CN"/>
        </w:rPr>
        <w:t>1经济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的实施可间接促进兴县的经济发展和社会进步，为招商引资创造条件，拉动兴县经济发展。通过园林城市的建设，促进观念更新、市场创新、技术创新，促进兴县新区经济的发展。依据项目支出绩效自评得分规则，经济效益得4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C12</w:t>
      </w: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绿化植物能以其花叶的不同形态、色彩和周边的黄河风情、黄土风貌很好地融合，与沿线村庄浓郁的乡土风情相结合，改善村容村貌，自然景观。协调发展生态景观，展现人居舒适的生态景象。产生的社会效益较好。依据项目支出绩效自评得分规则，社会效益得7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w:t>
      </w:r>
      <w:r>
        <w:rPr>
          <w:rFonts w:hint="default"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val="en-US" w:eastAsia="zh-CN"/>
        </w:rPr>
        <w:t>3生态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树种结构可得到明显改善；林地碳汇量可得到显著增加；森林景观效果可得到快速提升。生态效益主要体现在乡村森林调节气候、涵养水源、保持水土、防风固沙、净化空气、美化环境等方面。依据项目支出绩效自评得分规则，生态效益得8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C14可持续影响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兴县林业局“黄河沿岸（兴县段）生态保护修复工程”项目</w:t>
      </w:r>
      <w:r>
        <w:rPr>
          <w:rFonts w:hint="default" w:ascii="Times New Roman" w:hAnsi="Times New Roman" w:eastAsia="仿宋_GB2312" w:cs="Times New Roman"/>
          <w:bCs/>
          <w:kern w:val="2"/>
          <w:sz w:val="32"/>
          <w:szCs w:val="32"/>
          <w:highlight w:val="none"/>
          <w:lang w:val="en-US" w:eastAsia="zh-CN"/>
        </w:rPr>
        <w:t>的实施，</w:t>
      </w:r>
      <w:r>
        <w:rPr>
          <w:rFonts w:hint="eastAsia" w:ascii="Times New Roman" w:hAnsi="Times New Roman" w:eastAsia="仿宋_GB2312" w:cs="Times New Roman"/>
          <w:bCs/>
          <w:kern w:val="2"/>
          <w:sz w:val="32"/>
          <w:szCs w:val="32"/>
          <w:highlight w:val="none"/>
          <w:lang w:val="en-US" w:eastAsia="zh-CN"/>
        </w:rPr>
        <w:t>不仅可以有效地美化黄河沿岸生态环境，同时将有效地抵御自然灾害，减少暴雨、干旱等自然灾害对人民生命财产的威胁，必将产生较强的可持续影响。依据项目支出绩效自评得分规则，可持续影响得8分。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1服务对象</w:t>
      </w:r>
      <w:r>
        <w:rPr>
          <w:rFonts w:hint="default" w:ascii="Times New Roman" w:hAnsi="Times New Roman" w:eastAsia="仿宋_GB2312" w:cs="Times New Roman"/>
          <w:bCs/>
          <w:kern w:val="2"/>
          <w:sz w:val="32"/>
          <w:szCs w:val="32"/>
          <w:highlight w:val="none"/>
          <w:lang w:val="en-US" w:eastAsia="zh-CN"/>
        </w:rPr>
        <w:t>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，该指标采取问卷调查的方式，问卷调查采取对利益相关方全覆盖的方式，通过随机抽查方式发放问卷50份，实际收回50</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。其中：48份非常满意、2份满意。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依据项目支出绩效自评得分规则，满意度等级从非常满意到不满意的权重分别为100%、80%、50%、0，项目满意度＝（非常满意数*100%+满意数*80%+一般数*50%+不满意数*0）/调查问卷回收总数*100%。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 *10为服务对象满意度最终得分。</w:t>
      </w:r>
      <w:r>
        <w:rPr>
          <w:rFonts w:hint="eastAsia" w:ascii="Times New Roman" w:hAnsi="Times New Roman" w:eastAsia="仿宋_GB2312" w:cs="Times New Roman"/>
          <w:bCs/>
          <w:kern w:val="2"/>
          <w:sz w:val="32"/>
          <w:szCs w:val="32"/>
          <w:highlight w:val="none"/>
          <w:lang w:val="en-US" w:eastAsia="zh-CN"/>
        </w:rPr>
        <w:t>项目满意度99.20%，</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9.92</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本次绩效评价</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兴县林业局“黄河沿岸（兴县段）生态保护修复工程”项目绩效评价得分</w:t>
      </w:r>
      <w:r>
        <w:rPr>
          <w:rFonts w:hint="eastAsia" w:ascii="Times New Roman" w:hAnsi="Times New Roman" w:eastAsia="仿宋_GB2312" w:cs="Times New Roman"/>
          <w:bCs/>
          <w:kern w:val="2"/>
          <w:sz w:val="32"/>
          <w:szCs w:val="32"/>
          <w:highlight w:val="none"/>
          <w:lang w:val="en-US" w:eastAsia="zh-CN"/>
        </w:rPr>
        <w:t>为96.92</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兴县林业局认真贯彻县委工作会议精神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rPr>
        <w:t>探索典型经验示范带动，</w:t>
      </w:r>
      <w:r>
        <w:rPr>
          <w:rFonts w:hint="eastAsia" w:ascii="Times New Roman" w:hAnsi="Times New Roman" w:eastAsia="仿宋_GB2312" w:cs="Times New Roman"/>
          <w:bCs/>
          <w:kern w:val="2"/>
          <w:sz w:val="32"/>
          <w:szCs w:val="32"/>
          <w:highlight w:val="none"/>
          <w:lang w:eastAsia="zh-CN"/>
        </w:rPr>
        <w:t>进一步</w:t>
      </w:r>
      <w:r>
        <w:rPr>
          <w:rFonts w:hint="eastAsia" w:ascii="Times New Roman" w:hAnsi="Times New Roman" w:eastAsia="仿宋_GB2312" w:cs="Times New Roman"/>
          <w:bCs/>
          <w:kern w:val="2"/>
          <w:sz w:val="32"/>
          <w:szCs w:val="32"/>
          <w:highlight w:val="none"/>
        </w:rPr>
        <w:t>落实主体责任</w:t>
      </w:r>
      <w:r>
        <w:rPr>
          <w:rFonts w:hint="eastAsia" w:ascii="Times New Roman" w:hAnsi="Times New Roman" w:eastAsia="仿宋_GB2312" w:cs="Times New Roman"/>
          <w:bCs/>
          <w:kern w:val="2"/>
          <w:sz w:val="32"/>
          <w:szCs w:val="32"/>
          <w:highlight w:val="none"/>
          <w:lang w:eastAsia="zh-CN"/>
        </w:rPr>
        <w:t>。做到责任明确，分工明确。对工作开展得好、资金使用效益高的项目，在分配财政资金时给予奖励和倾斜。对不作为、乱作为等行为，严肃追究相关人员责任，做到财政资金使用的精准、安全、高效，确保如期完成每一项工作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做出贡献。</w:t>
      </w: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兴县林业局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兴县林业局“黄河沿岸（兴县段）生态保护修复工程”财政支出绩效自评报告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兴县林业局“黄河沿岸（兴县段）生态保护修复工程”财政支出绩效自评报告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ZDU1MWMwNjE4NDEzZjZiYmRmOWY2YjNjOWZjZTQifQ=="/>
  </w:docVars>
  <w:rsids>
    <w:rsidRoot w:val="775478D8"/>
    <w:rsid w:val="004825E7"/>
    <w:rsid w:val="00511FBA"/>
    <w:rsid w:val="00710DB9"/>
    <w:rsid w:val="007842AE"/>
    <w:rsid w:val="00A858D8"/>
    <w:rsid w:val="01034337"/>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14D81"/>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2C2222"/>
    <w:rsid w:val="295F2E2B"/>
    <w:rsid w:val="2965576D"/>
    <w:rsid w:val="29A171E3"/>
    <w:rsid w:val="2A14362B"/>
    <w:rsid w:val="2A4A7AF0"/>
    <w:rsid w:val="2A7A5999"/>
    <w:rsid w:val="2AF96231"/>
    <w:rsid w:val="2BB661FC"/>
    <w:rsid w:val="2BBE7056"/>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4A6796"/>
    <w:rsid w:val="378473D3"/>
    <w:rsid w:val="387C133F"/>
    <w:rsid w:val="38AD350C"/>
    <w:rsid w:val="38C81578"/>
    <w:rsid w:val="39C0385F"/>
    <w:rsid w:val="3A5B2FBD"/>
    <w:rsid w:val="3B267196"/>
    <w:rsid w:val="3B6C3ED7"/>
    <w:rsid w:val="3BB86365"/>
    <w:rsid w:val="3BD16BF1"/>
    <w:rsid w:val="3D685812"/>
    <w:rsid w:val="3D754856"/>
    <w:rsid w:val="3DA75B0A"/>
    <w:rsid w:val="3E1D4AE0"/>
    <w:rsid w:val="3E493C55"/>
    <w:rsid w:val="3F4C1E14"/>
    <w:rsid w:val="3FE8302B"/>
    <w:rsid w:val="41AA260C"/>
    <w:rsid w:val="42143DB4"/>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44763"/>
    <w:rsid w:val="52261143"/>
    <w:rsid w:val="523B4113"/>
    <w:rsid w:val="5295255D"/>
    <w:rsid w:val="52A24D78"/>
    <w:rsid w:val="52F668CE"/>
    <w:rsid w:val="52FE7451"/>
    <w:rsid w:val="539D1642"/>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086021"/>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3C00C1"/>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4897F49"/>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6700</Words>
  <Characters>7039</Characters>
  <Lines>0</Lines>
  <Paragraphs>0</Paragraphs>
  <TotalTime>22</TotalTime>
  <ScaleCrop>false</ScaleCrop>
  <LinksUpToDate>false</LinksUpToDate>
  <CharactersWithSpaces>7070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cp:lastModifiedBy>
  <cp:lastPrinted>2019-12-03T05:31:00Z</cp:lastPrinted>
  <dcterms:modified xsi:type="dcterms:W3CDTF">2024-01-15T09:11:15Z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A38C7AA8EF1B4A3F9406716742067A39</vt:lpwstr>
  </property>
</Properties>
</file>