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234"/>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9"/>
        </w:rPr>
        <w:t>中国共产党兴县纪律检查委员会</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30</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30</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32</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5" w:right="1475" w:firstLine="11"/>
        <w:spacing w:before="281" w:line="286" w:lineRule="auto"/>
        <w:rPr>
          <w:rFonts w:ascii="FangSong" w:hAnsi="FangSong" w:eastAsia="FangSong" w:cs="FangSong"/>
          <w:sz w:val="24"/>
          <w:szCs w:val="24"/>
        </w:rPr>
      </w:pPr>
      <w:r>
        <w:rPr>
          <w:rFonts w:ascii="FangSong" w:hAnsi="FangSong" w:eastAsia="FangSong" w:cs="FangSong"/>
          <w:sz w:val="24"/>
          <w:szCs w:val="24"/>
          <w:spacing w:val="2"/>
        </w:rPr>
        <w:t>1、负责党的纪律检查工作。贯彻落实党中央、</w:t>
      </w:r>
      <w:r>
        <w:rPr>
          <w:rFonts w:ascii="FangSong" w:hAnsi="FangSong" w:eastAsia="FangSong" w:cs="FangSong"/>
          <w:sz w:val="24"/>
          <w:szCs w:val="24"/>
          <w:spacing w:val="-57"/>
        </w:rPr>
        <w:t xml:space="preserve"> </w:t>
      </w:r>
      <w:r>
        <w:rPr>
          <w:rFonts w:ascii="FangSong" w:hAnsi="FangSong" w:eastAsia="FangSong" w:cs="FangSong"/>
          <w:sz w:val="24"/>
          <w:szCs w:val="24"/>
          <w:spacing w:val="2"/>
        </w:rPr>
        <w:t>中央纪委、省委、省纪委、市委、市</w:t>
      </w:r>
      <w:r>
        <w:rPr>
          <w:rFonts w:ascii="FangSong" w:hAnsi="FangSong" w:eastAsia="FangSong" w:cs="FangSong"/>
          <w:sz w:val="24"/>
          <w:szCs w:val="24"/>
        </w:rPr>
        <w:t xml:space="preserve"> </w:t>
      </w:r>
      <w:r>
        <w:rPr>
          <w:rFonts w:ascii="FangSong" w:hAnsi="FangSong" w:eastAsia="FangSong" w:cs="FangSong"/>
          <w:sz w:val="24"/>
          <w:szCs w:val="24"/>
          <w:spacing w:val="1"/>
        </w:rPr>
        <w:t>纪委和县委关于纪律检查工作的决定,维护党的章程和其他党内</w:t>
      </w:r>
      <w:r>
        <w:rPr>
          <w:rFonts w:ascii="FangSong" w:hAnsi="FangSong" w:eastAsia="FangSong" w:cs="FangSong"/>
          <w:sz w:val="24"/>
          <w:szCs w:val="24"/>
        </w:rPr>
        <w:t>法规,检查党的路线方</w:t>
      </w:r>
      <w:r>
        <w:rPr>
          <w:rFonts w:ascii="FangSong" w:hAnsi="FangSong" w:eastAsia="FangSong" w:cs="FangSong"/>
          <w:sz w:val="24"/>
          <w:szCs w:val="24"/>
        </w:rPr>
        <w:t xml:space="preserve"> </w:t>
      </w:r>
      <w:r>
        <w:rPr>
          <w:rFonts w:ascii="FangSong" w:hAnsi="FangSong" w:eastAsia="FangSong" w:cs="FangSong"/>
          <w:sz w:val="24"/>
          <w:szCs w:val="24"/>
          <w:spacing w:val="4"/>
        </w:rPr>
        <w:t>针政策和决议的执行情况,协助县委推进全面从严治党、加强党风建设和组织协调反</w:t>
      </w:r>
      <w:r>
        <w:rPr>
          <w:rFonts w:ascii="FangSong" w:hAnsi="FangSong" w:eastAsia="FangSong" w:cs="FangSong"/>
          <w:sz w:val="24"/>
          <w:szCs w:val="24"/>
        </w:rPr>
        <w:t xml:space="preserve"> </w:t>
      </w:r>
      <w:r>
        <w:rPr>
          <w:rFonts w:ascii="FangSong" w:hAnsi="FangSong" w:eastAsia="FangSong" w:cs="FangSong"/>
          <w:sz w:val="24"/>
          <w:szCs w:val="24"/>
          <w:spacing w:val="-8"/>
        </w:rPr>
        <w:t>腐败工作。</w:t>
      </w:r>
    </w:p>
    <w:p>
      <w:pPr>
        <w:ind w:left="1513" w:right="1474" w:hanging="2"/>
        <w:spacing w:before="121" w:line="295" w:lineRule="auto"/>
        <w:rPr>
          <w:rFonts w:ascii="FangSong" w:hAnsi="FangSong" w:eastAsia="FangSong" w:cs="FangSong"/>
          <w:sz w:val="24"/>
          <w:szCs w:val="24"/>
        </w:rPr>
      </w:pPr>
      <w:r>
        <w:rPr>
          <w:rFonts w:ascii="FangSong" w:hAnsi="FangSong" w:eastAsia="FangSong" w:cs="FangSong"/>
          <w:sz w:val="24"/>
          <w:szCs w:val="24"/>
          <w:spacing w:val="4"/>
        </w:rPr>
        <w:t>2、依照党的章程和其他党内法规履行监督、执纪、问责职责。负责经常对党员进行</w:t>
      </w:r>
      <w:r>
        <w:rPr>
          <w:rFonts w:ascii="FangSong" w:hAnsi="FangSong" w:eastAsia="FangSong" w:cs="FangSong"/>
          <w:sz w:val="24"/>
          <w:szCs w:val="24"/>
          <w:spacing w:val="4"/>
        </w:rPr>
        <w:t xml:space="preserve"> </w:t>
      </w:r>
      <w:r>
        <w:rPr>
          <w:rFonts w:ascii="FangSong" w:hAnsi="FangSong" w:eastAsia="FangSong" w:cs="FangSong"/>
          <w:sz w:val="24"/>
          <w:szCs w:val="24"/>
          <w:spacing w:val="4"/>
        </w:rPr>
        <w:t>遵守纪律的教育,作出关于维护党纪的决定；对县委工作部门、县委批准设立的党组</w:t>
      </w:r>
      <w:r>
        <w:rPr>
          <w:rFonts w:ascii="FangSong" w:hAnsi="FangSong" w:eastAsia="FangSong" w:cs="FangSong"/>
          <w:sz w:val="24"/>
          <w:szCs w:val="24"/>
          <w:spacing w:val="1"/>
        </w:rPr>
        <w:t xml:space="preserve"> </w:t>
      </w:r>
      <w:r>
        <w:rPr>
          <w:rFonts w:ascii="FangSong" w:hAnsi="FangSong" w:eastAsia="FangSong" w:cs="FangSong"/>
          <w:sz w:val="24"/>
          <w:szCs w:val="24"/>
          <w:spacing w:val="4"/>
        </w:rPr>
        <w:t>(党委),乡镇党委、纪委等党的组织和县委管理的党员领导干部履行职责、行</w:t>
      </w:r>
      <w:r>
        <w:rPr>
          <w:rFonts w:ascii="FangSong" w:hAnsi="FangSong" w:eastAsia="FangSong" w:cs="FangSong"/>
          <w:sz w:val="24"/>
          <w:szCs w:val="24"/>
          <w:spacing w:val="3"/>
        </w:rPr>
        <w:t>使权力</w:t>
      </w:r>
      <w:r>
        <w:rPr>
          <w:rFonts w:ascii="FangSong" w:hAnsi="FangSong" w:eastAsia="FangSong" w:cs="FangSong"/>
          <w:sz w:val="24"/>
          <w:szCs w:val="24"/>
        </w:rPr>
        <w:t xml:space="preserve"> </w:t>
      </w:r>
      <w:r>
        <w:rPr>
          <w:rFonts w:ascii="FangSong" w:hAnsi="FangSong" w:eastAsia="FangSong" w:cs="FangSong"/>
          <w:sz w:val="24"/>
          <w:szCs w:val="24"/>
          <w:spacing w:val="4"/>
        </w:rPr>
        <w:t>进行监督,受理处置党员群众检举举报,开展谈话提醒、约谈函询;检查和处理</w:t>
      </w:r>
      <w:r>
        <w:rPr>
          <w:rFonts w:ascii="FangSong" w:hAnsi="FangSong" w:eastAsia="FangSong" w:cs="FangSong"/>
          <w:sz w:val="24"/>
          <w:szCs w:val="24"/>
          <w:spacing w:val="3"/>
        </w:rPr>
        <w:t>上述党</w:t>
      </w:r>
      <w:r>
        <w:rPr>
          <w:rFonts w:ascii="FangSong" w:hAnsi="FangSong" w:eastAsia="FangSong" w:cs="FangSong"/>
          <w:sz w:val="24"/>
          <w:szCs w:val="24"/>
        </w:rPr>
        <w:t xml:space="preserve"> </w:t>
      </w:r>
      <w:r>
        <w:rPr>
          <w:rFonts w:ascii="FangSong" w:hAnsi="FangSong" w:eastAsia="FangSong" w:cs="FangSong"/>
          <w:sz w:val="24"/>
          <w:szCs w:val="24"/>
          <w:spacing w:val="4"/>
        </w:rPr>
        <w:t>的组织和党员违反党的章程和其他党内法规的比较重要或者复杂的案件,决定或者取</w:t>
      </w:r>
      <w:r>
        <w:rPr>
          <w:rFonts w:ascii="FangSong" w:hAnsi="FangSong" w:eastAsia="FangSong" w:cs="FangSong"/>
          <w:sz w:val="24"/>
          <w:szCs w:val="24"/>
          <w:spacing w:val="1"/>
        </w:rPr>
        <w:t xml:space="preserve"> </w:t>
      </w:r>
      <w:r>
        <w:rPr>
          <w:rFonts w:ascii="FangSong" w:hAnsi="FangSong" w:eastAsia="FangSong" w:cs="FangSong"/>
          <w:sz w:val="24"/>
          <w:szCs w:val="24"/>
          <w:spacing w:val="1"/>
        </w:rPr>
        <w:t>消对这些案件中的党员的处分；进行问责或提出责任追究的建议；</w:t>
      </w:r>
      <w:r>
        <w:rPr>
          <w:rFonts w:ascii="FangSong" w:hAnsi="FangSong" w:eastAsia="FangSong" w:cs="FangSong"/>
          <w:sz w:val="24"/>
          <w:szCs w:val="24"/>
        </w:rPr>
        <w:t>受理党员的控告和</w:t>
      </w:r>
      <w:r>
        <w:rPr>
          <w:rFonts w:ascii="FangSong" w:hAnsi="FangSong" w:eastAsia="FangSong" w:cs="FangSong"/>
          <w:sz w:val="24"/>
          <w:szCs w:val="24"/>
        </w:rPr>
        <w:t xml:space="preserve"> </w:t>
      </w:r>
      <w:r>
        <w:rPr>
          <w:rFonts w:ascii="FangSong" w:hAnsi="FangSong" w:eastAsia="FangSong" w:cs="FangSong"/>
          <w:sz w:val="24"/>
          <w:szCs w:val="24"/>
          <w:spacing w:val="-4"/>
        </w:rPr>
        <w:t>申诉;保障党员的权利。</w:t>
      </w:r>
    </w:p>
    <w:p>
      <w:pPr>
        <w:ind w:left="1517" w:right="1475" w:hanging="4"/>
        <w:spacing w:before="118" w:line="260" w:lineRule="auto"/>
        <w:rPr>
          <w:rFonts w:ascii="FangSong" w:hAnsi="FangSong" w:eastAsia="FangSong" w:cs="FangSong"/>
          <w:sz w:val="24"/>
          <w:szCs w:val="24"/>
        </w:rPr>
      </w:pPr>
      <w:r>
        <w:rPr>
          <w:rFonts w:ascii="FangSong" w:hAnsi="FangSong" w:eastAsia="FangSong" w:cs="FangSong"/>
          <w:sz w:val="24"/>
          <w:szCs w:val="24"/>
          <w:spacing w:val="4"/>
        </w:rPr>
        <w:t>3、在市委巡察工作领导小组和县委领导下组织开展巡察工作。配合县委巡察工作领</w:t>
      </w:r>
      <w:r>
        <w:rPr>
          <w:rFonts w:ascii="FangSong" w:hAnsi="FangSong" w:eastAsia="FangSong" w:cs="FangSong"/>
          <w:sz w:val="24"/>
          <w:szCs w:val="24"/>
          <w:spacing w:val="2"/>
        </w:rPr>
        <w:t xml:space="preserve"> </w:t>
      </w:r>
      <w:r>
        <w:rPr>
          <w:rFonts w:ascii="FangSong" w:hAnsi="FangSong" w:eastAsia="FangSong" w:cs="FangSong"/>
          <w:sz w:val="24"/>
          <w:szCs w:val="24"/>
          <w:spacing w:val="-2"/>
        </w:rPr>
        <w:t>导小组指导县委和乡镇党委,县直有关部门党组(党委)巡察工作。</w:t>
      </w:r>
    </w:p>
    <w:p>
      <w:pPr>
        <w:ind w:left="1518" w:right="1474" w:hanging="11"/>
        <w:spacing w:before="120" w:line="277" w:lineRule="auto"/>
        <w:rPr>
          <w:rFonts w:ascii="FangSong" w:hAnsi="FangSong" w:eastAsia="FangSong" w:cs="FangSong"/>
          <w:sz w:val="24"/>
          <w:szCs w:val="24"/>
        </w:rPr>
      </w:pPr>
      <w:r>
        <w:rPr>
          <w:rFonts w:ascii="FangSong" w:hAnsi="FangSong" w:eastAsia="FangSong" w:cs="FangSong"/>
          <w:sz w:val="24"/>
          <w:szCs w:val="24"/>
          <w:spacing w:val="1"/>
        </w:rPr>
        <w:t>4、负责全县监察工作。贯彻落实市委、市纪委监委和县委关于监察工作的决定,</w:t>
      </w:r>
      <w:r>
        <w:rPr>
          <w:rFonts w:ascii="FangSong" w:hAnsi="FangSong" w:eastAsia="FangSong" w:cs="FangSong"/>
          <w:sz w:val="24"/>
          <w:szCs w:val="24"/>
        </w:rPr>
        <w:t>维护</w:t>
      </w:r>
      <w:r>
        <w:rPr>
          <w:rFonts w:ascii="FangSong" w:hAnsi="FangSong" w:eastAsia="FangSong" w:cs="FangSong"/>
          <w:sz w:val="24"/>
          <w:szCs w:val="24"/>
        </w:rPr>
        <w:t xml:space="preserve"> </w:t>
      </w:r>
      <w:r>
        <w:rPr>
          <w:rFonts w:ascii="FangSong" w:hAnsi="FangSong" w:eastAsia="FangSong" w:cs="FangSong"/>
          <w:sz w:val="24"/>
          <w:szCs w:val="24"/>
          <w:spacing w:val="1"/>
        </w:rPr>
        <w:t>宪法法律,依法对县委管理的行使公权力的公职人员进行</w:t>
      </w:r>
      <w:r>
        <w:rPr>
          <w:rFonts w:ascii="FangSong" w:hAnsi="FangSong" w:eastAsia="FangSong" w:cs="FangSong"/>
          <w:sz w:val="24"/>
          <w:szCs w:val="24"/>
        </w:rPr>
        <w:t>监察,调查职务违法和职务犯</w:t>
      </w:r>
      <w:r>
        <w:rPr>
          <w:rFonts w:ascii="FangSong" w:hAnsi="FangSong" w:eastAsia="FangSong" w:cs="FangSong"/>
          <w:sz w:val="24"/>
          <w:szCs w:val="24"/>
        </w:rPr>
        <w:t xml:space="preserve"> </w:t>
      </w:r>
      <w:r>
        <w:rPr>
          <w:rFonts w:ascii="FangSong" w:hAnsi="FangSong" w:eastAsia="FangSong" w:cs="FangSong"/>
          <w:sz w:val="24"/>
          <w:szCs w:val="24"/>
          <w:spacing w:val="-4"/>
        </w:rPr>
        <w:t>罪,开展廉政建设和反腐败工作。</w:t>
      </w:r>
    </w:p>
    <w:p>
      <w:pPr>
        <w:ind w:left="1517" w:right="1475" w:hanging="4"/>
        <w:spacing w:before="121" w:line="292" w:lineRule="auto"/>
        <w:rPr>
          <w:rFonts w:ascii="FangSong" w:hAnsi="FangSong" w:eastAsia="FangSong" w:cs="FangSong"/>
          <w:sz w:val="24"/>
          <w:szCs w:val="24"/>
        </w:rPr>
      </w:pPr>
      <w:r>
        <w:rPr>
          <w:rFonts w:ascii="FangSong" w:hAnsi="FangSong" w:eastAsia="FangSong" w:cs="FangSong"/>
          <w:sz w:val="24"/>
          <w:szCs w:val="24"/>
          <w:spacing w:val="1"/>
        </w:rPr>
        <w:t>5、依照法律规定履行监督、调查、处置职责。推动开展廉政教育,</w:t>
      </w:r>
      <w:r>
        <w:rPr>
          <w:rFonts w:ascii="FangSong" w:hAnsi="FangSong" w:eastAsia="FangSong" w:cs="FangSong"/>
          <w:sz w:val="24"/>
          <w:szCs w:val="24"/>
        </w:rPr>
        <w:t>对县委管理的行使</w:t>
      </w:r>
      <w:r>
        <w:rPr>
          <w:rFonts w:ascii="FangSong" w:hAnsi="FangSong" w:eastAsia="FangSong" w:cs="FangSong"/>
          <w:sz w:val="24"/>
          <w:szCs w:val="24"/>
        </w:rPr>
        <w:t xml:space="preserve"> </w:t>
      </w:r>
      <w:r>
        <w:rPr>
          <w:rFonts w:ascii="FangSong" w:hAnsi="FangSong" w:eastAsia="FangSong" w:cs="FangSong"/>
          <w:sz w:val="24"/>
          <w:szCs w:val="24"/>
          <w:spacing w:val="7"/>
        </w:rPr>
        <w:t>公权力的公职人员依法履职、秉公用权、廉洁从政从业及道德操守情况进行监督检</w:t>
      </w:r>
      <w:r>
        <w:rPr>
          <w:rFonts w:ascii="FangSong" w:hAnsi="FangSong" w:eastAsia="FangSong" w:cs="FangSong"/>
          <w:sz w:val="24"/>
          <w:szCs w:val="24"/>
          <w:spacing w:val="14"/>
        </w:rPr>
        <w:t xml:space="preserve"> </w:t>
      </w:r>
      <w:r>
        <w:rPr>
          <w:rFonts w:ascii="FangSong" w:hAnsi="FangSong" w:eastAsia="FangSong" w:cs="FangSong"/>
          <w:sz w:val="24"/>
          <w:szCs w:val="24"/>
          <w:spacing w:val="4"/>
        </w:rPr>
        <w:t>查;对涉嫌贪污贿赂、滥用职权、玩忽职守、权力寻租、利益输送、徇私舞弊以</w:t>
      </w:r>
      <w:r>
        <w:rPr>
          <w:rFonts w:ascii="FangSong" w:hAnsi="FangSong" w:eastAsia="FangSong" w:cs="FangSong"/>
          <w:sz w:val="24"/>
          <w:szCs w:val="24"/>
          <w:spacing w:val="3"/>
        </w:rPr>
        <w:t>及浪</w:t>
      </w:r>
      <w:r>
        <w:rPr>
          <w:rFonts w:ascii="FangSong" w:hAnsi="FangSong" w:eastAsia="FangSong" w:cs="FangSong"/>
          <w:sz w:val="24"/>
          <w:szCs w:val="24"/>
        </w:rPr>
        <w:t xml:space="preserve"> </w:t>
      </w:r>
      <w:r>
        <w:rPr>
          <w:rFonts w:ascii="FangSong" w:hAnsi="FangSong" w:eastAsia="FangSong" w:cs="FangSong"/>
          <w:sz w:val="24"/>
          <w:szCs w:val="24"/>
          <w:spacing w:val="4"/>
        </w:rPr>
        <w:t>费国家资财等职务违法和职务犯罪进行调查;对违法的公职人员依法作出政务处</w:t>
      </w:r>
      <w:r>
        <w:rPr>
          <w:rFonts w:ascii="FangSong" w:hAnsi="FangSong" w:eastAsia="FangSong" w:cs="FangSong"/>
          <w:sz w:val="24"/>
          <w:szCs w:val="24"/>
          <w:spacing w:val="3"/>
        </w:rPr>
        <w:t>分决</w:t>
      </w:r>
      <w:r>
        <w:rPr>
          <w:rFonts w:ascii="FangSong" w:hAnsi="FangSong" w:eastAsia="FangSong" w:cs="FangSong"/>
          <w:sz w:val="24"/>
          <w:szCs w:val="24"/>
        </w:rPr>
        <w:t xml:space="preserve"> </w:t>
      </w:r>
      <w:r>
        <w:rPr>
          <w:rFonts w:ascii="FangSong" w:hAnsi="FangSong" w:eastAsia="FangSong" w:cs="FangSong"/>
          <w:sz w:val="24"/>
          <w:szCs w:val="24"/>
          <w:spacing w:val="4"/>
        </w:rPr>
        <w:t>定；对履行职责不力、失职失责的领导人员进行问责；对涉嫌职务犯罪的,将调</w:t>
      </w:r>
      <w:r>
        <w:rPr>
          <w:rFonts w:ascii="FangSong" w:hAnsi="FangSong" w:eastAsia="FangSong" w:cs="FangSong"/>
          <w:sz w:val="24"/>
          <w:szCs w:val="24"/>
          <w:spacing w:val="3"/>
        </w:rPr>
        <w:t>查结</w:t>
      </w:r>
      <w:r>
        <w:rPr>
          <w:rFonts w:ascii="FangSong" w:hAnsi="FangSong" w:eastAsia="FangSong" w:cs="FangSong"/>
          <w:sz w:val="24"/>
          <w:szCs w:val="24"/>
        </w:rPr>
        <w:t xml:space="preserve"> </w:t>
      </w:r>
      <w:r>
        <w:rPr>
          <w:rFonts w:ascii="FangSong" w:hAnsi="FangSong" w:eastAsia="FangSong" w:cs="FangSong"/>
          <w:sz w:val="24"/>
          <w:szCs w:val="24"/>
          <w:spacing w:val="-2"/>
        </w:rPr>
        <w:t>果移送人民检察院依法审查、提起公诉；向监察对象所在单位提出监察建议。</w:t>
      </w:r>
    </w:p>
    <w:p>
      <w:pPr>
        <w:ind w:left="1510"/>
        <w:spacing w:before="120" w:line="220" w:lineRule="auto"/>
        <w:rPr>
          <w:rFonts w:ascii="FangSong" w:hAnsi="FangSong" w:eastAsia="FangSong" w:cs="FangSong"/>
          <w:sz w:val="24"/>
          <w:szCs w:val="24"/>
        </w:rPr>
      </w:pPr>
      <w:r>
        <w:rPr>
          <w:rFonts w:ascii="FangSong" w:hAnsi="FangSong" w:eastAsia="FangSong" w:cs="FangSong"/>
          <w:sz w:val="24"/>
          <w:szCs w:val="24"/>
          <w:spacing w:val="-1"/>
        </w:rPr>
        <w:t>6、负责组织协调全县的全面从严治党、党风廉政建设和反腐</w:t>
      </w:r>
      <w:r>
        <w:rPr>
          <w:rFonts w:ascii="FangSong" w:hAnsi="FangSong" w:eastAsia="FangSong" w:cs="FangSong"/>
          <w:sz w:val="24"/>
          <w:szCs w:val="24"/>
          <w:spacing w:val="-2"/>
        </w:rPr>
        <w:t>败宣传教育工作。</w:t>
      </w:r>
    </w:p>
    <w:p>
      <w:pPr>
        <w:ind w:left="1516" w:right="1474" w:hanging="2"/>
        <w:spacing w:before="104" w:line="281" w:lineRule="auto"/>
        <w:rPr>
          <w:rFonts w:ascii="FangSong" w:hAnsi="FangSong" w:eastAsia="FangSong" w:cs="FangSong"/>
          <w:sz w:val="24"/>
          <w:szCs w:val="24"/>
        </w:rPr>
      </w:pPr>
      <w:r>
        <w:rPr>
          <w:rFonts w:ascii="FangSong" w:hAnsi="FangSong" w:eastAsia="FangSong" w:cs="FangSong"/>
          <w:sz w:val="24"/>
          <w:szCs w:val="24"/>
          <w:spacing w:val="1"/>
        </w:rPr>
        <w:t>7、负责综合分析全县全面从严治党、党风廉政建设和反腐败工作</w:t>
      </w:r>
      <w:r>
        <w:rPr>
          <w:rFonts w:ascii="FangSong" w:hAnsi="FangSong" w:eastAsia="FangSong" w:cs="FangSong"/>
          <w:sz w:val="24"/>
          <w:szCs w:val="24"/>
        </w:rPr>
        <w:t>情况,对纪检监察工</w:t>
      </w:r>
      <w:r>
        <w:rPr>
          <w:rFonts w:ascii="FangSong" w:hAnsi="FangSong" w:eastAsia="FangSong" w:cs="FangSong"/>
          <w:sz w:val="24"/>
          <w:szCs w:val="24"/>
        </w:rPr>
        <w:t xml:space="preserve"> </w:t>
      </w:r>
      <w:r>
        <w:rPr>
          <w:rFonts w:ascii="FangSong" w:hAnsi="FangSong" w:eastAsia="FangSong" w:cs="FangSong"/>
          <w:sz w:val="24"/>
          <w:szCs w:val="24"/>
          <w:spacing w:val="1"/>
        </w:rPr>
        <w:t>作重要理论及实践问题进行调查研究;制定或者修改县内纪检</w:t>
      </w:r>
      <w:r>
        <w:rPr>
          <w:rFonts w:ascii="FangSong" w:hAnsi="FangSong" w:eastAsia="FangSong" w:cs="FangSong"/>
          <w:sz w:val="24"/>
          <w:szCs w:val="24"/>
        </w:rPr>
        <w:t>监察法规制度,参与起草</w:t>
      </w:r>
      <w:r>
        <w:rPr>
          <w:rFonts w:ascii="FangSong" w:hAnsi="FangSong" w:eastAsia="FangSong" w:cs="FangSong"/>
          <w:sz w:val="24"/>
          <w:szCs w:val="24"/>
        </w:rPr>
        <w:t xml:space="preserve"> </w:t>
      </w:r>
      <w:r>
        <w:rPr>
          <w:rFonts w:ascii="FangSong" w:hAnsi="FangSong" w:eastAsia="FangSong" w:cs="FangSong"/>
          <w:sz w:val="24"/>
          <w:szCs w:val="24"/>
          <w:spacing w:val="-3"/>
        </w:rPr>
        <w:t>制定县内地方性法规和规范性文件。</w:t>
      </w:r>
    </w:p>
    <w:p>
      <w:pPr>
        <w:ind w:left="1513"/>
        <w:spacing w:before="2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5" w:right="1474" w:firstLine="31"/>
        <w:spacing w:before="115" w:line="309" w:lineRule="auto"/>
        <w:jc w:val="both"/>
        <w:rPr>
          <w:rFonts w:ascii="FangSong" w:hAnsi="FangSong" w:eastAsia="FangSong" w:cs="FangSong"/>
          <w:sz w:val="24"/>
          <w:szCs w:val="24"/>
        </w:rPr>
      </w:pPr>
      <w:r>
        <w:rPr>
          <w:rFonts w:ascii="FangSong" w:hAnsi="FangSong" w:eastAsia="FangSong" w:cs="FangSong"/>
          <w:sz w:val="24"/>
          <w:szCs w:val="24"/>
          <w:spacing w:val="6"/>
        </w:rPr>
        <w:t>中共兴县纪律检查委员会(以下简称县纪委)是党内监督专责机关；兴县监察委员会</w:t>
      </w:r>
      <w:r>
        <w:rPr>
          <w:rFonts w:ascii="FangSong" w:hAnsi="FangSong" w:eastAsia="FangSong" w:cs="FangSong"/>
          <w:sz w:val="24"/>
          <w:szCs w:val="24"/>
          <w:spacing w:val="15"/>
        </w:rPr>
        <w:t xml:space="preserve"> </w:t>
      </w:r>
      <w:r>
        <w:rPr>
          <w:rFonts w:ascii="FangSong" w:hAnsi="FangSong" w:eastAsia="FangSong" w:cs="FangSong"/>
          <w:sz w:val="24"/>
          <w:szCs w:val="24"/>
          <w:spacing w:val="4"/>
        </w:rPr>
        <w:t>(以下简称县监委)是行使国家监察职能的专责机关。县纪委与县监委合署办</w:t>
      </w:r>
      <w:r>
        <w:rPr>
          <w:rFonts w:ascii="FangSong" w:hAnsi="FangSong" w:eastAsia="FangSong" w:cs="FangSong"/>
          <w:sz w:val="24"/>
          <w:szCs w:val="24"/>
          <w:spacing w:val="3"/>
        </w:rPr>
        <w:t>公,实行</w:t>
      </w:r>
      <w:r>
        <w:rPr>
          <w:rFonts w:ascii="FangSong" w:hAnsi="FangSong" w:eastAsia="FangSong" w:cs="FangSong"/>
          <w:sz w:val="24"/>
          <w:szCs w:val="24"/>
        </w:rPr>
        <w:t xml:space="preserve"> </w:t>
      </w:r>
      <w:r>
        <w:rPr>
          <w:rFonts w:ascii="FangSong" w:hAnsi="FangSong" w:eastAsia="FangSong" w:cs="FangSong"/>
          <w:sz w:val="24"/>
          <w:szCs w:val="24"/>
          <w:spacing w:val="3"/>
        </w:rPr>
        <w:t>一套工作机构、两个机关名称,履行党的纪律检查和国家</w:t>
      </w:r>
      <w:r>
        <w:rPr>
          <w:rFonts w:ascii="FangSong" w:hAnsi="FangSong" w:eastAsia="FangSong" w:cs="FangSong"/>
          <w:sz w:val="24"/>
          <w:szCs w:val="24"/>
          <w:spacing w:val="2"/>
        </w:rPr>
        <w:t>监察两项职责。</w:t>
      </w:r>
      <w:r>
        <w:rPr>
          <w:rFonts w:ascii="FangSong" w:hAnsi="FangSong" w:eastAsia="FangSong" w:cs="FangSong"/>
          <w:sz w:val="24"/>
          <w:szCs w:val="24"/>
          <w:spacing w:val="-71"/>
        </w:rPr>
        <w:t xml:space="preserve"> </w:t>
      </w:r>
      <w:r>
        <w:rPr>
          <w:rFonts w:ascii="FangSong" w:hAnsi="FangSong" w:eastAsia="FangSong" w:cs="FangSong"/>
          <w:sz w:val="24"/>
          <w:szCs w:val="24"/>
          <w:spacing w:val="2"/>
        </w:rPr>
        <w:t>内设下列机</w:t>
      </w:r>
      <w:r>
        <w:rPr>
          <w:rFonts w:ascii="FangSong" w:hAnsi="FangSong" w:eastAsia="FangSong" w:cs="FangSong"/>
          <w:sz w:val="24"/>
          <w:szCs w:val="24"/>
        </w:rPr>
        <w:t xml:space="preserve"> </w:t>
      </w:r>
      <w:r>
        <w:rPr>
          <w:rFonts w:ascii="FangSong" w:hAnsi="FangSong" w:eastAsia="FangSong" w:cs="FangSong"/>
          <w:sz w:val="24"/>
          <w:szCs w:val="24"/>
          <w:spacing w:val="1"/>
        </w:rPr>
        <w:t>构：办公室、综合室、党风政风监督室、信访室、案件监督管理</w:t>
      </w:r>
      <w:r>
        <w:rPr>
          <w:rFonts w:ascii="FangSong" w:hAnsi="FangSong" w:eastAsia="FangSong" w:cs="FangSong"/>
          <w:sz w:val="24"/>
          <w:szCs w:val="24"/>
        </w:rPr>
        <w:t>室、第一至第四监督</w:t>
      </w:r>
      <w:r>
        <w:rPr>
          <w:rFonts w:ascii="FangSong" w:hAnsi="FangSong" w:eastAsia="FangSong" w:cs="FangSong"/>
          <w:sz w:val="24"/>
          <w:szCs w:val="24"/>
        </w:rPr>
        <w:t xml:space="preserve"> </w:t>
      </w:r>
      <w:r>
        <w:rPr>
          <w:rFonts w:ascii="FangSong" w:hAnsi="FangSong" w:eastAsia="FangSong" w:cs="FangSong"/>
          <w:sz w:val="24"/>
          <w:szCs w:val="24"/>
          <w:spacing w:val="-3"/>
        </w:rPr>
        <w:t>检查室、第一至第二审查调查室、案件审理室。</w:t>
      </w:r>
    </w:p>
    <w:p>
      <w:pPr>
        <w:spacing w:line="309"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30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部门名称：中国共产党兴县纪律检查委员会</w:t>
            </w:r>
          </w:p>
        </w:tc>
        <w:tc>
          <w:tcPr>
            <w:tcW w:w="3242" w:type="dxa"/>
            <w:vAlign w:val="top"/>
            <w:gridSpan w:val="3"/>
            <w:tcBorders>
              <w:top w:val="single" w:color="FFFFFF" w:sz="6" w:space="0"/>
              <w:left w:val="single" w:color="FFFFFF" w:sz="2" w:space="0"/>
              <w:right w:val="single" w:color="FFFFFF" w:sz="2" w:space="0"/>
            </w:tcBorders>
          </w:tcPr>
          <w:p>
            <w:pPr>
              <w:ind w:left="231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27" w:type="dxa"/>
            <w:vAlign w:val="top"/>
            <w:gridSpan w:val="2"/>
          </w:tcPr>
          <w:p>
            <w:pPr>
              <w:ind w:left="141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23" w:type="dxa"/>
            <w:vAlign w:val="top"/>
            <w:gridSpan w:val="4"/>
          </w:tcPr>
          <w:p>
            <w:pPr>
              <w:ind w:left="246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14" w:type="dxa"/>
            <w:vAlign w:val="top"/>
          </w:tcPr>
          <w:p>
            <w:pPr>
              <w:ind w:left="80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tcPr>
          <w:p>
            <w:pPr>
              <w:ind w:left="32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81" w:type="dxa"/>
            <w:vAlign w:val="top"/>
          </w:tcPr>
          <w:p>
            <w:pPr>
              <w:ind w:left="83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15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2"/>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16" w:type="dxa"/>
            <w:vAlign w:val="top"/>
          </w:tcPr>
          <w:p>
            <w:pPr>
              <w:ind w:left="32"/>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5"/>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1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3" w:type="dxa"/>
            <w:vAlign w:val="top"/>
          </w:tcPr>
          <w:p>
            <w:pPr>
              <w:ind w:left="540"/>
              <w:spacing w:before="173" w:line="238" w:lineRule="auto"/>
              <w:rPr>
                <w:rFonts w:ascii="SimSun" w:hAnsi="SimSun" w:eastAsia="SimSun" w:cs="SimSun"/>
                <w:sz w:val="18"/>
                <w:szCs w:val="18"/>
              </w:rPr>
            </w:pPr>
            <w:r>
              <w:rPr>
                <w:rFonts w:ascii="SimSun" w:hAnsi="SimSun" w:eastAsia="SimSun" w:cs="SimSun"/>
                <w:sz w:val="18"/>
                <w:szCs w:val="18"/>
                <w:color w:val="212529"/>
                <w:spacing w:val="-2"/>
              </w:rPr>
              <w:t>2106.87</w:t>
            </w:r>
          </w:p>
        </w:tc>
        <w:tc>
          <w:tcPr>
            <w:tcW w:w="2081" w:type="dxa"/>
            <w:vAlign w:val="top"/>
          </w:tcPr>
          <w:p>
            <w:pPr>
              <w:ind w:left="2"/>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28"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1816.76</w:t>
            </w:r>
          </w:p>
        </w:tc>
        <w:tc>
          <w:tcPr>
            <w:tcW w:w="1198" w:type="dxa"/>
            <w:vAlign w:val="top"/>
          </w:tcPr>
          <w:p>
            <w:pPr>
              <w:ind w:right="18"/>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1816.76</w:t>
            </w:r>
          </w:p>
        </w:tc>
        <w:tc>
          <w:tcPr>
            <w:tcW w:w="816" w:type="dxa"/>
            <w:vAlign w:val="top"/>
          </w:tcPr>
          <w:p>
            <w:pPr>
              <w:pStyle w:val="TableText"/>
              <w:rPr/>
            </w:pPr>
            <w:r/>
          </w:p>
        </w:tc>
      </w:tr>
      <w:tr>
        <w:trPr>
          <w:trHeight w:val="524" w:hRule="atLeast"/>
        </w:trPr>
        <w:tc>
          <w:tcPr>
            <w:tcW w:w="201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13" w:type="dxa"/>
            <w:vAlign w:val="top"/>
          </w:tcPr>
          <w:p>
            <w:pPr>
              <w:pStyle w:val="TableText"/>
              <w:rPr/>
            </w:pPr>
            <w:r/>
          </w:p>
        </w:tc>
        <w:tc>
          <w:tcPr>
            <w:tcW w:w="2081" w:type="dxa"/>
            <w:vAlign w:val="top"/>
          </w:tcPr>
          <w:p>
            <w:pPr>
              <w:ind w:left="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3" w:type="dxa"/>
            <w:vAlign w:val="top"/>
          </w:tcPr>
          <w:p>
            <w:pPr>
              <w:pStyle w:val="TableText"/>
              <w:rPr/>
            </w:pPr>
            <w:r/>
          </w:p>
        </w:tc>
        <w:tc>
          <w:tcPr>
            <w:tcW w:w="2081"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3" w:type="dxa"/>
            <w:vAlign w:val="top"/>
          </w:tcPr>
          <w:p>
            <w:pPr>
              <w:pStyle w:val="TableText"/>
              <w:rPr/>
            </w:pPr>
            <w:r/>
          </w:p>
        </w:tc>
        <w:tc>
          <w:tcPr>
            <w:tcW w:w="2081" w:type="dxa"/>
            <w:vAlign w:val="top"/>
          </w:tcPr>
          <w:p>
            <w:pPr>
              <w:ind w:left="1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3" w:type="dxa"/>
            <w:vAlign w:val="top"/>
          </w:tcPr>
          <w:p>
            <w:pPr>
              <w:pStyle w:val="TableText"/>
              <w:rPr/>
            </w:pPr>
            <w:r/>
          </w:p>
        </w:tc>
        <w:tc>
          <w:tcPr>
            <w:tcW w:w="2081" w:type="dxa"/>
            <w:vAlign w:val="top"/>
          </w:tcPr>
          <w:p>
            <w:pPr>
              <w:ind w:left="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28" w:type="dxa"/>
            <w:vAlign w:val="top"/>
          </w:tcPr>
          <w:p>
            <w:pPr>
              <w:ind w:right="2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1198" w:type="dxa"/>
            <w:vAlign w:val="top"/>
          </w:tcPr>
          <w:p>
            <w:pPr>
              <w:ind w:right="1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28" w:type="dxa"/>
            <w:vAlign w:val="top"/>
          </w:tcPr>
          <w:p>
            <w:pPr>
              <w:ind w:right="31"/>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1198"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28" w:type="dxa"/>
            <w:vAlign w:val="top"/>
          </w:tcPr>
          <w:p>
            <w:pPr>
              <w:ind w:right="3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198"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816" w:type="dxa"/>
            <w:vAlign w:val="top"/>
          </w:tcPr>
          <w:p>
            <w:pPr>
              <w:pStyle w:val="TableText"/>
              <w:rPr/>
            </w:pPr>
            <w:r/>
          </w:p>
        </w:tc>
      </w:tr>
      <w:tr>
        <w:trPr>
          <w:trHeight w:val="532"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10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1"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3"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3"/>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9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5" w:right="9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的支出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pStyle w:val="TableText"/>
              <w:rPr/>
            </w:pPr>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13" w:type="dxa"/>
            <w:vAlign w:val="top"/>
          </w:tcPr>
          <w:p>
            <w:pPr>
              <w:pStyle w:val="TableText"/>
              <w:ind w:left="539"/>
              <w:spacing w:before="186" w:line="162" w:lineRule="auto"/>
              <w:rPr>
                <w:sz w:val="17"/>
                <w:szCs w:val="17"/>
              </w:rPr>
            </w:pPr>
            <w:r>
              <w:rPr>
                <w:sz w:val="17"/>
                <w:szCs w:val="17"/>
                <w:color w:val="212529"/>
              </w:rPr>
              <w:t>2106.87</w:t>
            </w:r>
          </w:p>
        </w:tc>
        <w:tc>
          <w:tcPr>
            <w:tcW w:w="208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28" w:type="dxa"/>
            <w:vAlign w:val="top"/>
          </w:tcPr>
          <w:p>
            <w:pPr>
              <w:pStyle w:val="TableText"/>
              <w:ind w:left="559"/>
              <w:spacing w:before="186" w:line="162" w:lineRule="auto"/>
              <w:rPr>
                <w:sz w:val="17"/>
                <w:szCs w:val="17"/>
              </w:rPr>
            </w:pPr>
            <w:r>
              <w:rPr>
                <w:sz w:val="17"/>
                <w:szCs w:val="17"/>
                <w:color w:val="212529"/>
              </w:rPr>
              <w:t>2106.87</w:t>
            </w:r>
          </w:p>
        </w:tc>
        <w:tc>
          <w:tcPr>
            <w:tcW w:w="1198" w:type="dxa"/>
            <w:vAlign w:val="top"/>
          </w:tcPr>
          <w:p>
            <w:pPr>
              <w:pStyle w:val="TableText"/>
              <w:ind w:left="540"/>
              <w:spacing w:before="186" w:line="162" w:lineRule="auto"/>
              <w:rPr>
                <w:sz w:val="17"/>
                <w:szCs w:val="17"/>
              </w:rPr>
            </w:pPr>
            <w:r>
              <w:rPr>
                <w:sz w:val="17"/>
                <w:szCs w:val="17"/>
                <w:color w:val="212529"/>
              </w:rPr>
              <w:t>2106.87</w:t>
            </w:r>
          </w:p>
        </w:tc>
        <w:tc>
          <w:tcPr>
            <w:tcW w:w="816" w:type="dxa"/>
            <w:vAlign w:val="top"/>
          </w:tcPr>
          <w:p>
            <w:pPr>
              <w:pStyle w:val="TableText"/>
              <w:rPr/>
            </w:pPr>
            <w:r/>
          </w:p>
        </w:tc>
      </w:tr>
      <w:tr>
        <w:trPr>
          <w:trHeight w:val="524" w:hRule="atLeast"/>
        </w:trPr>
        <w:tc>
          <w:tcPr>
            <w:tcW w:w="201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13" w:type="dxa"/>
            <w:vAlign w:val="top"/>
          </w:tcPr>
          <w:p>
            <w:pPr>
              <w:pStyle w:val="TableText"/>
              <w:rPr/>
            </w:pPr>
            <w:r/>
          </w:p>
        </w:tc>
        <w:tc>
          <w:tcPr>
            <w:tcW w:w="2081" w:type="dxa"/>
            <w:vAlign w:val="top"/>
          </w:tcPr>
          <w:p>
            <w:pPr>
              <w:ind w:left="18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31" w:hRule="atLeast"/>
        </w:trPr>
        <w:tc>
          <w:tcPr>
            <w:tcW w:w="201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13" w:type="dxa"/>
            <w:vAlign w:val="top"/>
          </w:tcPr>
          <w:p>
            <w:pPr>
              <w:pStyle w:val="TableText"/>
              <w:ind w:left="539"/>
              <w:spacing w:before="188" w:line="162" w:lineRule="auto"/>
              <w:rPr>
                <w:sz w:val="17"/>
                <w:szCs w:val="17"/>
              </w:rPr>
            </w:pPr>
            <w:r>
              <w:rPr>
                <w:sz w:val="17"/>
                <w:szCs w:val="17"/>
                <w:color w:val="212529"/>
              </w:rPr>
              <w:t>2106.87</w:t>
            </w:r>
          </w:p>
        </w:tc>
        <w:tc>
          <w:tcPr>
            <w:tcW w:w="208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28" w:type="dxa"/>
            <w:vAlign w:val="top"/>
          </w:tcPr>
          <w:p>
            <w:pPr>
              <w:pStyle w:val="TableText"/>
              <w:ind w:left="559"/>
              <w:spacing w:before="188" w:line="162" w:lineRule="auto"/>
              <w:rPr>
                <w:sz w:val="17"/>
                <w:szCs w:val="17"/>
              </w:rPr>
            </w:pPr>
            <w:r>
              <w:rPr>
                <w:sz w:val="17"/>
                <w:szCs w:val="17"/>
                <w:color w:val="212529"/>
              </w:rPr>
              <w:t>2106.87</w:t>
            </w:r>
          </w:p>
        </w:tc>
        <w:tc>
          <w:tcPr>
            <w:tcW w:w="1198" w:type="dxa"/>
            <w:vAlign w:val="top"/>
          </w:tcPr>
          <w:p>
            <w:pPr>
              <w:pStyle w:val="TableText"/>
              <w:ind w:left="540"/>
              <w:spacing w:before="188" w:line="162" w:lineRule="auto"/>
              <w:rPr>
                <w:sz w:val="17"/>
                <w:szCs w:val="17"/>
              </w:rPr>
            </w:pPr>
            <w:r>
              <w:rPr>
                <w:sz w:val="17"/>
                <w:szCs w:val="17"/>
                <w:color w:val="212529"/>
              </w:rPr>
              <w:t>2106.87</w:t>
            </w:r>
          </w:p>
        </w:tc>
        <w:tc>
          <w:tcPr>
            <w:tcW w:w="816"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8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bottom w:val="single" w:color="FFFFFF" w:sz="6" w:space="0"/>
              <w:top w:val="single" w:color="FFFFFF" w:sz="6" w:space="0"/>
            </w:tcBorders>
          </w:tcPr>
          <w:p>
            <w:pPr>
              <w:ind w:left="96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1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部门名称：中国共产党兴县纪律检查委员会</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top w:val="single" w:color="FFFFFF" w:sz="6" w:space="0"/>
            </w:tcBorders>
          </w:tcPr>
          <w:p>
            <w:pPr>
              <w:ind w:left="105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13" w:type="dxa"/>
            <w:vAlign w:val="top"/>
            <w:gridSpan w:val="2"/>
          </w:tcPr>
          <w:p>
            <w:pPr>
              <w:ind w:left="200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45" w:type="dxa"/>
            <w:vAlign w:val="top"/>
            <w:gridSpan w:val="6"/>
          </w:tcPr>
          <w:p>
            <w:pPr>
              <w:ind w:left="364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11" w:type="dxa"/>
            <w:vAlign w:val="top"/>
            <w:vMerge w:val="restart"/>
            <w:tcBorders>
              <w:bottom w:val="nil"/>
            </w:tcBorders>
          </w:tcPr>
          <w:p>
            <w:pPr>
              <w:pStyle w:val="TableText"/>
              <w:spacing w:line="273" w:lineRule="auto"/>
              <w:rPr/>
            </w:pPr>
            <w:r/>
          </w:p>
          <w:p>
            <w:pPr>
              <w:ind w:left="12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82" w:type="dxa"/>
            <w:vAlign w:val="top"/>
          </w:tcPr>
          <w:p>
            <w:pPr>
              <w:ind w:left="110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04" w:type="dxa"/>
            <w:vAlign w:val="top"/>
          </w:tcPr>
          <w:p>
            <w:pPr>
              <w:ind w:left="96"/>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17"/>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09"/>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11" w:type="dxa"/>
            <w:vAlign w:val="top"/>
            <w:vMerge w:val="continue"/>
            <w:tcBorders>
              <w:top w:val="nil"/>
            </w:tcBorders>
          </w:tcPr>
          <w:p>
            <w:pPr>
              <w:pStyle w:val="TableText"/>
              <w:rPr/>
            </w:pPr>
            <w:r/>
          </w:p>
        </w:tc>
      </w:tr>
      <w:tr>
        <w:trPr>
          <w:trHeight w:val="434" w:hRule="atLeast"/>
        </w:trPr>
        <w:tc>
          <w:tcPr>
            <w:tcW w:w="4413" w:type="dxa"/>
            <w:vAlign w:val="top"/>
            <w:gridSpan w:val="2"/>
          </w:tcPr>
          <w:p>
            <w:pPr>
              <w:ind w:left="200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92"/>
              <w:spacing w:before="149" w:line="184" w:lineRule="auto"/>
              <w:rPr>
                <w:sz w:val="15"/>
                <w:szCs w:val="15"/>
              </w:rPr>
            </w:pPr>
            <w:r>
              <w:rPr>
                <w:sz w:val="15"/>
                <w:szCs w:val="15"/>
                <w:color w:val="212529"/>
                <w:spacing w:val="3"/>
              </w:rPr>
              <w:t>2106.</w:t>
            </w:r>
            <w:r>
              <w:rPr>
                <w:sz w:val="15"/>
                <w:szCs w:val="15"/>
                <w:color w:val="212529"/>
                <w:spacing w:val="11"/>
                <w:w w:val="102"/>
              </w:rPr>
              <w:t xml:space="preserve"> </w:t>
            </w:r>
            <w:r>
              <w:rPr>
                <w:sz w:val="15"/>
                <w:szCs w:val="15"/>
                <w:color w:val="212529"/>
                <w:spacing w:val="3"/>
              </w:rPr>
              <w:t>87</w:t>
            </w:r>
          </w:p>
        </w:tc>
        <w:tc>
          <w:tcPr>
            <w:tcW w:w="1304" w:type="dxa"/>
            <w:vAlign w:val="top"/>
          </w:tcPr>
          <w:p>
            <w:pPr>
              <w:pStyle w:val="TableText"/>
              <w:ind w:left="639"/>
              <w:spacing w:before="149" w:line="162" w:lineRule="auto"/>
              <w:rPr>
                <w:sz w:val="17"/>
                <w:szCs w:val="17"/>
              </w:rPr>
            </w:pPr>
            <w:r>
              <w:rPr>
                <w:sz w:val="17"/>
                <w:szCs w:val="17"/>
                <w:color w:val="212529"/>
              </w:rPr>
              <w:t>2106.87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82" w:type="dxa"/>
            <w:vAlign w:val="top"/>
          </w:tcPr>
          <w:p>
            <w:pPr>
              <w:ind w:left="1"/>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1816.76</w:t>
            </w:r>
          </w:p>
        </w:tc>
        <w:tc>
          <w:tcPr>
            <w:tcW w:w="1304" w:type="dxa"/>
            <w:vAlign w:val="top"/>
          </w:tcPr>
          <w:p>
            <w:pPr>
              <w:ind w:right="25"/>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1816.76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20111</w:t>
            </w:r>
          </w:p>
        </w:tc>
        <w:tc>
          <w:tcPr>
            <w:tcW w:w="2982" w:type="dxa"/>
            <w:vAlign w:val="top"/>
          </w:tcPr>
          <w:p>
            <w:pPr>
              <w:ind w:left="2"/>
              <w:spacing w:before="129" w:line="219" w:lineRule="auto"/>
              <w:rPr>
                <w:rFonts w:ascii="SimSun" w:hAnsi="SimSun" w:eastAsia="SimSun" w:cs="SimSun"/>
                <w:sz w:val="18"/>
                <w:szCs w:val="18"/>
              </w:rPr>
            </w:pPr>
            <w:r>
              <w:rPr>
                <w:rFonts w:ascii="SimSun" w:hAnsi="SimSun" w:eastAsia="SimSun" w:cs="SimSun"/>
                <w:sz w:val="18"/>
                <w:szCs w:val="18"/>
                <w:color w:val="212529"/>
                <w:spacing w:val="-2"/>
              </w:rPr>
              <w:t>纪检监察事务</w:t>
            </w:r>
          </w:p>
        </w:tc>
        <w:tc>
          <w:tcPr>
            <w:tcW w:w="1453"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1716.76</w:t>
            </w:r>
          </w:p>
        </w:tc>
        <w:tc>
          <w:tcPr>
            <w:tcW w:w="1304" w:type="dxa"/>
            <w:vAlign w:val="top"/>
          </w:tcPr>
          <w:p>
            <w:pPr>
              <w:ind w:right="25"/>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1716.76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2011101</w:t>
            </w:r>
          </w:p>
        </w:tc>
        <w:tc>
          <w:tcPr>
            <w:tcW w:w="298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1052.75</w:t>
            </w:r>
          </w:p>
        </w:tc>
        <w:tc>
          <w:tcPr>
            <w:tcW w:w="1304" w:type="dxa"/>
            <w:vAlign w:val="top"/>
          </w:tcPr>
          <w:p>
            <w:pPr>
              <w:ind w:right="25"/>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1052.75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2011150</w:t>
            </w:r>
          </w:p>
        </w:tc>
        <w:tc>
          <w:tcPr>
            <w:tcW w:w="2982"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152.01</w:t>
            </w:r>
          </w:p>
        </w:tc>
        <w:tc>
          <w:tcPr>
            <w:tcW w:w="1304"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152.01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2011199</w:t>
            </w:r>
          </w:p>
        </w:tc>
        <w:tc>
          <w:tcPr>
            <w:tcW w:w="2982"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1"/>
              </w:rPr>
              <w:t>其他纪检监察事务支出</w:t>
            </w:r>
          </w:p>
        </w:tc>
        <w:tc>
          <w:tcPr>
            <w:tcW w:w="1453"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512.00</w:t>
            </w:r>
          </w:p>
        </w:tc>
        <w:tc>
          <w:tcPr>
            <w:tcW w:w="1304"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512.00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20113</w:t>
            </w:r>
          </w:p>
        </w:tc>
        <w:tc>
          <w:tcPr>
            <w:tcW w:w="2982" w:type="dxa"/>
            <w:vAlign w:val="top"/>
          </w:tcPr>
          <w:p>
            <w:pPr>
              <w:ind w:left="2"/>
              <w:spacing w:before="133" w:line="219" w:lineRule="auto"/>
              <w:rPr>
                <w:rFonts w:ascii="SimSun" w:hAnsi="SimSun" w:eastAsia="SimSun" w:cs="SimSun"/>
                <w:sz w:val="18"/>
                <w:szCs w:val="18"/>
              </w:rPr>
            </w:pPr>
            <w:r>
              <w:rPr>
                <w:rFonts w:ascii="SimSun" w:hAnsi="SimSun" w:eastAsia="SimSun" w:cs="SimSun"/>
                <w:sz w:val="18"/>
                <w:szCs w:val="18"/>
                <w:color w:val="212529"/>
                <w:spacing w:val="-2"/>
              </w:rPr>
              <w:t>商贸事务</w:t>
            </w:r>
          </w:p>
        </w:tc>
        <w:tc>
          <w:tcPr>
            <w:tcW w:w="1453"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100.00</w:t>
            </w:r>
          </w:p>
        </w:tc>
        <w:tc>
          <w:tcPr>
            <w:tcW w:w="1304"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100.00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2011399</w:t>
            </w:r>
          </w:p>
        </w:tc>
        <w:tc>
          <w:tcPr>
            <w:tcW w:w="2982"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其他商贸事务支出</w:t>
            </w:r>
          </w:p>
        </w:tc>
        <w:tc>
          <w:tcPr>
            <w:tcW w:w="1453"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100.00</w:t>
            </w:r>
          </w:p>
        </w:tc>
        <w:tc>
          <w:tcPr>
            <w:tcW w:w="1304"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100.00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82"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1304"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8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1304"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129.41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8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53" w:type="dxa"/>
            <w:vAlign w:val="top"/>
          </w:tcPr>
          <w:p>
            <w:pPr>
              <w:ind w:right="2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18.34</w:t>
            </w:r>
          </w:p>
        </w:tc>
        <w:tc>
          <w:tcPr>
            <w:tcW w:w="1304"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18.34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8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111.08</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111.08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61.96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36.47</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36.47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8.66</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8.66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8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16.83</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16.83</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37" w:hRule="atLeast"/>
        </w:trPr>
        <w:tc>
          <w:tcPr>
            <w:tcW w:w="1431" w:type="dxa"/>
            <w:vAlign w:val="top"/>
          </w:tcPr>
          <w:p>
            <w:pPr>
              <w:ind w:left="9"/>
              <w:spacing w:before="116"/>
              <w:rPr>
                <w:rFonts w:ascii="SimSun" w:hAnsi="SimSun" w:eastAsia="SimSun" w:cs="SimSun"/>
                <w:sz w:val="18"/>
                <w:szCs w:val="18"/>
              </w:rPr>
            </w:pPr>
            <w:r>
              <w:rPr>
                <w:rFonts w:ascii="SimSun" w:hAnsi="SimSun" w:eastAsia="SimSun" w:cs="SimSun"/>
                <w:sz w:val="18"/>
                <w:szCs w:val="18"/>
                <w:color w:val="212529"/>
                <w:spacing w:val="-3"/>
              </w:rPr>
              <w:t>221</w:t>
            </w:r>
          </w:p>
        </w:tc>
        <w:tc>
          <w:tcPr>
            <w:tcW w:w="298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04"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0"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8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04"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8"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8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04" w:type="dxa"/>
            <w:vAlign w:val="top"/>
          </w:tcPr>
          <w:p>
            <w:pPr>
              <w:ind w:right="26"/>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98.74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3229"/>
        <w:gridCol w:w="1458"/>
        <w:gridCol w:w="1404"/>
        <w:gridCol w:w="1334"/>
      </w:tblGrid>
      <w:tr>
        <w:trPr>
          <w:trHeight w:val="319" w:hRule="atLeast"/>
        </w:trPr>
        <w:tc>
          <w:tcPr>
            <w:tcW w:w="17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4" w:type="dxa"/>
            <w:vAlign w:val="top"/>
            <w:tcBorders>
              <w:bottom w:val="single" w:color="FFFFFF" w:sz="4" w:space="0"/>
              <w:top w:val="single" w:color="FFFFFF" w:sz="4" w:space="0"/>
              <w:left w:val="single" w:color="FFFFFF" w:sz="2" w:space="0"/>
              <w:right w:val="single" w:color="FFFFFF" w:sz="2" w:space="0"/>
            </w:tcBorders>
          </w:tcPr>
          <w:p>
            <w:pPr>
              <w:ind w:left="595"/>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20"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404" w:type="dxa"/>
            <w:vAlign w:val="top"/>
            <w:tcBorders>
              <w:top w:val="single" w:color="FFFFFF" w:sz="4" w:space="0"/>
              <w:left w:val="single" w:color="FFFFFF" w:sz="2" w:space="0"/>
              <w:right w:val="single" w:color="FFFFFF" w:sz="2" w:space="0"/>
            </w:tcBorders>
          </w:tcPr>
          <w:p>
            <w:pPr>
              <w:pStyle w:val="TableText"/>
              <w:rPr/>
            </w:pPr>
            <w:r/>
          </w:p>
        </w:tc>
        <w:tc>
          <w:tcPr>
            <w:tcW w:w="1334" w:type="dxa"/>
            <w:vAlign w:val="top"/>
            <w:tcBorders>
              <w:top w:val="single" w:color="FFFFFF" w:sz="4" w:space="0"/>
              <w:left w:val="single" w:color="FFFFFF" w:sz="2" w:space="0"/>
              <w:right w:val="single" w:color="FFFFFF" w:sz="2" w:space="0"/>
            </w:tcBorders>
          </w:tcPr>
          <w:p>
            <w:pPr>
              <w:ind w:left="661"/>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9"/>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33" w:type="dxa"/>
            <w:vAlign w:val="top"/>
          </w:tcPr>
          <w:p>
            <w:pPr>
              <w:ind w:left="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58" w:type="dxa"/>
            <w:vAlign w:val="top"/>
          </w:tcPr>
          <w:p>
            <w:pPr>
              <w:ind w:left="5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36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34" w:type="dxa"/>
            <w:vAlign w:val="top"/>
          </w:tcPr>
          <w:p>
            <w:pPr>
              <w:ind w:left="33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1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pStyle w:val="TableText"/>
              <w:ind w:left="869"/>
              <w:spacing w:before="98"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1404" w:type="dxa"/>
            <w:vAlign w:val="top"/>
          </w:tcPr>
          <w:p>
            <w:pPr>
              <w:pStyle w:val="TableText"/>
              <w:ind w:left="828"/>
              <w:spacing w:before="98" w:line="186" w:lineRule="auto"/>
              <w:rPr>
                <w:sz w:val="13"/>
                <w:szCs w:val="13"/>
              </w:rPr>
            </w:pPr>
            <w:r>
              <w:rPr>
                <w:sz w:val="13"/>
                <w:szCs w:val="13"/>
                <w:color w:val="212529"/>
                <w:spacing w:val="3"/>
              </w:rPr>
              <w:t>1494.</w:t>
            </w:r>
            <w:r>
              <w:rPr>
                <w:sz w:val="13"/>
                <w:szCs w:val="13"/>
                <w:color w:val="212529"/>
                <w:spacing w:val="17"/>
              </w:rPr>
              <w:t xml:space="preserve"> </w:t>
            </w:r>
            <w:r>
              <w:rPr>
                <w:sz w:val="13"/>
                <w:szCs w:val="13"/>
                <w:color w:val="212529"/>
                <w:spacing w:val="3"/>
              </w:rPr>
              <w:t>87</w:t>
            </w:r>
          </w:p>
        </w:tc>
        <w:tc>
          <w:tcPr>
            <w:tcW w:w="1334" w:type="dxa"/>
            <w:vAlign w:val="top"/>
          </w:tcPr>
          <w:p>
            <w:pPr>
              <w:pStyle w:val="TableText"/>
              <w:ind w:left="822"/>
              <w:spacing w:before="98" w:line="173" w:lineRule="auto"/>
              <w:rPr>
                <w:sz w:val="14"/>
                <w:szCs w:val="14"/>
              </w:rPr>
            </w:pPr>
            <w:r>
              <w:rPr>
                <w:sz w:val="14"/>
                <w:szCs w:val="14"/>
                <w:color w:val="212529"/>
              </w:rPr>
              <w:t>612.</w:t>
            </w:r>
            <w:r>
              <w:rPr>
                <w:sz w:val="14"/>
                <w:szCs w:val="14"/>
                <w:color w:val="212529"/>
                <w:spacing w:val="7"/>
              </w:rPr>
              <w:t xml:space="preserve"> </w:t>
            </w:r>
            <w:r>
              <w:rPr>
                <w:sz w:val="14"/>
                <w:szCs w:val="14"/>
                <w:color w:val="212529"/>
              </w:rPr>
              <w:t>00</w:t>
            </w:r>
          </w:p>
        </w:tc>
      </w:tr>
      <w:tr>
        <w:trPr>
          <w:trHeight w:val="314" w:hRule="atLeast"/>
        </w:trPr>
        <w:tc>
          <w:tcPr>
            <w:tcW w:w="173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29"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58"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1816.76</w:t>
            </w:r>
          </w:p>
        </w:tc>
        <w:tc>
          <w:tcPr>
            <w:tcW w:w="1404" w:type="dxa"/>
            <w:vAlign w:val="top"/>
          </w:tcPr>
          <w:p>
            <w:pPr>
              <w:pStyle w:val="TableText"/>
              <w:ind w:left="828"/>
              <w:spacing w:before="98" w:line="187" w:lineRule="auto"/>
              <w:rPr>
                <w:sz w:val="13"/>
                <w:szCs w:val="13"/>
              </w:rPr>
            </w:pPr>
            <w:r>
              <w:rPr>
                <w:sz w:val="13"/>
                <w:szCs w:val="13"/>
                <w:color w:val="212529"/>
                <w:spacing w:val="3"/>
              </w:rPr>
              <w:t>1204.</w:t>
            </w:r>
            <w:r>
              <w:rPr>
                <w:sz w:val="13"/>
                <w:szCs w:val="13"/>
                <w:color w:val="212529"/>
                <w:spacing w:val="18"/>
              </w:rPr>
              <w:t xml:space="preserve"> </w:t>
            </w:r>
            <w:r>
              <w:rPr>
                <w:sz w:val="13"/>
                <w:szCs w:val="13"/>
                <w:color w:val="212529"/>
                <w:spacing w:val="3"/>
              </w:rPr>
              <w:t>76</w:t>
            </w:r>
          </w:p>
        </w:tc>
        <w:tc>
          <w:tcPr>
            <w:tcW w:w="1334" w:type="dxa"/>
            <w:vAlign w:val="top"/>
          </w:tcPr>
          <w:p>
            <w:pPr>
              <w:pStyle w:val="TableText"/>
              <w:ind w:left="822"/>
              <w:spacing w:before="98" w:line="173" w:lineRule="auto"/>
              <w:rPr>
                <w:sz w:val="14"/>
                <w:szCs w:val="14"/>
              </w:rPr>
            </w:pPr>
            <w:r>
              <w:rPr>
                <w:sz w:val="14"/>
                <w:szCs w:val="14"/>
                <w:color w:val="212529"/>
              </w:rPr>
              <w:t>612.</w:t>
            </w:r>
            <w:r>
              <w:rPr>
                <w:sz w:val="14"/>
                <w:szCs w:val="14"/>
                <w:color w:val="212529"/>
                <w:spacing w:val="7"/>
              </w:rPr>
              <w:t xml:space="preserve"> </w:t>
            </w:r>
            <w:r>
              <w:rPr>
                <w:sz w:val="14"/>
                <w:szCs w:val="14"/>
                <w:color w:val="212529"/>
              </w:rPr>
              <w:t>00</w:t>
            </w:r>
          </w:p>
        </w:tc>
      </w:tr>
      <w:tr>
        <w:trPr>
          <w:trHeight w:val="314" w:hRule="atLeast"/>
        </w:trPr>
        <w:tc>
          <w:tcPr>
            <w:tcW w:w="173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229" w:type="dxa"/>
            <w:vAlign w:val="top"/>
          </w:tcPr>
          <w:p>
            <w:pPr>
              <w:ind w:left="7"/>
              <w:spacing w:before="79"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458"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1716.76</w:t>
            </w:r>
          </w:p>
        </w:tc>
        <w:tc>
          <w:tcPr>
            <w:tcW w:w="1404" w:type="dxa"/>
            <w:vAlign w:val="top"/>
          </w:tcPr>
          <w:p>
            <w:pPr>
              <w:pStyle w:val="TableText"/>
              <w:ind w:left="828"/>
              <w:spacing w:before="98" w:line="186" w:lineRule="auto"/>
              <w:rPr>
                <w:sz w:val="13"/>
                <w:szCs w:val="13"/>
              </w:rPr>
            </w:pPr>
            <w:r>
              <w:rPr>
                <w:sz w:val="13"/>
                <w:szCs w:val="13"/>
                <w:color w:val="212529"/>
                <w:spacing w:val="4"/>
              </w:rPr>
              <w:t>1204.</w:t>
            </w:r>
            <w:r>
              <w:rPr>
                <w:sz w:val="13"/>
                <w:szCs w:val="13"/>
                <w:color w:val="212529"/>
                <w:spacing w:val="11"/>
              </w:rPr>
              <w:t xml:space="preserve"> </w:t>
            </w:r>
            <w:r>
              <w:rPr>
                <w:sz w:val="13"/>
                <w:szCs w:val="13"/>
                <w:color w:val="212529"/>
                <w:spacing w:val="4"/>
              </w:rPr>
              <w:t>76</w:t>
            </w:r>
          </w:p>
        </w:tc>
        <w:tc>
          <w:tcPr>
            <w:tcW w:w="1334" w:type="dxa"/>
            <w:vAlign w:val="top"/>
          </w:tcPr>
          <w:p>
            <w:pPr>
              <w:pStyle w:val="TableText"/>
              <w:ind w:left="824"/>
              <w:spacing w:before="98" w:line="186" w:lineRule="auto"/>
              <w:rPr>
                <w:sz w:val="13"/>
                <w:szCs w:val="13"/>
              </w:rPr>
            </w:pPr>
            <w:r>
              <w:rPr>
                <w:sz w:val="13"/>
                <w:szCs w:val="13"/>
                <w:color w:val="212529"/>
                <w:spacing w:val="4"/>
              </w:rPr>
              <w:t>512.</w:t>
            </w:r>
            <w:r>
              <w:rPr>
                <w:sz w:val="13"/>
                <w:szCs w:val="13"/>
                <w:color w:val="212529"/>
                <w:spacing w:val="15"/>
              </w:rPr>
              <w:t xml:space="preserve"> </w:t>
            </w:r>
            <w:r>
              <w:rPr>
                <w:sz w:val="13"/>
                <w:szCs w:val="13"/>
                <w:color w:val="212529"/>
                <w:spacing w:val="4"/>
              </w:rPr>
              <w:t>00</w:t>
            </w:r>
          </w:p>
        </w:tc>
      </w:tr>
      <w:tr>
        <w:trPr>
          <w:trHeight w:val="314" w:hRule="atLeast"/>
        </w:trPr>
        <w:tc>
          <w:tcPr>
            <w:tcW w:w="173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2011101</w:t>
            </w:r>
          </w:p>
        </w:tc>
        <w:tc>
          <w:tcPr>
            <w:tcW w:w="3229" w:type="dxa"/>
            <w:vAlign w:val="top"/>
          </w:tcPr>
          <w:p>
            <w:pPr>
              <w:ind w:left="4"/>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1052.75</w:t>
            </w:r>
          </w:p>
        </w:tc>
        <w:tc>
          <w:tcPr>
            <w:tcW w:w="1404"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1052.75</w:t>
            </w:r>
          </w:p>
        </w:tc>
        <w:tc>
          <w:tcPr>
            <w:tcW w:w="1334" w:type="dxa"/>
            <w:vAlign w:val="top"/>
          </w:tcPr>
          <w:p>
            <w:pPr>
              <w:pStyle w:val="TableText"/>
              <w:rPr/>
            </w:pPr>
            <w:r/>
          </w:p>
        </w:tc>
      </w:tr>
      <w:tr>
        <w:trPr>
          <w:trHeight w:val="314" w:hRule="atLeast"/>
        </w:trPr>
        <w:tc>
          <w:tcPr>
            <w:tcW w:w="173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229"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152.01</w:t>
            </w:r>
          </w:p>
        </w:tc>
        <w:tc>
          <w:tcPr>
            <w:tcW w:w="1404"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152.01</w:t>
            </w:r>
          </w:p>
        </w:tc>
        <w:tc>
          <w:tcPr>
            <w:tcW w:w="1334" w:type="dxa"/>
            <w:vAlign w:val="top"/>
          </w:tcPr>
          <w:p>
            <w:pPr>
              <w:pStyle w:val="TableText"/>
              <w:rPr/>
            </w:pPr>
            <w:r/>
          </w:p>
        </w:tc>
      </w:tr>
      <w:tr>
        <w:trPr>
          <w:trHeight w:val="314" w:hRule="atLeast"/>
        </w:trPr>
        <w:tc>
          <w:tcPr>
            <w:tcW w:w="173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229"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512.00</w:t>
            </w:r>
          </w:p>
        </w:tc>
        <w:tc>
          <w:tcPr>
            <w:tcW w:w="1404" w:type="dxa"/>
            <w:vAlign w:val="top"/>
          </w:tcPr>
          <w:p>
            <w:pPr>
              <w:pStyle w:val="TableText"/>
              <w:rPr/>
            </w:pPr>
            <w:r/>
          </w:p>
        </w:tc>
        <w:tc>
          <w:tcPr>
            <w:tcW w:w="1334"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512.00</w:t>
            </w:r>
          </w:p>
        </w:tc>
      </w:tr>
      <w:tr>
        <w:trPr>
          <w:trHeight w:val="314" w:hRule="atLeast"/>
        </w:trPr>
        <w:tc>
          <w:tcPr>
            <w:tcW w:w="173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229" w:type="dxa"/>
            <w:vAlign w:val="top"/>
          </w:tcPr>
          <w:p>
            <w:pPr>
              <w:ind w:left="6"/>
              <w:spacing w:before="81"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458"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404" w:type="dxa"/>
            <w:vAlign w:val="top"/>
          </w:tcPr>
          <w:p>
            <w:pPr>
              <w:pStyle w:val="TableText"/>
              <w:rPr/>
            </w:pPr>
            <w:r/>
          </w:p>
        </w:tc>
        <w:tc>
          <w:tcPr>
            <w:tcW w:w="1334" w:type="dxa"/>
            <w:vAlign w:val="top"/>
          </w:tcPr>
          <w:p>
            <w:pPr>
              <w:pStyle w:val="TableText"/>
              <w:ind w:left="833"/>
              <w:spacing w:before="100" w:line="186" w:lineRule="auto"/>
              <w:rPr>
                <w:sz w:val="13"/>
                <w:szCs w:val="13"/>
              </w:rPr>
            </w:pPr>
            <w:r>
              <w:rPr>
                <w:sz w:val="13"/>
                <w:szCs w:val="13"/>
                <w:color w:val="212529"/>
                <w:spacing w:val="2"/>
              </w:rPr>
              <w:t>100.</w:t>
            </w:r>
            <w:r>
              <w:rPr>
                <w:sz w:val="13"/>
                <w:szCs w:val="13"/>
                <w:color w:val="212529"/>
                <w:spacing w:val="18"/>
                <w:w w:val="101"/>
              </w:rPr>
              <w:t xml:space="preserve"> </w:t>
            </w:r>
            <w:r>
              <w:rPr>
                <w:sz w:val="13"/>
                <w:szCs w:val="13"/>
                <w:color w:val="212529"/>
                <w:spacing w:val="2"/>
              </w:rPr>
              <w:t>00</w:t>
            </w:r>
          </w:p>
        </w:tc>
      </w:tr>
      <w:tr>
        <w:trPr>
          <w:trHeight w:val="314" w:hRule="atLeast"/>
        </w:trPr>
        <w:tc>
          <w:tcPr>
            <w:tcW w:w="173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2011399</w:t>
            </w:r>
          </w:p>
        </w:tc>
        <w:tc>
          <w:tcPr>
            <w:tcW w:w="3229" w:type="dxa"/>
            <w:vAlign w:val="top"/>
          </w:tcPr>
          <w:p>
            <w:pPr>
              <w:ind w:left="3"/>
              <w:spacing w:before="81" w:line="229" w:lineRule="auto"/>
              <w:rPr>
                <w:rFonts w:ascii="SimSun" w:hAnsi="SimSun" w:eastAsia="SimSun" w:cs="SimSun"/>
                <w:sz w:val="15"/>
                <w:szCs w:val="15"/>
              </w:rPr>
            </w:pPr>
            <w:r>
              <w:rPr>
                <w:rFonts w:ascii="SimSun" w:hAnsi="SimSun" w:eastAsia="SimSun" w:cs="SimSun"/>
                <w:sz w:val="15"/>
                <w:szCs w:val="15"/>
                <w:color w:val="212529"/>
                <w:spacing w:val="11"/>
              </w:rPr>
              <w:t>其他商贸事务支出</w:t>
            </w:r>
          </w:p>
        </w:tc>
        <w:tc>
          <w:tcPr>
            <w:tcW w:w="1458"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404" w:type="dxa"/>
            <w:vAlign w:val="top"/>
          </w:tcPr>
          <w:p>
            <w:pPr>
              <w:pStyle w:val="TableText"/>
              <w:rPr/>
            </w:pPr>
            <w:r/>
          </w:p>
        </w:tc>
        <w:tc>
          <w:tcPr>
            <w:tcW w:w="1334"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r>
      <w:tr>
        <w:trPr>
          <w:trHeight w:val="314" w:hRule="atLeast"/>
        </w:trPr>
        <w:tc>
          <w:tcPr>
            <w:tcW w:w="173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ind w:left="5"/>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58" w:type="dxa"/>
            <w:vAlign w:val="top"/>
          </w:tcPr>
          <w:p>
            <w:pPr>
              <w:ind w:right="20"/>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404" w:type="dxa"/>
            <w:vAlign w:val="top"/>
          </w:tcPr>
          <w:p>
            <w:pPr>
              <w:pStyle w:val="TableText"/>
              <w:ind w:left="909"/>
              <w:spacing w:before="100" w:line="173" w:lineRule="auto"/>
              <w:rPr>
                <w:sz w:val="14"/>
                <w:szCs w:val="14"/>
              </w:rPr>
            </w:pPr>
            <w:r>
              <w:rPr>
                <w:sz w:val="14"/>
                <w:szCs w:val="14"/>
                <w:color w:val="212529"/>
                <w:spacing w:val="4"/>
              </w:rPr>
              <w:t>129.41</w:t>
            </w:r>
          </w:p>
        </w:tc>
        <w:tc>
          <w:tcPr>
            <w:tcW w:w="1334" w:type="dxa"/>
            <w:vAlign w:val="top"/>
          </w:tcPr>
          <w:p>
            <w:pPr>
              <w:pStyle w:val="TableText"/>
              <w:rPr/>
            </w:pPr>
            <w:r/>
          </w:p>
        </w:tc>
      </w:tr>
      <w:tr>
        <w:trPr>
          <w:trHeight w:val="314" w:hRule="atLeast"/>
        </w:trPr>
        <w:tc>
          <w:tcPr>
            <w:tcW w:w="173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404" w:type="dxa"/>
            <w:vAlign w:val="top"/>
          </w:tcPr>
          <w:p>
            <w:pPr>
              <w:pStyle w:val="TableText"/>
              <w:rPr/>
            </w:pPr>
            <w:r/>
          </w:p>
        </w:tc>
        <w:tc>
          <w:tcPr>
            <w:tcW w:w="1334" w:type="dxa"/>
            <w:vAlign w:val="top"/>
          </w:tcPr>
          <w:p>
            <w:pPr>
              <w:pStyle w:val="TableText"/>
              <w:rPr/>
            </w:pPr>
            <w:r/>
          </w:p>
        </w:tc>
      </w:tr>
      <w:tr>
        <w:trPr>
          <w:trHeight w:val="314" w:hRule="atLeast"/>
        </w:trPr>
        <w:tc>
          <w:tcPr>
            <w:tcW w:w="173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29"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18.34</w:t>
            </w:r>
          </w:p>
        </w:tc>
        <w:tc>
          <w:tcPr>
            <w:tcW w:w="1404"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18.34</w:t>
            </w:r>
          </w:p>
        </w:tc>
        <w:tc>
          <w:tcPr>
            <w:tcW w:w="1334" w:type="dxa"/>
            <w:vAlign w:val="top"/>
          </w:tcPr>
          <w:p>
            <w:pPr>
              <w:pStyle w:val="TableText"/>
              <w:rPr/>
            </w:pPr>
            <w:r/>
          </w:p>
        </w:tc>
      </w:tr>
      <w:tr>
        <w:trPr>
          <w:trHeight w:val="314" w:hRule="atLeast"/>
        </w:trPr>
        <w:tc>
          <w:tcPr>
            <w:tcW w:w="173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ind w:left="3"/>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58"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111.08</w:t>
            </w:r>
          </w:p>
        </w:tc>
        <w:tc>
          <w:tcPr>
            <w:tcW w:w="1404" w:type="dxa"/>
            <w:vAlign w:val="top"/>
          </w:tcPr>
          <w:p>
            <w:pPr>
              <w:ind w:right="18"/>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111.08</w:t>
            </w:r>
          </w:p>
        </w:tc>
        <w:tc>
          <w:tcPr>
            <w:tcW w:w="1334" w:type="dxa"/>
            <w:vAlign w:val="top"/>
          </w:tcPr>
          <w:p>
            <w:pPr>
              <w:pStyle w:val="TableText"/>
              <w:rPr/>
            </w:pPr>
            <w:r/>
          </w:p>
        </w:tc>
      </w:tr>
      <w:tr>
        <w:trPr>
          <w:trHeight w:val="314" w:hRule="atLeast"/>
        </w:trPr>
        <w:tc>
          <w:tcPr>
            <w:tcW w:w="173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58"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04" w:type="dxa"/>
            <w:vAlign w:val="top"/>
          </w:tcPr>
          <w:p>
            <w:pPr>
              <w:pStyle w:val="TableText"/>
              <w:ind w:left="979"/>
              <w:spacing w:before="102" w:line="186" w:lineRule="auto"/>
              <w:rPr>
                <w:sz w:val="13"/>
                <w:szCs w:val="13"/>
              </w:rPr>
            </w:pPr>
            <w:r>
              <w:rPr>
                <w:sz w:val="13"/>
                <w:szCs w:val="13"/>
                <w:color w:val="212529"/>
                <w:spacing w:val="3"/>
              </w:rPr>
              <w:t>61.</w:t>
            </w:r>
            <w:r>
              <w:rPr>
                <w:sz w:val="13"/>
                <w:szCs w:val="13"/>
                <w:color w:val="212529"/>
                <w:spacing w:val="17"/>
              </w:rPr>
              <w:t xml:space="preserve"> </w:t>
            </w:r>
            <w:r>
              <w:rPr>
                <w:sz w:val="13"/>
                <w:szCs w:val="13"/>
                <w:color w:val="212529"/>
                <w:spacing w:val="3"/>
              </w:rPr>
              <w:t>96</w:t>
            </w:r>
          </w:p>
        </w:tc>
        <w:tc>
          <w:tcPr>
            <w:tcW w:w="1334" w:type="dxa"/>
            <w:vAlign w:val="top"/>
          </w:tcPr>
          <w:p>
            <w:pPr>
              <w:pStyle w:val="TableText"/>
              <w:rPr/>
            </w:pPr>
            <w:r/>
          </w:p>
        </w:tc>
      </w:tr>
      <w:tr>
        <w:trPr>
          <w:trHeight w:val="314" w:hRule="atLeast"/>
        </w:trPr>
        <w:tc>
          <w:tcPr>
            <w:tcW w:w="173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ind w:left="4"/>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58"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04" w:type="dxa"/>
            <w:vAlign w:val="top"/>
          </w:tcPr>
          <w:p>
            <w:pPr>
              <w:pStyle w:val="TableText"/>
              <w:ind w:left="979"/>
              <w:spacing w:before="102" w:line="186" w:lineRule="auto"/>
              <w:rPr>
                <w:sz w:val="13"/>
                <w:szCs w:val="13"/>
              </w:rPr>
            </w:pPr>
            <w:r>
              <w:rPr>
                <w:sz w:val="13"/>
                <w:szCs w:val="13"/>
                <w:color w:val="212529"/>
                <w:spacing w:val="3"/>
              </w:rPr>
              <w:t>61.</w:t>
            </w:r>
            <w:r>
              <w:rPr>
                <w:sz w:val="13"/>
                <w:szCs w:val="13"/>
                <w:color w:val="212529"/>
                <w:spacing w:val="17"/>
              </w:rPr>
              <w:t xml:space="preserve"> </w:t>
            </w:r>
            <w:r>
              <w:rPr>
                <w:sz w:val="13"/>
                <w:szCs w:val="13"/>
                <w:color w:val="212529"/>
                <w:spacing w:val="3"/>
              </w:rPr>
              <w:t>96</w:t>
            </w:r>
          </w:p>
        </w:tc>
        <w:tc>
          <w:tcPr>
            <w:tcW w:w="1334" w:type="dxa"/>
            <w:vAlign w:val="top"/>
          </w:tcPr>
          <w:p>
            <w:pPr>
              <w:pStyle w:val="TableText"/>
              <w:rPr/>
            </w:pPr>
            <w:r/>
          </w:p>
        </w:tc>
      </w:tr>
      <w:tr>
        <w:trPr>
          <w:trHeight w:val="314" w:hRule="atLeast"/>
        </w:trPr>
        <w:tc>
          <w:tcPr>
            <w:tcW w:w="173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29" w:type="dxa"/>
            <w:vAlign w:val="top"/>
          </w:tcPr>
          <w:p>
            <w:pPr>
              <w:ind w:left="4"/>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58" w:type="dxa"/>
            <w:vAlign w:val="top"/>
          </w:tcPr>
          <w:p>
            <w:pPr>
              <w:ind w:right="20"/>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404" w:type="dxa"/>
            <w:vAlign w:val="top"/>
          </w:tcPr>
          <w:p>
            <w:pPr>
              <w:ind w:right="18"/>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334" w:type="dxa"/>
            <w:vAlign w:val="top"/>
          </w:tcPr>
          <w:p>
            <w:pPr>
              <w:pStyle w:val="TableText"/>
              <w:rPr/>
            </w:pPr>
            <w:r/>
          </w:p>
        </w:tc>
      </w:tr>
      <w:tr>
        <w:trPr>
          <w:trHeight w:val="314" w:hRule="atLeast"/>
        </w:trPr>
        <w:tc>
          <w:tcPr>
            <w:tcW w:w="173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ind w:left="5"/>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8.66</w:t>
            </w:r>
          </w:p>
        </w:tc>
        <w:tc>
          <w:tcPr>
            <w:tcW w:w="1404"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8.66</w:t>
            </w:r>
          </w:p>
        </w:tc>
        <w:tc>
          <w:tcPr>
            <w:tcW w:w="1334" w:type="dxa"/>
            <w:vAlign w:val="top"/>
          </w:tcPr>
          <w:p>
            <w:pPr>
              <w:pStyle w:val="TableText"/>
              <w:rPr/>
            </w:pPr>
            <w:r/>
          </w:p>
        </w:tc>
      </w:tr>
      <w:tr>
        <w:trPr>
          <w:trHeight w:val="314" w:hRule="atLeast"/>
        </w:trPr>
        <w:tc>
          <w:tcPr>
            <w:tcW w:w="173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16.83</w:t>
            </w:r>
          </w:p>
        </w:tc>
        <w:tc>
          <w:tcPr>
            <w:tcW w:w="1404"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16.83</w:t>
            </w:r>
          </w:p>
        </w:tc>
        <w:tc>
          <w:tcPr>
            <w:tcW w:w="1334" w:type="dxa"/>
            <w:vAlign w:val="top"/>
          </w:tcPr>
          <w:p>
            <w:pPr>
              <w:pStyle w:val="TableText"/>
              <w:rPr/>
            </w:pPr>
            <w:r/>
          </w:p>
        </w:tc>
      </w:tr>
      <w:tr>
        <w:trPr>
          <w:trHeight w:val="314" w:hRule="atLeast"/>
        </w:trPr>
        <w:tc>
          <w:tcPr>
            <w:tcW w:w="173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ind w:left="4"/>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58" w:type="dxa"/>
            <w:vAlign w:val="top"/>
          </w:tcPr>
          <w:p>
            <w:pPr>
              <w:ind w:right="20"/>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04" w:type="dxa"/>
            <w:vAlign w:val="top"/>
          </w:tcPr>
          <w:p>
            <w:pPr>
              <w:pStyle w:val="TableText"/>
              <w:ind w:right="17"/>
              <w:spacing w:before="104" w:line="172" w:lineRule="auto"/>
              <w:jc w:val="right"/>
              <w:rPr>
                <w:sz w:val="14"/>
                <w:szCs w:val="14"/>
              </w:rPr>
            </w:pPr>
            <w:r>
              <w:rPr>
                <w:sz w:val="14"/>
                <w:szCs w:val="14"/>
                <w:color w:val="212529"/>
              </w:rPr>
              <w:t>98.</w:t>
            </w:r>
            <w:r>
              <w:rPr>
                <w:sz w:val="14"/>
                <w:szCs w:val="14"/>
                <w:color w:val="212529"/>
                <w:spacing w:val="7"/>
              </w:rPr>
              <w:t xml:space="preserve"> </w:t>
            </w:r>
            <w:r>
              <w:rPr>
                <w:sz w:val="14"/>
                <w:szCs w:val="14"/>
                <w:color w:val="212529"/>
              </w:rPr>
              <w:t>74</w:t>
            </w:r>
          </w:p>
        </w:tc>
        <w:tc>
          <w:tcPr>
            <w:tcW w:w="1334" w:type="dxa"/>
            <w:vAlign w:val="top"/>
          </w:tcPr>
          <w:p>
            <w:pPr>
              <w:pStyle w:val="TableText"/>
              <w:rPr/>
            </w:pPr>
            <w:r/>
          </w:p>
        </w:tc>
      </w:tr>
      <w:tr>
        <w:trPr>
          <w:trHeight w:val="314" w:hRule="atLeast"/>
        </w:trPr>
        <w:tc>
          <w:tcPr>
            <w:tcW w:w="173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ind w:left="4"/>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58"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04" w:type="dxa"/>
            <w:vAlign w:val="top"/>
          </w:tcPr>
          <w:p>
            <w:pPr>
              <w:pStyle w:val="TableText"/>
              <w:ind w:right="17"/>
              <w:spacing w:before="104" w:line="172" w:lineRule="auto"/>
              <w:jc w:val="right"/>
              <w:rPr>
                <w:sz w:val="14"/>
                <w:szCs w:val="14"/>
              </w:rPr>
            </w:pPr>
            <w:r>
              <w:rPr>
                <w:sz w:val="14"/>
                <w:szCs w:val="14"/>
                <w:color w:val="212529"/>
              </w:rPr>
              <w:t>98.</w:t>
            </w:r>
            <w:r>
              <w:rPr>
                <w:sz w:val="14"/>
                <w:szCs w:val="14"/>
                <w:color w:val="212529"/>
                <w:spacing w:val="7"/>
              </w:rPr>
              <w:t xml:space="preserve"> </w:t>
            </w:r>
            <w:r>
              <w:rPr>
                <w:sz w:val="14"/>
                <w:szCs w:val="14"/>
                <w:color w:val="212529"/>
              </w:rPr>
              <w:t>74</w:t>
            </w:r>
          </w:p>
        </w:tc>
        <w:tc>
          <w:tcPr>
            <w:tcW w:w="1334" w:type="dxa"/>
            <w:vAlign w:val="top"/>
          </w:tcPr>
          <w:p>
            <w:pPr>
              <w:pStyle w:val="TableText"/>
              <w:rPr/>
            </w:pPr>
            <w:r/>
          </w:p>
        </w:tc>
      </w:tr>
      <w:tr>
        <w:trPr>
          <w:trHeight w:val="319" w:hRule="atLeast"/>
        </w:trPr>
        <w:tc>
          <w:tcPr>
            <w:tcW w:w="173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ind w:left="4"/>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58"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04"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33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44"/>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2106.87</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1816.76</w:t>
            </w:r>
          </w:p>
        </w:tc>
        <w:tc>
          <w:tcPr>
            <w:tcW w:w="1123" w:type="dxa"/>
            <w:vAlign w:val="top"/>
          </w:tcPr>
          <w:p>
            <w:pPr>
              <w:ind w:right="1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1816.76</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.41</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8"/>
              <w:spacing w:before="137" w:line="187" w:lineRule="auto"/>
              <w:rPr>
                <w:sz w:val="13"/>
                <w:szCs w:val="13"/>
              </w:rPr>
            </w:pPr>
            <w:r>
              <w:rPr>
                <w:sz w:val="13"/>
                <w:szCs w:val="13"/>
                <w:color w:val="212529"/>
                <w:spacing w:val="4"/>
              </w:rPr>
              <w:t>2106.</w:t>
            </w:r>
            <w:r>
              <w:rPr>
                <w:sz w:val="13"/>
                <w:szCs w:val="13"/>
                <w:color w:val="212529"/>
                <w:spacing w:val="19"/>
                <w:w w:val="102"/>
              </w:rPr>
              <w:t xml:space="preserve"> </w:t>
            </w:r>
            <w:r>
              <w:rPr>
                <w:sz w:val="13"/>
                <w:szCs w:val="13"/>
                <w:color w:val="212529"/>
                <w:spacing w:val="4"/>
              </w:rPr>
              <w:t>87</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4"/>
              <w:spacing w:before="137"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1123" w:type="dxa"/>
            <w:vAlign w:val="top"/>
          </w:tcPr>
          <w:p>
            <w:pPr>
              <w:pStyle w:val="TableText"/>
              <w:ind w:left="272"/>
              <w:spacing w:before="137"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8"/>
              <w:spacing w:before="135" w:line="187" w:lineRule="auto"/>
              <w:rPr>
                <w:sz w:val="13"/>
                <w:szCs w:val="13"/>
              </w:rPr>
            </w:pPr>
            <w:r>
              <w:rPr>
                <w:sz w:val="13"/>
                <w:szCs w:val="13"/>
                <w:color w:val="212529"/>
                <w:spacing w:val="4"/>
              </w:rPr>
              <w:t>2106.</w:t>
            </w:r>
            <w:r>
              <w:rPr>
                <w:sz w:val="13"/>
                <w:szCs w:val="13"/>
                <w:color w:val="212529"/>
                <w:spacing w:val="19"/>
                <w:w w:val="102"/>
              </w:rPr>
              <w:t xml:space="preserve"> </w:t>
            </w:r>
            <w:r>
              <w:rPr>
                <w:sz w:val="13"/>
                <w:szCs w:val="13"/>
                <w:color w:val="212529"/>
                <w:spacing w:val="4"/>
              </w:rPr>
              <w:t>87</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4"/>
              <w:spacing w:before="135"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1123" w:type="dxa"/>
            <w:vAlign w:val="top"/>
          </w:tcPr>
          <w:p>
            <w:pPr>
              <w:pStyle w:val="TableText"/>
              <w:ind w:left="272"/>
              <w:spacing w:before="135"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045"/>
        <w:gridCol w:w="1588"/>
        <w:gridCol w:w="1458"/>
        <w:gridCol w:w="1431"/>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27"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431" w:type="dxa"/>
            <w:vAlign w:val="top"/>
            <w:tcBorders>
              <w:top w:val="single" w:color="FFFFFF" w:sz="4" w:space="0"/>
              <w:left w:val="single" w:color="FFFFFF" w:sz="2" w:space="0"/>
              <w:right w:val="single" w:color="FFFFFF" w:sz="2" w:space="0"/>
            </w:tcBorders>
          </w:tcPr>
          <w:p>
            <w:pPr>
              <w:ind w:left="758"/>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81" w:type="dxa"/>
            <w:vAlign w:val="top"/>
            <w:gridSpan w:val="2"/>
          </w:tcPr>
          <w:p>
            <w:pPr>
              <w:ind w:left="216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77" w:type="dxa"/>
            <w:vAlign w:val="top"/>
            <w:gridSpan w:val="3"/>
          </w:tcPr>
          <w:p>
            <w:pPr>
              <w:ind w:left="17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88" w:type="dxa"/>
            <w:vAlign w:val="top"/>
          </w:tcPr>
          <w:p>
            <w:pPr>
              <w:ind w:left="626"/>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left="394"/>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31" w:type="dxa"/>
            <w:vAlign w:val="top"/>
          </w:tcPr>
          <w:p>
            <w:pPr>
              <w:ind w:left="38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81" w:type="dxa"/>
            <w:vAlign w:val="top"/>
            <w:gridSpan w:val="2"/>
          </w:tcPr>
          <w:p>
            <w:pPr>
              <w:ind w:left="217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88" w:type="dxa"/>
            <w:vAlign w:val="top"/>
          </w:tcPr>
          <w:p>
            <w:pPr>
              <w:pStyle w:val="TableText"/>
              <w:ind w:left="999"/>
              <w:spacing w:before="87" w:line="173" w:lineRule="auto"/>
              <w:rPr>
                <w:sz w:val="14"/>
                <w:szCs w:val="14"/>
              </w:rPr>
            </w:pPr>
            <w:r>
              <w:rPr>
                <w:sz w:val="14"/>
                <w:szCs w:val="14"/>
                <w:color w:val="212529"/>
              </w:rPr>
              <w:t>2106.</w:t>
            </w:r>
            <w:r>
              <w:rPr>
                <w:sz w:val="14"/>
                <w:szCs w:val="14"/>
                <w:color w:val="212529"/>
                <w:spacing w:val="9"/>
              </w:rPr>
              <w:t xml:space="preserve"> </w:t>
            </w:r>
            <w:r>
              <w:rPr>
                <w:sz w:val="14"/>
                <w:szCs w:val="14"/>
                <w:color w:val="212529"/>
              </w:rPr>
              <w:t>87</w:t>
            </w:r>
          </w:p>
        </w:tc>
        <w:tc>
          <w:tcPr>
            <w:tcW w:w="1458" w:type="dxa"/>
            <w:vAlign w:val="top"/>
          </w:tcPr>
          <w:p>
            <w:pPr>
              <w:pStyle w:val="TableText"/>
              <w:ind w:left="883"/>
              <w:spacing w:before="87" w:line="186" w:lineRule="auto"/>
              <w:rPr>
                <w:sz w:val="13"/>
                <w:szCs w:val="13"/>
              </w:rPr>
            </w:pPr>
            <w:r>
              <w:rPr>
                <w:sz w:val="13"/>
                <w:szCs w:val="13"/>
                <w:color w:val="212529"/>
                <w:spacing w:val="3"/>
              </w:rPr>
              <w:t>1494.</w:t>
            </w:r>
            <w:r>
              <w:rPr>
                <w:sz w:val="13"/>
                <w:szCs w:val="13"/>
                <w:color w:val="212529"/>
                <w:spacing w:val="17"/>
              </w:rPr>
              <w:t xml:space="preserve"> </w:t>
            </w:r>
            <w:r>
              <w:rPr>
                <w:sz w:val="13"/>
                <w:szCs w:val="13"/>
                <w:color w:val="212529"/>
                <w:spacing w:val="3"/>
              </w:rPr>
              <w:t>87</w:t>
            </w:r>
          </w:p>
        </w:tc>
        <w:tc>
          <w:tcPr>
            <w:tcW w:w="1431" w:type="dxa"/>
            <w:vAlign w:val="top"/>
          </w:tcPr>
          <w:p>
            <w:pPr>
              <w:pStyle w:val="TableText"/>
              <w:ind w:left="919"/>
              <w:spacing w:before="87" w:line="173" w:lineRule="auto"/>
              <w:rPr>
                <w:sz w:val="14"/>
                <w:szCs w:val="14"/>
              </w:rPr>
            </w:pPr>
            <w:r>
              <w:rPr>
                <w:sz w:val="14"/>
                <w:szCs w:val="14"/>
                <w:color w:val="212529"/>
              </w:rPr>
              <w:t>612.</w:t>
            </w:r>
            <w:r>
              <w:rPr>
                <w:sz w:val="14"/>
                <w:szCs w:val="14"/>
                <w:color w:val="212529"/>
                <w:spacing w:val="7"/>
              </w:rPr>
              <w:t xml:space="preserve"> </w:t>
            </w:r>
            <w:r>
              <w:rPr>
                <w:sz w:val="14"/>
                <w:szCs w:val="14"/>
                <w:color w:val="212529"/>
              </w:rPr>
              <w:t>00</w:t>
            </w:r>
          </w:p>
        </w:tc>
      </w:tr>
      <w:tr>
        <w:trPr>
          <w:trHeight w:val="292" w:hRule="atLeast"/>
        </w:trPr>
        <w:tc>
          <w:tcPr>
            <w:tcW w:w="1636"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045"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88"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1816.76</w:t>
            </w:r>
          </w:p>
        </w:tc>
        <w:tc>
          <w:tcPr>
            <w:tcW w:w="1458"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1204.76</w:t>
            </w:r>
          </w:p>
        </w:tc>
        <w:tc>
          <w:tcPr>
            <w:tcW w:w="1431"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612.00</w:t>
            </w:r>
          </w:p>
        </w:tc>
      </w:tr>
      <w:tr>
        <w:trPr>
          <w:trHeight w:val="292" w:hRule="atLeast"/>
        </w:trPr>
        <w:tc>
          <w:tcPr>
            <w:tcW w:w="1636"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045" w:type="dxa"/>
            <w:vAlign w:val="top"/>
          </w:tcPr>
          <w:p>
            <w:pPr>
              <w:ind w:left="8"/>
              <w:spacing w:before="69"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588"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1716.76</w:t>
            </w:r>
          </w:p>
        </w:tc>
        <w:tc>
          <w:tcPr>
            <w:tcW w:w="1458"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1204.76</w:t>
            </w:r>
          </w:p>
        </w:tc>
        <w:tc>
          <w:tcPr>
            <w:tcW w:w="1431"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512.00</w:t>
            </w:r>
          </w:p>
        </w:tc>
      </w:tr>
      <w:tr>
        <w:trPr>
          <w:trHeight w:val="292" w:hRule="atLeast"/>
        </w:trPr>
        <w:tc>
          <w:tcPr>
            <w:tcW w:w="1636"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2011101</w:t>
            </w:r>
          </w:p>
        </w:tc>
        <w:tc>
          <w:tcPr>
            <w:tcW w:w="3045" w:type="dxa"/>
            <w:vAlign w:val="top"/>
          </w:tcPr>
          <w:p>
            <w:pPr>
              <w:ind w:left="4"/>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88"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1052.75</w:t>
            </w:r>
          </w:p>
        </w:tc>
        <w:tc>
          <w:tcPr>
            <w:tcW w:w="1458"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1052.75</w:t>
            </w:r>
          </w:p>
        </w:tc>
        <w:tc>
          <w:tcPr>
            <w:tcW w:w="1431" w:type="dxa"/>
            <w:vAlign w:val="top"/>
          </w:tcPr>
          <w:p>
            <w:pPr>
              <w:pStyle w:val="TableText"/>
              <w:rPr/>
            </w:pPr>
            <w:r/>
          </w:p>
        </w:tc>
      </w:tr>
      <w:tr>
        <w:trPr>
          <w:trHeight w:val="292" w:hRule="atLeast"/>
        </w:trPr>
        <w:tc>
          <w:tcPr>
            <w:tcW w:w="1636"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045"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152.01</w:t>
            </w:r>
          </w:p>
        </w:tc>
        <w:tc>
          <w:tcPr>
            <w:tcW w:w="1458"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152.01</w:t>
            </w:r>
          </w:p>
        </w:tc>
        <w:tc>
          <w:tcPr>
            <w:tcW w:w="1431" w:type="dxa"/>
            <w:vAlign w:val="top"/>
          </w:tcPr>
          <w:p>
            <w:pPr>
              <w:pStyle w:val="TableText"/>
              <w:rPr/>
            </w:pPr>
            <w:r/>
          </w:p>
        </w:tc>
      </w:tr>
      <w:tr>
        <w:trPr>
          <w:trHeight w:val="292" w:hRule="atLeast"/>
        </w:trPr>
        <w:tc>
          <w:tcPr>
            <w:tcW w:w="1636"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045" w:type="dxa"/>
            <w:vAlign w:val="top"/>
          </w:tcPr>
          <w:p>
            <w:pPr>
              <w:ind w:left="4"/>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512.00</w:t>
            </w:r>
          </w:p>
        </w:tc>
        <w:tc>
          <w:tcPr>
            <w:tcW w:w="1458" w:type="dxa"/>
            <w:vAlign w:val="top"/>
          </w:tcPr>
          <w:p>
            <w:pPr>
              <w:pStyle w:val="TableText"/>
              <w:rPr/>
            </w:pPr>
            <w:r/>
          </w:p>
        </w:tc>
        <w:tc>
          <w:tcPr>
            <w:tcW w:w="1431"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512.00</w:t>
            </w:r>
          </w:p>
        </w:tc>
      </w:tr>
      <w:tr>
        <w:trPr>
          <w:trHeight w:val="292" w:hRule="atLeast"/>
        </w:trPr>
        <w:tc>
          <w:tcPr>
            <w:tcW w:w="1636"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045"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588"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458" w:type="dxa"/>
            <w:vAlign w:val="top"/>
          </w:tcPr>
          <w:p>
            <w:pPr>
              <w:pStyle w:val="TableText"/>
              <w:rPr/>
            </w:pPr>
            <w:r/>
          </w:p>
        </w:tc>
        <w:tc>
          <w:tcPr>
            <w:tcW w:w="1431"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r>
      <w:tr>
        <w:trPr>
          <w:trHeight w:val="292" w:hRule="atLeast"/>
        </w:trPr>
        <w:tc>
          <w:tcPr>
            <w:tcW w:w="1636"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2011399</w:t>
            </w:r>
          </w:p>
        </w:tc>
        <w:tc>
          <w:tcPr>
            <w:tcW w:w="3045" w:type="dxa"/>
            <w:vAlign w:val="top"/>
          </w:tcPr>
          <w:p>
            <w:pPr>
              <w:ind w:left="4"/>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其他商贸事务支出</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458" w:type="dxa"/>
            <w:vAlign w:val="top"/>
          </w:tcPr>
          <w:p>
            <w:pPr>
              <w:pStyle w:val="TableText"/>
              <w:rPr/>
            </w:pPr>
            <w:r/>
          </w:p>
        </w:tc>
        <w:tc>
          <w:tcPr>
            <w:tcW w:w="1431"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045"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88"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458"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431" w:type="dxa"/>
            <w:vAlign w:val="top"/>
          </w:tcPr>
          <w:p>
            <w:pPr>
              <w:pStyle w:val="TableText"/>
              <w:rPr/>
            </w:pPr>
            <w:r/>
          </w:p>
        </w:tc>
      </w:tr>
      <w:tr>
        <w:trPr>
          <w:trHeight w:val="293" w:hRule="atLeast"/>
        </w:trPr>
        <w:tc>
          <w:tcPr>
            <w:tcW w:w="1636" w:type="dxa"/>
            <w:vAlign w:val="top"/>
          </w:tcPr>
          <w:p>
            <w:pPr>
              <w:ind w:left="25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3045"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129.41</w:t>
            </w:r>
          </w:p>
        </w:tc>
        <w:tc>
          <w:tcPr>
            <w:tcW w:w="1458" w:type="dxa"/>
            <w:vAlign w:val="top"/>
          </w:tcPr>
          <w:p>
            <w:pPr>
              <w:ind w:left="964"/>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129.</w:t>
            </w:r>
          </w:p>
        </w:tc>
        <w:tc>
          <w:tcPr>
            <w:tcW w:w="1431"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045"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18.34</w:t>
            </w:r>
          </w:p>
        </w:tc>
        <w:tc>
          <w:tcPr>
            <w:tcW w:w="1458" w:type="dxa"/>
            <w:vAlign w:val="top"/>
          </w:tcPr>
          <w:p>
            <w:pPr>
              <w:ind w:left="1200"/>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31" w:type="dxa"/>
            <w:vAlign w:val="top"/>
          </w:tcPr>
          <w:p>
            <w:pPr>
              <w:pStyle w:val="TableText"/>
              <w:rPr/>
            </w:pPr>
            <w:r/>
          </w:p>
        </w:tc>
      </w:tr>
      <w:tr>
        <w:trPr>
          <w:trHeight w:val="293"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45" w:type="dxa"/>
            <w:vAlign w:val="top"/>
          </w:tcPr>
          <w:p>
            <w:pPr>
              <w:ind w:left="4"/>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111.08</w:t>
            </w:r>
          </w:p>
        </w:tc>
        <w:tc>
          <w:tcPr>
            <w:tcW w:w="1458"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.08</w:t>
            </w:r>
          </w:p>
        </w:tc>
        <w:tc>
          <w:tcPr>
            <w:tcW w:w="1431" w:type="dxa"/>
            <w:vAlign w:val="top"/>
          </w:tcPr>
          <w:p>
            <w:pPr>
              <w:pStyle w:val="TableText"/>
              <w:rPr/>
            </w:pPr>
            <w:r/>
          </w:p>
        </w:tc>
      </w:tr>
      <w:tr>
        <w:trPr>
          <w:trHeight w:val="292" w:hRule="atLeast"/>
        </w:trPr>
        <w:tc>
          <w:tcPr>
            <w:tcW w:w="1636"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45"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58"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31"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58"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61.96</w:t>
            </w:r>
          </w:p>
        </w:tc>
        <w:tc>
          <w:tcPr>
            <w:tcW w:w="1431" w:type="dxa"/>
            <w:vAlign w:val="top"/>
          </w:tcPr>
          <w:p>
            <w:pPr>
              <w:pStyle w:val="TableText"/>
              <w:rPr/>
            </w:pPr>
            <w:r/>
          </w:p>
        </w:tc>
      </w:tr>
      <w:tr>
        <w:trPr>
          <w:trHeight w:val="292"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458"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431" w:type="dxa"/>
            <w:vAlign w:val="top"/>
          </w:tcPr>
          <w:p>
            <w:pPr>
              <w:pStyle w:val="TableText"/>
              <w:rPr/>
            </w:pPr>
            <w:r/>
          </w:p>
        </w:tc>
      </w:tr>
      <w:tr>
        <w:trPr>
          <w:trHeight w:val="293"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45"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8.66</w:t>
            </w:r>
          </w:p>
        </w:tc>
        <w:tc>
          <w:tcPr>
            <w:tcW w:w="1458"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8.66</w:t>
            </w:r>
          </w:p>
        </w:tc>
        <w:tc>
          <w:tcPr>
            <w:tcW w:w="1431"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45"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16.83</w:t>
            </w:r>
          </w:p>
        </w:tc>
        <w:tc>
          <w:tcPr>
            <w:tcW w:w="1458"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16.83</w:t>
            </w:r>
          </w:p>
        </w:tc>
        <w:tc>
          <w:tcPr>
            <w:tcW w:w="1431" w:type="dxa"/>
            <w:vAlign w:val="top"/>
          </w:tcPr>
          <w:p>
            <w:pPr>
              <w:pStyle w:val="TableText"/>
              <w:rPr/>
            </w:pPr>
            <w:r/>
          </w:p>
        </w:tc>
      </w:tr>
      <w:tr>
        <w:trPr>
          <w:trHeight w:val="292" w:hRule="atLeast"/>
        </w:trPr>
        <w:tc>
          <w:tcPr>
            <w:tcW w:w="1636"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45"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58"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31" w:type="dxa"/>
            <w:vAlign w:val="top"/>
          </w:tcPr>
          <w:p>
            <w:pPr>
              <w:pStyle w:val="TableText"/>
              <w:rPr/>
            </w:pPr>
            <w:r/>
          </w:p>
        </w:tc>
      </w:tr>
      <w:tr>
        <w:trPr>
          <w:trHeight w:val="292"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45"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58"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31" w:type="dxa"/>
            <w:vAlign w:val="top"/>
          </w:tcPr>
          <w:p>
            <w:pPr>
              <w:pStyle w:val="TableText"/>
              <w:rPr/>
            </w:pPr>
            <w:r/>
          </w:p>
        </w:tc>
      </w:tr>
      <w:tr>
        <w:trPr>
          <w:trHeight w:val="298" w:hRule="atLeast"/>
        </w:trPr>
        <w:tc>
          <w:tcPr>
            <w:tcW w:w="1636"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45"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88"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58"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431"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62"/>
              <w:spacing w:before="86" w:line="162" w:lineRule="auto"/>
              <w:rPr>
                <w:sz w:val="15"/>
                <w:szCs w:val="15"/>
              </w:rPr>
            </w:pPr>
            <w:r>
              <w:rPr>
                <w:sz w:val="15"/>
                <w:szCs w:val="15"/>
                <w:color w:val="212529"/>
              </w:rPr>
              <w:t>1494.87</w:t>
            </w:r>
          </w:p>
        </w:tc>
        <w:tc>
          <w:tcPr>
            <w:tcW w:w="1242" w:type="dxa"/>
            <w:vAlign w:val="top"/>
          </w:tcPr>
          <w:p>
            <w:pPr>
              <w:pStyle w:val="TableText"/>
              <w:ind w:left="666"/>
              <w:spacing w:before="87" w:line="186" w:lineRule="auto"/>
              <w:rPr>
                <w:sz w:val="13"/>
                <w:szCs w:val="13"/>
              </w:rPr>
            </w:pPr>
            <w:r>
              <w:rPr>
                <w:sz w:val="13"/>
                <w:szCs w:val="13"/>
                <w:color w:val="212529"/>
                <w:spacing w:val="4"/>
              </w:rPr>
              <w:t>1167.</w:t>
            </w:r>
            <w:r>
              <w:rPr>
                <w:sz w:val="13"/>
                <w:szCs w:val="13"/>
                <w:color w:val="212529"/>
                <w:spacing w:val="10"/>
              </w:rPr>
              <w:t xml:space="preserve"> </w:t>
            </w:r>
            <w:r>
              <w:rPr>
                <w:sz w:val="13"/>
                <w:szCs w:val="13"/>
                <w:color w:val="212529"/>
                <w:spacing w:val="4"/>
              </w:rPr>
              <w:t>57</w:t>
            </w:r>
          </w:p>
        </w:tc>
        <w:tc>
          <w:tcPr>
            <w:tcW w:w="1172" w:type="dxa"/>
            <w:vAlign w:val="top"/>
          </w:tcPr>
          <w:p>
            <w:pPr>
              <w:pStyle w:val="TableText"/>
              <w:ind w:left="663"/>
              <w:spacing w:before="87" w:line="186" w:lineRule="auto"/>
              <w:rPr>
                <w:sz w:val="13"/>
                <w:szCs w:val="13"/>
              </w:rPr>
            </w:pPr>
            <w:r>
              <w:rPr>
                <w:sz w:val="13"/>
                <w:szCs w:val="13"/>
                <w:color w:val="212529"/>
                <w:spacing w:val="4"/>
              </w:rPr>
              <w:t>327.</w:t>
            </w:r>
            <w:r>
              <w:rPr>
                <w:sz w:val="13"/>
                <w:szCs w:val="13"/>
                <w:color w:val="212529"/>
                <w:spacing w:val="15"/>
              </w:rPr>
              <w:t xml:space="preserve"> </w:t>
            </w:r>
            <w:r>
              <w:rPr>
                <w:sz w:val="13"/>
                <w:szCs w:val="13"/>
                <w:color w:val="212529"/>
                <w:spacing w:val="4"/>
              </w:rPr>
              <w:t>30</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1147.25</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1147.25</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401.82</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401.82</w:t>
            </w:r>
          </w:p>
        </w:tc>
        <w:tc>
          <w:tcPr>
            <w:tcW w:w="1172" w:type="dxa"/>
            <w:vAlign w:val="top"/>
          </w:tcPr>
          <w:p>
            <w:pPr>
              <w:pStyle w:val="TableText"/>
              <w:rPr/>
            </w:pPr>
            <w:r/>
          </w:p>
        </w:tc>
      </w:tr>
      <w:tr>
        <w:trPr>
          <w:trHeight w:val="292" w:hRule="atLeast"/>
        </w:trPr>
        <w:tc>
          <w:tcPr>
            <w:tcW w:w="320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258.35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258.35</w:t>
            </w:r>
          </w:p>
        </w:tc>
        <w:tc>
          <w:tcPr>
            <w:tcW w:w="1172" w:type="dxa"/>
            <w:vAlign w:val="top"/>
          </w:tcPr>
          <w:p>
            <w:pPr>
              <w:pStyle w:val="TableText"/>
              <w:rPr/>
            </w:pPr>
            <w:r/>
          </w:p>
        </w:tc>
      </w:tr>
      <w:tr>
        <w:trPr>
          <w:trHeight w:val="293" w:hRule="atLeast"/>
        </w:trPr>
        <w:tc>
          <w:tcPr>
            <w:tcW w:w="3202"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58.56</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58.56</w:t>
            </w:r>
          </w:p>
        </w:tc>
        <w:tc>
          <w:tcPr>
            <w:tcW w:w="1172" w:type="dxa"/>
            <w:vAlign w:val="top"/>
          </w:tcPr>
          <w:p>
            <w:pPr>
              <w:pStyle w:val="TableText"/>
              <w:rPr/>
            </w:pPr>
            <w:r/>
          </w:p>
        </w:tc>
      </w:tr>
      <w:tr>
        <w:trPr>
          <w:trHeight w:val="293" w:hRule="atLeast"/>
        </w:trPr>
        <w:tc>
          <w:tcPr>
            <w:tcW w:w="320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51.37</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51.37</w:t>
            </w:r>
          </w:p>
        </w:tc>
        <w:tc>
          <w:tcPr>
            <w:tcW w:w="1172" w:type="dxa"/>
            <w:vAlign w:val="top"/>
          </w:tcPr>
          <w:p>
            <w:pPr>
              <w:pStyle w:val="TableText"/>
              <w:rPr/>
            </w:pPr>
            <w:r/>
          </w:p>
        </w:tc>
      </w:tr>
      <w:tr>
        <w:trPr>
          <w:trHeight w:val="292"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89.77</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89.77</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21.31</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21.31</w:t>
            </w:r>
          </w:p>
        </w:tc>
        <w:tc>
          <w:tcPr>
            <w:tcW w:w="1172" w:type="dxa"/>
            <w:vAlign w:val="top"/>
          </w:tcPr>
          <w:p>
            <w:pPr>
              <w:pStyle w:val="TableText"/>
              <w:rPr/>
            </w:pPr>
            <w:r/>
          </w:p>
        </w:tc>
      </w:tr>
      <w:tr>
        <w:trPr>
          <w:trHeight w:val="293" w:hRule="atLeast"/>
        </w:trPr>
        <w:tc>
          <w:tcPr>
            <w:tcW w:w="3202" w:type="dxa"/>
            <w:vAlign w:val="top"/>
          </w:tcPr>
          <w:p>
            <w:pPr>
              <w:ind w:left="655"/>
              <w:spacing w:before="71" w:line="228" w:lineRule="auto"/>
              <w:rPr>
                <w:rFonts w:ascii="SimSun" w:hAnsi="SimSun" w:eastAsia="SimSun" w:cs="SimSun"/>
                <w:sz w:val="15"/>
                <w:szCs w:val="15"/>
              </w:rPr>
            </w:pPr>
            <w:r>
              <w:rPr>
                <w:rFonts w:ascii="SimSun" w:hAnsi="SimSun" w:eastAsia="SimSun" w:cs="SimSun"/>
                <w:sz w:val="15"/>
                <w:szCs w:val="15"/>
                <w:color w:val="212529"/>
                <w:spacing w:val="11"/>
              </w:rPr>
              <w:t>基本医疗保险缴费</w:t>
            </w:r>
          </w:p>
        </w:tc>
        <w:tc>
          <w:tcPr>
            <w:tcW w:w="2224" w:type="dxa"/>
            <w:vAlign w:val="top"/>
          </w:tcPr>
          <w:p>
            <w:pPr>
              <w:ind w:left="334"/>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242"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36.47</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8.66</w:t>
            </w:r>
          </w:p>
        </w:tc>
        <w:tc>
          <w:tcPr>
            <w:tcW w:w="1242" w:type="dxa"/>
            <w:vAlign w:val="top"/>
          </w:tcPr>
          <w:p>
            <w:pPr>
              <w:ind w:left="983"/>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72" w:type="dxa"/>
            <w:vAlign w:val="top"/>
          </w:tcPr>
          <w:p>
            <w:pPr>
              <w:pStyle w:val="TableText"/>
              <w:rPr/>
            </w:pPr>
            <w:r/>
          </w:p>
        </w:tc>
      </w:tr>
      <w:tr>
        <w:trPr>
          <w:trHeight w:val="293" w:hRule="atLeast"/>
        </w:trPr>
        <w:tc>
          <w:tcPr>
            <w:tcW w:w="3202"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16.83</w:t>
            </w:r>
          </w:p>
        </w:tc>
        <w:tc>
          <w:tcPr>
            <w:tcW w:w="1242" w:type="dxa"/>
            <w:vAlign w:val="top"/>
          </w:tcPr>
          <w:p>
            <w:pPr>
              <w:ind w:left="983"/>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left="895"/>
              <w:spacing w:before="70" w:line="202" w:lineRule="exact"/>
              <w:rPr>
                <w:rFonts w:ascii="SimSun" w:hAnsi="SimSun" w:eastAsia="SimSun" w:cs="SimSun"/>
                <w:sz w:val="15"/>
                <w:szCs w:val="15"/>
              </w:rPr>
            </w:pPr>
            <w:r>
              <w:rPr>
                <w:rFonts w:ascii="SimSun" w:hAnsi="SimSun" w:eastAsia="SimSun" w:cs="SimSun"/>
                <w:sz w:val="15"/>
                <w:szCs w:val="15"/>
                <w:color w:val="212529"/>
                <w:spacing w:val="2"/>
                <w:position w:val="1"/>
              </w:rPr>
              <w:t>2.3</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172" w:type="dxa"/>
            <w:vAlign w:val="top"/>
          </w:tcPr>
          <w:p>
            <w:pPr>
              <w:pStyle w:val="TableText"/>
              <w:rPr/>
            </w:pPr>
            <w:r/>
          </w:p>
        </w:tc>
      </w:tr>
      <w:tr>
        <w:trPr>
          <w:trHeight w:val="292" w:hRule="atLeast"/>
        </w:trPr>
        <w:tc>
          <w:tcPr>
            <w:tcW w:w="3202"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left="813"/>
              <w:spacing w:before="69" w:line="202" w:lineRule="exact"/>
              <w:rPr>
                <w:rFonts w:ascii="SimSun" w:hAnsi="SimSun" w:eastAsia="SimSun" w:cs="SimSun"/>
                <w:sz w:val="15"/>
                <w:szCs w:val="15"/>
              </w:rPr>
            </w:pPr>
            <w:r>
              <w:rPr>
                <w:rFonts w:ascii="SimSun" w:hAnsi="SimSun" w:eastAsia="SimSun" w:cs="SimSun"/>
                <w:sz w:val="15"/>
                <w:szCs w:val="15"/>
                <w:color w:val="212529"/>
                <w:spacing w:val="3"/>
                <w:position w:val="1"/>
              </w:rPr>
              <w:t>98.7</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98.74</w:t>
            </w:r>
          </w:p>
        </w:tc>
        <w:tc>
          <w:tcPr>
            <w:tcW w:w="1172" w:type="dxa"/>
            <w:vAlign w:val="top"/>
          </w:tcPr>
          <w:p>
            <w:pPr>
              <w:pStyle w:val="TableText"/>
              <w:rPr/>
            </w:pPr>
            <w:r/>
          </w:p>
        </w:tc>
      </w:tr>
      <w:tr>
        <w:trPr>
          <w:trHeight w:val="293" w:hRule="atLeast"/>
        </w:trPr>
        <w:tc>
          <w:tcPr>
            <w:tcW w:w="320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103.05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103.05</w:t>
            </w:r>
          </w:p>
        </w:tc>
        <w:tc>
          <w:tcPr>
            <w:tcW w:w="1172" w:type="dxa"/>
            <w:vAlign w:val="top"/>
          </w:tcPr>
          <w:p>
            <w:pPr>
              <w:pStyle w:val="TableText"/>
              <w:rPr/>
            </w:pPr>
            <w:r/>
          </w:p>
        </w:tc>
      </w:tr>
      <w:tr>
        <w:trPr>
          <w:trHeight w:val="292" w:hRule="atLeast"/>
        </w:trPr>
        <w:tc>
          <w:tcPr>
            <w:tcW w:w="3202"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r>
      <w:tr>
        <w:trPr>
          <w:trHeight w:val="293" w:hRule="atLeast"/>
        </w:trPr>
        <w:tc>
          <w:tcPr>
            <w:tcW w:w="3202"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80.86</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80.86</w:t>
            </w:r>
          </w:p>
        </w:tc>
      </w:tr>
      <w:tr>
        <w:trPr>
          <w:trHeight w:val="293" w:hRule="atLeast"/>
        </w:trPr>
        <w:tc>
          <w:tcPr>
            <w:tcW w:w="3202" w:type="dxa"/>
            <w:vAlign w:val="top"/>
          </w:tcPr>
          <w:p>
            <w:pPr>
              <w:ind w:left="344"/>
              <w:spacing w:before="70"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2" w:hRule="atLeast"/>
        </w:trPr>
        <w:tc>
          <w:tcPr>
            <w:tcW w:w="3202" w:type="dxa"/>
            <w:vAlign w:val="top"/>
          </w:tcPr>
          <w:p>
            <w:pPr>
              <w:ind w:left="332"/>
              <w:spacing w:before="70"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202"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7.08</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7.08</w:t>
            </w:r>
          </w:p>
        </w:tc>
      </w:tr>
      <w:tr>
        <w:trPr>
          <w:trHeight w:val="293" w:hRule="atLeast"/>
        </w:trPr>
        <w:tc>
          <w:tcPr>
            <w:tcW w:w="3202" w:type="dxa"/>
            <w:vAlign w:val="top"/>
          </w:tcPr>
          <w:p>
            <w:pPr>
              <w:ind w:left="331"/>
              <w:spacing w:before="72"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c>
          <w:tcPr>
            <w:tcW w:w="1242" w:type="dxa"/>
            <w:vAlign w:val="top"/>
          </w:tcPr>
          <w:p>
            <w:pPr>
              <w:pStyle w:val="TableText"/>
              <w:rPr/>
            </w:pPr>
            <w:r/>
          </w:p>
        </w:tc>
        <w:tc>
          <w:tcPr>
            <w:tcW w:w="1172"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r>
      <w:tr>
        <w:trPr>
          <w:trHeight w:val="292" w:hRule="atLeast"/>
        </w:trPr>
        <w:tc>
          <w:tcPr>
            <w:tcW w:w="3202"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r>
      <w:tr>
        <w:trPr>
          <w:trHeight w:val="292" w:hRule="atLeast"/>
        </w:trPr>
        <w:tc>
          <w:tcPr>
            <w:tcW w:w="3202" w:type="dxa"/>
            <w:vAlign w:val="top"/>
          </w:tcPr>
          <w:p>
            <w:pPr>
              <w:ind w:left="335"/>
              <w:spacing w:before="72" w:line="229" w:lineRule="auto"/>
              <w:rPr>
                <w:rFonts w:ascii="SimSun" w:hAnsi="SimSun" w:eastAsia="SimSun" w:cs="SimSun"/>
                <w:sz w:val="15"/>
                <w:szCs w:val="15"/>
              </w:rPr>
            </w:pPr>
            <w:r>
              <w:rPr>
                <w:rFonts w:ascii="SimSun" w:hAnsi="SimSun" w:eastAsia="SimSun" w:cs="SimSun"/>
                <w:sz w:val="15"/>
                <w:szCs w:val="15"/>
                <w:color w:val="212529"/>
                <w:spacing w:val="7"/>
              </w:rPr>
              <w:t>劳务费</w:t>
            </w:r>
          </w:p>
        </w:tc>
        <w:tc>
          <w:tcPr>
            <w:tcW w:w="2224" w:type="dxa"/>
            <w:vAlign w:val="top"/>
          </w:tcPr>
          <w:p>
            <w:pPr>
              <w:ind w:left="332"/>
              <w:spacing w:before="72"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202"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13.88</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13.88</w:t>
            </w:r>
          </w:p>
        </w:tc>
      </w:tr>
      <w:tr>
        <w:trPr>
          <w:trHeight w:val="292"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24.30</w:t>
            </w:r>
          </w:p>
        </w:tc>
      </w:tr>
      <w:tr>
        <w:trPr>
          <w:trHeight w:val="292" w:hRule="atLeast"/>
        </w:trPr>
        <w:tc>
          <w:tcPr>
            <w:tcW w:w="3202"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24" w:type="dxa"/>
            <w:vAlign w:val="top"/>
          </w:tcPr>
          <w:p>
            <w:pPr>
              <w:ind w:left="337"/>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3" w:hRule="atLeast"/>
        </w:trPr>
        <w:tc>
          <w:tcPr>
            <w:tcW w:w="320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58.55</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58.55</w:t>
            </w:r>
          </w:p>
        </w:tc>
      </w:tr>
      <w:tr>
        <w:trPr>
          <w:trHeight w:val="292" w:hRule="atLeast"/>
        </w:trPr>
        <w:tc>
          <w:tcPr>
            <w:tcW w:w="320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对个人和家庭的</w:t>
            </w:r>
          </w:p>
        </w:tc>
        <w:tc>
          <w:tcPr>
            <w:tcW w:w="2224" w:type="dxa"/>
            <w:vAlign w:val="top"/>
          </w:tcPr>
          <w:p>
            <w:pPr>
              <w:pStyle w:val="TableText"/>
              <w:rPr/>
            </w:pPr>
            <w:r/>
          </w:p>
        </w:tc>
        <w:tc>
          <w:tcPr>
            <w:tcW w:w="1242"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20.32</w:t>
            </w:r>
          </w:p>
        </w:tc>
        <w:tc>
          <w:tcPr>
            <w:tcW w:w="1242"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20.32</w:t>
            </w:r>
          </w:p>
        </w:tc>
        <w:tc>
          <w:tcPr>
            <w:tcW w:w="1172" w:type="dxa"/>
            <w:vAlign w:val="top"/>
          </w:tcPr>
          <w:p>
            <w:pPr>
              <w:pStyle w:val="TableText"/>
              <w:rPr/>
            </w:pPr>
            <w:r/>
          </w:p>
        </w:tc>
      </w:tr>
      <w:tr>
        <w:trPr>
          <w:trHeight w:val="292" w:hRule="atLeast"/>
        </w:trPr>
        <w:tc>
          <w:tcPr>
            <w:tcW w:w="3202" w:type="dxa"/>
            <w:vAlign w:val="top"/>
          </w:tcPr>
          <w:p>
            <w:pPr>
              <w:ind w:left="331"/>
              <w:spacing w:before="74" w:line="236" w:lineRule="auto"/>
              <w:rPr>
                <w:rFonts w:ascii="SimSun" w:hAnsi="SimSun" w:eastAsia="SimSun" w:cs="SimSun"/>
                <w:sz w:val="15"/>
                <w:szCs w:val="15"/>
              </w:rPr>
            </w:pPr>
            <w:r>
              <w:rPr>
                <w:rFonts w:ascii="SimSun" w:hAnsi="SimSun" w:eastAsia="SimSun" w:cs="SimSun"/>
                <w:sz w:val="15"/>
                <w:szCs w:val="15"/>
                <w:color w:val="212529"/>
                <w:spacing w:val="1"/>
              </w:rPr>
              <w:t>退</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18.34</w:t>
            </w:r>
          </w:p>
        </w:tc>
        <w:tc>
          <w:tcPr>
            <w:tcW w:w="1242"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18.34</w:t>
            </w:r>
          </w:p>
        </w:tc>
        <w:tc>
          <w:tcPr>
            <w:tcW w:w="1172" w:type="dxa"/>
            <w:vAlign w:val="top"/>
          </w:tcPr>
          <w:p>
            <w:pPr>
              <w:pStyle w:val="TableText"/>
              <w:rPr/>
            </w:pPr>
            <w:r/>
          </w:p>
        </w:tc>
      </w:tr>
      <w:tr>
        <w:trPr>
          <w:trHeight w:val="298" w:hRule="atLeast"/>
        </w:trPr>
        <w:tc>
          <w:tcPr>
            <w:tcW w:w="320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其    个人和家庭的补助</w:t>
            </w:r>
          </w:p>
        </w:tc>
        <w:tc>
          <w:tcPr>
            <w:tcW w:w="2224"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1.98</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1.98</w:t>
            </w:r>
          </w:p>
        </w:tc>
        <w:tc>
          <w:tcPr>
            <w:tcW w:w="1172"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40"/>
        <w:gridCol w:w="1523"/>
        <w:gridCol w:w="1436"/>
        <w:gridCol w:w="1361"/>
        <w:gridCol w:w="1398"/>
      </w:tblGrid>
      <w:tr>
        <w:trPr>
          <w:trHeight w:val="384" w:hRule="atLeast"/>
        </w:trPr>
        <w:tc>
          <w:tcPr>
            <w:tcW w:w="34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8" w:type="dxa"/>
            <w:vAlign w:val="top"/>
            <w:tcBorders>
              <w:bottom w:val="single" w:color="FFFFFF" w:sz="4" w:space="0"/>
              <w:top w:val="single" w:color="FFFFFF" w:sz="4" w:space="0"/>
              <w:left w:val="single" w:color="FFFFFF" w:sz="2" w:space="0"/>
              <w:right w:val="single" w:color="FFFFFF" w:sz="2" w:space="0"/>
            </w:tcBorders>
          </w:tcPr>
          <w:p>
            <w:pPr>
              <w:ind w:left="59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99"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398" w:type="dxa"/>
            <w:vAlign w:val="top"/>
            <w:tcBorders>
              <w:top w:val="single" w:color="FFFFFF" w:sz="4" w:space="0"/>
              <w:left w:val="single" w:color="FFFFFF" w:sz="2" w:space="0"/>
              <w:right w:val="single" w:color="FFFFFF" w:sz="2" w:space="0"/>
            </w:tcBorders>
          </w:tcPr>
          <w:p>
            <w:pPr>
              <w:ind w:left="79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440" w:type="dxa"/>
            <w:vAlign w:val="top"/>
            <w:vMerge w:val="restart"/>
            <w:tcBorders>
              <w:bottom w:val="nil"/>
            </w:tcBorders>
          </w:tcPr>
          <w:p>
            <w:pPr>
              <w:pStyle w:val="TableText"/>
              <w:rPr/>
            </w:pPr>
            <w:r/>
          </w:p>
          <w:p>
            <w:pPr>
              <w:ind w:left="1543"/>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718" w:type="dxa"/>
            <w:vAlign w:val="top"/>
            <w:gridSpan w:val="4"/>
          </w:tcPr>
          <w:p>
            <w:pPr>
              <w:ind w:left="236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440" w:type="dxa"/>
            <w:vAlign w:val="top"/>
            <w:vMerge w:val="continue"/>
            <w:tcBorders>
              <w:top w:val="nil"/>
            </w:tcBorders>
          </w:tcPr>
          <w:p>
            <w:pPr>
              <w:pStyle w:val="TableText"/>
              <w:rPr/>
            </w:pPr>
            <w:r/>
          </w:p>
        </w:tc>
        <w:tc>
          <w:tcPr>
            <w:tcW w:w="1523" w:type="dxa"/>
            <w:vAlign w:val="top"/>
          </w:tcPr>
          <w:p>
            <w:pPr>
              <w:ind w:left="585"/>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ind w:left="21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61" w:type="dxa"/>
            <w:vAlign w:val="top"/>
          </w:tcPr>
          <w:p>
            <w:pPr>
              <w:ind w:left="10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98" w:type="dxa"/>
            <w:vAlign w:val="top"/>
          </w:tcPr>
          <w:p>
            <w:pPr>
              <w:ind w:left="5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440" w:type="dxa"/>
            <w:vAlign w:val="top"/>
          </w:tcPr>
          <w:p>
            <w:pPr>
              <w:ind w:left="1072"/>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523" w:type="dxa"/>
            <w:vAlign w:val="top"/>
          </w:tcPr>
          <w:p>
            <w:pPr>
              <w:pStyle w:val="TableText"/>
              <w:rPr/>
            </w:pPr>
            <w:r/>
          </w:p>
        </w:tc>
        <w:tc>
          <w:tcPr>
            <w:tcW w:w="1436" w:type="dxa"/>
            <w:vAlign w:val="top"/>
          </w:tcPr>
          <w:p>
            <w:pPr>
              <w:pStyle w:val="TableText"/>
              <w:rPr/>
            </w:pPr>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1307"/>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523" w:type="dxa"/>
            <w:vAlign w:val="top"/>
          </w:tcPr>
          <w:p>
            <w:pPr>
              <w:pStyle w:val="TableText"/>
              <w:rPr/>
            </w:pPr>
            <w:r/>
          </w:p>
        </w:tc>
        <w:tc>
          <w:tcPr>
            <w:tcW w:w="1436" w:type="dxa"/>
            <w:vAlign w:val="top"/>
          </w:tcPr>
          <w:p>
            <w:pPr>
              <w:pStyle w:val="TableText"/>
              <w:rPr/>
            </w:pPr>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902"/>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523"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36"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1099"/>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523" w:type="dxa"/>
            <w:vAlign w:val="top"/>
          </w:tcPr>
          <w:p>
            <w:pPr>
              <w:pStyle w:val="TableText"/>
              <w:rPr/>
            </w:pPr>
            <w:r/>
          </w:p>
        </w:tc>
        <w:tc>
          <w:tcPr>
            <w:tcW w:w="1436" w:type="dxa"/>
            <w:vAlign w:val="top"/>
          </w:tcPr>
          <w:p>
            <w:pPr>
              <w:pStyle w:val="TableText"/>
              <w:rPr/>
            </w:pPr>
            <w:r/>
          </w:p>
        </w:tc>
        <w:tc>
          <w:tcPr>
            <w:tcW w:w="1361" w:type="dxa"/>
            <w:vAlign w:val="top"/>
          </w:tcPr>
          <w:p>
            <w:pPr>
              <w:pStyle w:val="TableText"/>
              <w:rPr/>
            </w:pPr>
            <w:r/>
          </w:p>
        </w:tc>
        <w:tc>
          <w:tcPr>
            <w:tcW w:w="1398" w:type="dxa"/>
            <w:vAlign w:val="top"/>
          </w:tcPr>
          <w:p>
            <w:pPr>
              <w:pStyle w:val="TableText"/>
              <w:rPr/>
            </w:pPr>
            <w:r/>
          </w:p>
        </w:tc>
      </w:tr>
      <w:tr>
        <w:trPr>
          <w:trHeight w:val="379" w:hRule="atLeast"/>
        </w:trPr>
        <w:tc>
          <w:tcPr>
            <w:tcW w:w="3440" w:type="dxa"/>
            <w:vAlign w:val="top"/>
          </w:tcPr>
          <w:p>
            <w:pPr>
              <w:ind w:left="936"/>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523"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36"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61" w:type="dxa"/>
            <w:vAlign w:val="top"/>
          </w:tcPr>
          <w:p>
            <w:pPr>
              <w:pStyle w:val="TableText"/>
              <w:rPr/>
            </w:pPr>
            <w:r/>
          </w:p>
        </w:tc>
        <w:tc>
          <w:tcPr>
            <w:tcW w:w="1398" w:type="dxa"/>
            <w:vAlign w:val="top"/>
          </w:tcPr>
          <w:p>
            <w:pPr>
              <w:pStyle w:val="TableText"/>
              <w:rPr/>
            </w:pPr>
            <w:r/>
          </w:p>
        </w:tc>
      </w:tr>
      <w:tr>
        <w:trPr>
          <w:trHeight w:val="384" w:hRule="atLeast"/>
        </w:trPr>
        <w:tc>
          <w:tcPr>
            <w:tcW w:w="3440" w:type="dxa"/>
            <w:vAlign w:val="top"/>
          </w:tcPr>
          <w:p>
            <w:pPr>
              <w:ind w:left="1546"/>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23" w:type="dxa"/>
            <w:vAlign w:val="top"/>
          </w:tcPr>
          <w:p>
            <w:pPr>
              <w:ind w:right="2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36"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61" w:type="dxa"/>
            <w:vAlign w:val="top"/>
          </w:tcPr>
          <w:p>
            <w:pPr>
              <w:pStyle w:val="TableText"/>
              <w:rPr/>
            </w:pPr>
            <w:r/>
          </w:p>
        </w:tc>
        <w:tc>
          <w:tcPr>
            <w:tcW w:w="1398" w:type="dxa"/>
            <w:vAlign w:val="top"/>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469"/>
        <w:gridCol w:w="1566"/>
        <w:gridCol w:w="1555"/>
        <w:gridCol w:w="1539"/>
      </w:tblGrid>
      <w:tr>
        <w:trPr>
          <w:trHeight w:val="383" w:hRule="atLeast"/>
        </w:trPr>
        <w:tc>
          <w:tcPr>
            <w:tcW w:w="30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29"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555" w:type="dxa"/>
            <w:vAlign w:val="top"/>
            <w:tcBorders>
              <w:left w:val="single" w:color="FFFFFF" w:sz="2" w:space="0"/>
              <w:right w:val="single" w:color="FFFFFF" w:sz="2" w:space="0"/>
              <w:top w:val="single" w:color="FFFFFF" w:sz="4" w:space="0"/>
            </w:tcBorders>
          </w:tcPr>
          <w:p>
            <w:pPr>
              <w:pStyle w:val="TableText"/>
              <w:rPr/>
            </w:pPr>
            <w:r/>
          </w:p>
        </w:tc>
        <w:tc>
          <w:tcPr>
            <w:tcW w:w="1539" w:type="dxa"/>
            <w:vAlign w:val="top"/>
            <w:tcBorders>
              <w:left w:val="single" w:color="FFFFFF" w:sz="2" w:space="0"/>
              <w:right w:val="single" w:color="FFFFFF" w:sz="2" w:space="0"/>
              <w:top w:val="single" w:color="FFFFFF" w:sz="4" w:space="0"/>
            </w:tcBorders>
          </w:tcPr>
          <w:p>
            <w:pPr>
              <w:ind w:left="931"/>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29" w:type="dxa"/>
            <w:vAlign w:val="top"/>
            <w:vMerge w:val="restart"/>
            <w:tcBorders>
              <w:bottom w:val="nil"/>
            </w:tcBorders>
          </w:tcPr>
          <w:p>
            <w:pPr>
              <w:ind w:left="117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29" w:type="dxa"/>
            <w:vAlign w:val="top"/>
            <w:gridSpan w:val="4"/>
          </w:tcPr>
          <w:p>
            <w:pPr>
              <w:ind w:left="264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29" w:type="dxa"/>
            <w:vAlign w:val="top"/>
            <w:vMerge w:val="continue"/>
            <w:tcBorders>
              <w:top w:val="nil"/>
            </w:tcBorders>
          </w:tcPr>
          <w:p>
            <w:pPr>
              <w:pStyle w:val="TableText"/>
              <w:rPr/>
            </w:pPr>
            <w:r/>
          </w:p>
        </w:tc>
        <w:tc>
          <w:tcPr>
            <w:tcW w:w="1469" w:type="dxa"/>
            <w:vAlign w:val="top"/>
          </w:tcPr>
          <w:p>
            <w:pPr>
              <w:ind w:left="5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55" w:type="dxa"/>
            <w:vAlign w:val="top"/>
          </w:tcPr>
          <w:p>
            <w:pPr>
              <w:ind w:left="201"/>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39" w:type="dxa"/>
            <w:vAlign w:val="top"/>
          </w:tcPr>
          <w:p>
            <w:pPr>
              <w:ind w:left="12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29" w:type="dxa"/>
            <w:vAlign w:val="top"/>
          </w:tcPr>
          <w:p>
            <w:pPr>
              <w:ind w:left="117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c>
          <w:tcPr>
            <w:tcW w:w="1566"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c>
          <w:tcPr>
            <w:tcW w:w="1555" w:type="dxa"/>
            <w:vAlign w:val="top"/>
          </w:tcPr>
          <w:p>
            <w:pPr>
              <w:pStyle w:val="TableText"/>
              <w:rPr/>
            </w:pPr>
            <w:r/>
          </w:p>
        </w:tc>
        <w:tc>
          <w:tcPr>
            <w:tcW w:w="1539" w:type="dxa"/>
            <w:vAlign w:val="top"/>
          </w:tcPr>
          <w:p>
            <w:pPr>
              <w:pStyle w:val="TableText"/>
              <w:rPr/>
            </w:pPr>
            <w:r/>
          </w:p>
        </w:tc>
      </w:tr>
      <w:tr>
        <w:trPr>
          <w:trHeight w:val="383" w:hRule="atLeast"/>
        </w:trPr>
        <w:tc>
          <w:tcPr>
            <w:tcW w:w="3029" w:type="dxa"/>
            <w:vAlign w:val="top"/>
          </w:tcPr>
          <w:p>
            <w:pPr>
              <w:ind w:left="20"/>
              <w:spacing w:before="117" w:line="228" w:lineRule="auto"/>
              <w:rPr>
                <w:rFonts w:ascii="SimSun" w:hAnsi="SimSun" w:eastAsia="SimSun" w:cs="SimSun"/>
                <w:sz w:val="15"/>
                <w:szCs w:val="15"/>
              </w:rPr>
            </w:pPr>
            <w:r>
              <w:rPr>
                <w:rFonts w:ascii="SimSun" w:hAnsi="SimSun" w:eastAsia="SimSun" w:cs="SimSun"/>
                <w:sz w:val="15"/>
                <w:szCs w:val="15"/>
                <w:color w:val="212529"/>
                <w:spacing w:val="10"/>
              </w:rPr>
              <w:t>中国共产党兴县纪律检查委员会</w:t>
            </w:r>
          </w:p>
        </w:tc>
        <w:tc>
          <w:tcPr>
            <w:tcW w:w="146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c>
          <w:tcPr>
            <w:tcW w:w="156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327.30</w:t>
            </w:r>
          </w:p>
        </w:tc>
        <w:tc>
          <w:tcPr>
            <w:tcW w:w="1555" w:type="dxa"/>
            <w:vAlign w:val="top"/>
          </w:tcPr>
          <w:p>
            <w:pPr>
              <w:pStyle w:val="TableText"/>
              <w:rPr/>
            </w:pPr>
            <w:r/>
          </w:p>
        </w:tc>
        <w:tc>
          <w:tcPr>
            <w:tcW w:w="1539"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9" w:hRule="atLeast"/>
        </w:trPr>
        <w:tc>
          <w:tcPr>
            <w:tcW w:w="2802" w:type="dxa"/>
            <w:vAlign w:val="top"/>
          </w:tcPr>
          <w:p>
            <w:pPr>
              <w:ind w:left="1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02" w:type="dxa"/>
            <w:vAlign w:val="top"/>
          </w:tcPr>
          <w:p>
            <w:pPr>
              <w:ind w:left="20"/>
              <w:spacing w:before="114" w:line="228" w:lineRule="auto"/>
              <w:rPr>
                <w:rFonts w:ascii="SimSun" w:hAnsi="SimSun" w:eastAsia="SimSun" w:cs="SimSun"/>
                <w:sz w:val="15"/>
                <w:szCs w:val="15"/>
              </w:rPr>
            </w:pPr>
            <w:r>
              <w:rPr>
                <w:rFonts w:ascii="SimSun" w:hAnsi="SimSun" w:eastAsia="SimSun" w:cs="SimSun"/>
                <w:sz w:val="15"/>
                <w:szCs w:val="15"/>
                <w:color w:val="212529"/>
                <w:spacing w:val="10"/>
              </w:rPr>
              <w:t>中国共产党兴县纪律检查委员会</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612.00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01"/>
              <w:spacing w:before="114" w:line="228" w:lineRule="auto"/>
              <w:rPr>
                <w:rFonts w:ascii="SimSun" w:hAnsi="SimSun" w:eastAsia="SimSun" w:cs="SimSun"/>
                <w:sz w:val="15"/>
                <w:szCs w:val="15"/>
              </w:rPr>
            </w:pPr>
            <w:r>
              <w:rPr>
                <w:rFonts w:ascii="SimSun" w:hAnsi="SimSun" w:eastAsia="SimSun" w:cs="SimSun"/>
                <w:sz w:val="15"/>
                <w:szCs w:val="15"/>
                <w:color w:val="212529"/>
                <w:spacing w:val="10"/>
              </w:rPr>
              <w:t>中国共产党兴县纪律检查委员会</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612.00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4" w:line="229" w:lineRule="auto"/>
              <w:rPr>
                <w:rFonts w:ascii="SimSun" w:hAnsi="SimSun" w:eastAsia="SimSun" w:cs="SimSun"/>
                <w:sz w:val="15"/>
                <w:szCs w:val="15"/>
              </w:rPr>
            </w:pPr>
            <w:r>
              <w:rPr>
                <w:rFonts w:ascii="SimSun" w:hAnsi="SimSun" w:eastAsia="SimSun" w:cs="SimSun"/>
                <w:sz w:val="15"/>
                <w:szCs w:val="15"/>
                <w:color w:val="212529"/>
                <w:spacing w:val="10"/>
              </w:rPr>
              <w:t>办案场所建设费</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8"/>
              </w:rPr>
              <w:t>2025年设备购置</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56"/>
              <w:spacing w:before="114"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166"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251"/>
              <w:spacing w:before="115" w:line="229" w:lineRule="auto"/>
              <w:rPr>
                <w:rFonts w:ascii="SimSun" w:hAnsi="SimSun" w:eastAsia="SimSun" w:cs="SimSun"/>
                <w:sz w:val="15"/>
                <w:szCs w:val="15"/>
              </w:rPr>
            </w:pPr>
            <w:r>
              <w:rPr>
                <w:rFonts w:ascii="SimSun" w:hAnsi="SimSun" w:eastAsia="SimSun" w:cs="SimSun"/>
                <w:sz w:val="15"/>
                <w:szCs w:val="15"/>
                <w:color w:val="212529"/>
                <w:spacing w:val="7"/>
              </w:rPr>
              <w:t>025年丧葬费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7"/>
              </w:rPr>
              <w:t>2025年宣教费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8"/>
              </w:rPr>
              <w:t>2025年大案要案</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7"/>
              </w:rPr>
              <w:t>2025年维修费</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9"/>
              </w:rPr>
              <w:t>2025年分级保护测评费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8"/>
              </w:rPr>
              <w:t>2025年党建经费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2025年档案管理服务费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部门名称：中国共产党兴县纪律检查委员会</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9" w:right="1223" w:firstLine="461"/>
        <w:spacing w:before="187" w:line="323" w:lineRule="auto"/>
        <w:jc w:val="both"/>
        <w:rPr>
          <w:rFonts w:ascii="FangSong" w:hAnsi="FangSong" w:eastAsia="FangSong" w:cs="FangSong"/>
          <w:sz w:val="23"/>
          <w:szCs w:val="23"/>
        </w:rPr>
      </w:pPr>
      <w:r>
        <w:rPr>
          <w:rFonts w:ascii="FangSong" w:hAnsi="FangSong" w:eastAsia="FangSong" w:cs="FangSong"/>
          <w:sz w:val="23"/>
          <w:szCs w:val="23"/>
          <w:spacing w:val="5"/>
        </w:rPr>
        <w:t>2025年度中国共产党兴县纪律检查委员会预算收入总计2,106.87万元，其</w:t>
      </w:r>
      <w:r>
        <w:rPr>
          <w:rFonts w:ascii="FangSong" w:hAnsi="FangSong" w:eastAsia="FangSong" w:cs="FangSong"/>
          <w:sz w:val="23"/>
          <w:szCs w:val="23"/>
          <w:spacing w:val="4"/>
        </w:rPr>
        <w:t>中：本年收入</w:t>
      </w:r>
      <w:r>
        <w:rPr>
          <w:rFonts w:ascii="FangSong" w:hAnsi="FangSong" w:eastAsia="FangSong" w:cs="FangSong"/>
          <w:sz w:val="23"/>
          <w:szCs w:val="23"/>
        </w:rPr>
        <w:t xml:space="preserve"> </w:t>
      </w:r>
      <w:r>
        <w:rPr>
          <w:rFonts w:ascii="FangSong" w:hAnsi="FangSong" w:eastAsia="FangSong" w:cs="FangSong"/>
          <w:sz w:val="23"/>
          <w:szCs w:val="23"/>
          <w:spacing w:val="3"/>
        </w:rPr>
        <w:t>2,106.87万元，上年结转0万元，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比上年增加184.15万元，增长9.58%，主要原因是2024年本</w:t>
      </w:r>
      <w:r>
        <w:rPr>
          <w:rFonts w:ascii="FangSong" w:hAnsi="FangSong" w:eastAsia="FangSong" w:cs="FangSong"/>
          <w:sz w:val="23"/>
          <w:szCs w:val="23"/>
        </w:rPr>
        <w:t xml:space="preserve"> </w:t>
      </w:r>
      <w:r>
        <w:rPr>
          <w:rFonts w:ascii="FangSong" w:hAnsi="FangSong" w:eastAsia="FangSong" w:cs="FangSong"/>
          <w:sz w:val="23"/>
          <w:szCs w:val="23"/>
          <w:spacing w:val="11"/>
        </w:rPr>
        <w:t>单位新招录公务员增加、2024年项目支出中办案经费增加所致。；本年部门</w:t>
      </w:r>
      <w:r>
        <w:rPr>
          <w:rFonts w:ascii="FangSong" w:hAnsi="FangSong" w:eastAsia="FangSong" w:cs="FangSong"/>
          <w:sz w:val="23"/>
          <w:szCs w:val="23"/>
          <w:spacing w:val="10"/>
        </w:rPr>
        <w:t>预算支出总计</w:t>
      </w:r>
      <w:r>
        <w:rPr>
          <w:rFonts w:ascii="FangSong" w:hAnsi="FangSong" w:eastAsia="FangSong" w:cs="FangSong"/>
          <w:sz w:val="23"/>
          <w:szCs w:val="23"/>
        </w:rPr>
        <w:t xml:space="preserve"> </w:t>
      </w:r>
      <w:r>
        <w:rPr>
          <w:rFonts w:ascii="FangSong" w:hAnsi="FangSong" w:eastAsia="FangSong" w:cs="FangSong"/>
          <w:sz w:val="23"/>
          <w:szCs w:val="23"/>
          <w:spacing w:val="6"/>
        </w:rPr>
        <w:t>2,106.87万元，其中：本年预算安排2,1</w:t>
      </w:r>
      <w:r>
        <w:rPr>
          <w:rFonts w:ascii="FangSong" w:hAnsi="FangSong" w:eastAsia="FangSong" w:cs="FangSong"/>
          <w:sz w:val="23"/>
          <w:szCs w:val="23"/>
          <w:spacing w:val="5"/>
        </w:rPr>
        <w:t>06.87万元，上年结转0万元，</w:t>
      </w:r>
      <w:r>
        <w:rPr>
          <w:rFonts w:ascii="FangSong" w:hAnsi="FangSong" w:eastAsia="FangSong" w:cs="FangSong"/>
          <w:sz w:val="23"/>
          <w:szCs w:val="23"/>
          <w:spacing w:val="-63"/>
        </w:rPr>
        <w:t xml:space="preserve"> </w:t>
      </w:r>
      <w:r>
        <w:rPr>
          <w:rFonts w:ascii="FangSong" w:hAnsi="FangSong" w:eastAsia="FangSong" w:cs="FangSong"/>
          <w:sz w:val="23"/>
          <w:szCs w:val="23"/>
          <w:spacing w:val="5"/>
        </w:rPr>
        <w:t>比上年增加184.15万</w:t>
      </w:r>
      <w:r>
        <w:rPr>
          <w:rFonts w:ascii="FangSong" w:hAnsi="FangSong" w:eastAsia="FangSong" w:cs="FangSong"/>
          <w:sz w:val="23"/>
          <w:szCs w:val="23"/>
        </w:rPr>
        <w:t xml:space="preserve"> </w:t>
      </w:r>
      <w:r>
        <w:rPr>
          <w:rFonts w:ascii="FangSong" w:hAnsi="FangSong" w:eastAsia="FangSong" w:cs="FangSong"/>
          <w:sz w:val="23"/>
          <w:szCs w:val="23"/>
          <w:spacing w:val="2"/>
        </w:rPr>
        <w:t>元，增长9.58%，主要原因是2024年本单位新招录公务员增加、2024年项目支出中办案经费增</w:t>
      </w:r>
      <w:r>
        <w:rPr>
          <w:rFonts w:ascii="FangSong" w:hAnsi="FangSong" w:eastAsia="FangSong" w:cs="FangSong"/>
          <w:sz w:val="23"/>
          <w:szCs w:val="23"/>
          <w:spacing w:val="7"/>
        </w:rPr>
        <w:t xml:space="preserve"> </w:t>
      </w:r>
      <w:r>
        <w:rPr>
          <w:rFonts w:ascii="FangSong" w:hAnsi="FangSong" w:eastAsia="FangSong" w:cs="FangSong"/>
          <w:sz w:val="23"/>
          <w:szCs w:val="23"/>
          <w:spacing w:val="-3"/>
        </w:rPr>
        <w:t>加所致。</w:t>
      </w:r>
    </w:p>
    <w:p>
      <w:pPr>
        <w:ind w:left="1261"/>
        <w:spacing w:before="2" w:line="230"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951"/>
        <w:spacing w:before="173" w:line="221" w:lineRule="auto"/>
        <w:rPr>
          <w:rFonts w:ascii="FangSong" w:hAnsi="FangSong" w:eastAsia="FangSong" w:cs="FangSong"/>
          <w:sz w:val="23"/>
          <w:szCs w:val="23"/>
        </w:rPr>
      </w:pPr>
      <w:r>
        <w:rPr>
          <w:rFonts w:ascii="FangSong" w:hAnsi="FangSong" w:eastAsia="FangSong" w:cs="FangSong"/>
          <w:sz w:val="23"/>
          <w:szCs w:val="23"/>
          <w:spacing w:val="5"/>
        </w:rPr>
        <w:t>25年度中国共产党兴县纪律检查委员会预算收入2,106.87万元，主要包括一</w:t>
      </w:r>
      <w:r>
        <w:rPr>
          <w:rFonts w:ascii="FangSong" w:hAnsi="FangSong" w:eastAsia="FangSong" w:cs="FangSong"/>
          <w:sz w:val="23"/>
          <w:szCs w:val="23"/>
          <w:spacing w:val="4"/>
        </w:rPr>
        <w:t xml:space="preserve">    </w:t>
      </w:r>
      <w:r>
        <w:rPr>
          <w:rFonts w:ascii="FangSong" w:hAnsi="FangSong" w:eastAsia="FangSong" w:cs="FangSong"/>
          <w:sz w:val="23"/>
          <w:szCs w:val="23"/>
          <w:spacing w:val="4"/>
        </w:rPr>
        <w:t>共预</w:t>
      </w:r>
    </w:p>
    <w:p>
      <w:pPr>
        <w:ind w:left="1737"/>
        <w:spacing w:before="125" w:line="221" w:lineRule="auto"/>
        <w:rPr>
          <w:rFonts w:ascii="FangSong" w:hAnsi="FangSong" w:eastAsia="FangSong" w:cs="FangSong"/>
          <w:sz w:val="23"/>
          <w:szCs w:val="23"/>
        </w:rPr>
      </w:pPr>
      <w:r>
        <w:rPr>
          <w:rFonts w:ascii="FangSong" w:hAnsi="FangSong" w:eastAsia="FangSong" w:cs="FangSong"/>
          <w:sz w:val="23"/>
          <w:szCs w:val="23"/>
          <w:spacing w:val="2"/>
        </w:rPr>
        <w:t>款收入2,106.87万元，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占100.00%</w:t>
      </w:r>
      <w:r>
        <w:rPr>
          <w:rFonts w:ascii="FangSong" w:hAnsi="FangSong" w:eastAsia="FangSong" w:cs="FangSong"/>
          <w:sz w:val="23"/>
          <w:szCs w:val="23"/>
          <w:spacing w:val="2"/>
        </w:rPr>
        <w:t xml:space="preserve">  </w:t>
      </w:r>
      <w:r>
        <w:rPr>
          <w:rFonts w:ascii="FangSong" w:hAnsi="FangSong" w:eastAsia="FangSong" w:cs="FangSong"/>
          <w:sz w:val="23"/>
          <w:szCs w:val="23"/>
          <w:spacing w:val="1"/>
        </w:rPr>
        <w:t>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w:t>
      </w:r>
      <w:r>
        <w:rPr>
          <w:rFonts w:ascii="FangSong" w:hAnsi="FangSong" w:eastAsia="FangSong" w:cs="FangSong"/>
          <w:sz w:val="23"/>
          <w:szCs w:val="23"/>
          <w:spacing w:val="1"/>
        </w:rPr>
        <w:t xml:space="preserve">      </w:t>
      </w:r>
      <w:r>
        <w:rPr>
          <w:rFonts w:ascii="FangSong" w:hAnsi="FangSong" w:eastAsia="FangSong" w:cs="FangSong"/>
          <w:sz w:val="23"/>
          <w:szCs w:val="23"/>
          <w:spacing w:val="1"/>
        </w:rPr>
        <w:t>有资本经</w:t>
      </w:r>
    </w:p>
    <w:p>
      <w:pPr>
        <w:ind w:left="1270"/>
        <w:spacing w:before="136" w:line="222" w:lineRule="auto"/>
        <w:rPr>
          <w:rFonts w:ascii="FangSong" w:hAnsi="FangSong" w:eastAsia="FangSong" w:cs="FangSong"/>
          <w:sz w:val="23"/>
          <w:szCs w:val="23"/>
        </w:rPr>
      </w:pPr>
      <w:r>
        <w:rPr>
          <w:rFonts w:ascii="FangSong" w:hAnsi="FangSong" w:eastAsia="FangSong" w:cs="FangSong"/>
          <w:sz w:val="23"/>
          <w:szCs w:val="23"/>
          <w:spacing w:val="-2"/>
        </w:rPr>
        <w:t>营预算拨款收入0万元，</w:t>
      </w:r>
      <w:r>
        <w:rPr>
          <w:rFonts w:ascii="FangSong" w:hAnsi="FangSong" w:eastAsia="FangSong" w:cs="FangSong"/>
          <w:sz w:val="23"/>
          <w:szCs w:val="23"/>
          <w:spacing w:val="-43"/>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p>
    <w:p>
      <w:pPr>
        <w:ind w:left="1265"/>
        <w:spacing w:before="123" w:line="219" w:lineRule="auto"/>
        <w:rPr>
          <w:rFonts w:ascii="FangSong" w:hAnsi="FangSong" w:eastAsia="FangSong" w:cs="FangSong"/>
          <w:sz w:val="23"/>
          <w:szCs w:val="23"/>
        </w:rPr>
      </w:pPr>
      <w:r>
        <w:rPr>
          <w:rFonts w:ascii="FangSong" w:hAnsi="FangSong" w:eastAsia="FangSong" w:cs="FangSong"/>
          <w:sz w:val="23"/>
          <w:szCs w:val="23"/>
          <w:spacing w:val="-6"/>
        </w:rPr>
        <w:t>上年结转0万元，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占0%。</w:t>
      </w:r>
    </w:p>
    <w:p>
      <w:pPr>
        <w:pStyle w:val="BodyText"/>
        <w:spacing w:line="440" w:lineRule="auto"/>
        <w:rPr/>
      </w:pPr>
      <w:r/>
    </w:p>
    <w:p>
      <w:pPr>
        <w:ind w:firstLine="3685"/>
        <w:spacing w:before="1" w:line="2934" w:lineRule="exact"/>
        <w:rPr/>
      </w:pPr>
      <w:r>
        <w:rPr>
          <w:position w:val="-58"/>
        </w:rPr>
        <w:drawing>
          <wp:inline distT="0" distB="0" distL="0" distR="0">
            <wp:extent cx="2346419" cy="1863135"/>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2346419" cy="1863135"/>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720"/>
        <w:spacing w:before="185" w:line="221"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1"/>
        </w:rPr>
        <w:t xml:space="preserve">        </w:t>
      </w:r>
      <w:r>
        <w:rPr>
          <w:rFonts w:ascii="FangSong" w:hAnsi="FangSong" w:eastAsia="FangSong" w:cs="FangSong"/>
          <w:sz w:val="23"/>
          <w:szCs w:val="23"/>
          <w:spacing w:val="3"/>
        </w:rPr>
        <w:t>中</w:t>
      </w:r>
      <w:r>
        <w:rPr>
          <w:rFonts w:ascii="FangSong" w:hAnsi="FangSong" w:eastAsia="FangSong" w:cs="FangSong"/>
          <w:sz w:val="23"/>
          <w:szCs w:val="23"/>
          <w:spacing w:val="-48"/>
        </w:rPr>
        <w:t xml:space="preserve"> </w:t>
      </w:r>
      <w:r>
        <w:rPr>
          <w:rFonts w:ascii="FangSong" w:hAnsi="FangSong" w:eastAsia="FangSong" w:cs="FangSong"/>
          <w:sz w:val="23"/>
          <w:szCs w:val="23"/>
          <w:spacing w:val="3"/>
        </w:rPr>
        <w:t>国</w:t>
      </w:r>
      <w:r>
        <w:rPr>
          <w:rFonts w:ascii="FangSong" w:hAnsi="FangSong" w:eastAsia="FangSong" w:cs="FangSong"/>
          <w:sz w:val="23"/>
          <w:szCs w:val="23"/>
          <w:spacing w:val="-69"/>
        </w:rPr>
        <w:t xml:space="preserve"> </w:t>
      </w:r>
      <w:r>
        <w:rPr>
          <w:rFonts w:ascii="FangSong" w:hAnsi="FangSong" w:eastAsia="FangSong" w:cs="FangSong"/>
          <w:sz w:val="23"/>
          <w:szCs w:val="23"/>
          <w:spacing w:val="3"/>
        </w:rPr>
        <w:t>共产党兴县纪律检查</w:t>
      </w:r>
      <w:r>
        <w:rPr>
          <w:rFonts w:ascii="FangSong" w:hAnsi="FangSong" w:eastAsia="FangSong" w:cs="FangSong"/>
          <w:sz w:val="23"/>
          <w:szCs w:val="23"/>
          <w:spacing w:val="-65"/>
        </w:rPr>
        <w:t xml:space="preserve"> </w:t>
      </w:r>
      <w:r>
        <w:rPr>
          <w:rFonts w:ascii="FangSong" w:hAnsi="FangSong" w:eastAsia="FangSong" w:cs="FangSong"/>
          <w:sz w:val="23"/>
          <w:szCs w:val="23"/>
          <w:spacing w:val="3"/>
        </w:rPr>
        <w:t>委</w:t>
      </w:r>
      <w:r>
        <w:rPr>
          <w:rFonts w:ascii="FangSong" w:hAnsi="FangSong" w:eastAsia="FangSong" w:cs="FangSong"/>
          <w:sz w:val="23"/>
          <w:szCs w:val="23"/>
          <w:spacing w:val="-57"/>
        </w:rPr>
        <w:t xml:space="preserve"> </w:t>
      </w:r>
      <w:r>
        <w:rPr>
          <w:rFonts w:ascii="FangSong" w:hAnsi="FangSong" w:eastAsia="FangSong" w:cs="FangSong"/>
          <w:sz w:val="23"/>
          <w:szCs w:val="23"/>
          <w:spacing w:val="3"/>
        </w:rPr>
        <w:t>员</w:t>
      </w:r>
      <w:r>
        <w:rPr>
          <w:rFonts w:ascii="FangSong" w:hAnsi="FangSong" w:eastAsia="FangSong" w:cs="FangSong"/>
          <w:sz w:val="23"/>
          <w:szCs w:val="23"/>
          <w:spacing w:val="-67"/>
        </w:rPr>
        <w:t xml:space="preserve"> </w:t>
      </w:r>
      <w:r>
        <w:rPr>
          <w:rFonts w:ascii="FangSong" w:hAnsi="FangSong" w:eastAsia="FangSong" w:cs="FangSong"/>
          <w:sz w:val="23"/>
          <w:szCs w:val="23"/>
          <w:spacing w:val="3"/>
        </w:rPr>
        <w:t>会支</w:t>
      </w:r>
      <w:r>
        <w:rPr>
          <w:rFonts w:ascii="FangSong" w:hAnsi="FangSong" w:eastAsia="FangSong" w:cs="FangSong"/>
          <w:sz w:val="23"/>
          <w:szCs w:val="23"/>
          <w:spacing w:val="-51"/>
        </w:rPr>
        <w:t xml:space="preserve"> </w:t>
      </w:r>
      <w:r>
        <w:rPr>
          <w:rFonts w:ascii="FangSong" w:hAnsi="FangSong" w:eastAsia="FangSong" w:cs="FangSong"/>
          <w:sz w:val="23"/>
          <w:szCs w:val="23"/>
          <w:spacing w:val="3"/>
        </w:rPr>
        <w:t>出预算2</w:t>
      </w:r>
      <w:r>
        <w:rPr>
          <w:rFonts w:ascii="FangSong" w:hAnsi="FangSong" w:eastAsia="FangSong" w:cs="FangSong"/>
          <w:sz w:val="23"/>
          <w:szCs w:val="23"/>
          <w:spacing w:val="2"/>
        </w:rPr>
        <w:t>106.87万元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，其</w:t>
      </w:r>
      <w:r>
        <w:rPr>
          <w:rFonts w:ascii="FangSong" w:hAnsi="FangSong" w:eastAsia="FangSong" w:cs="FangSong"/>
          <w:sz w:val="23"/>
          <w:szCs w:val="23"/>
          <w:spacing w:val="-45"/>
        </w:rPr>
        <w:t xml:space="preserve"> </w:t>
      </w:r>
      <w:r>
        <w:rPr>
          <w:rFonts w:ascii="FangSong" w:hAnsi="FangSong" w:eastAsia="FangSong" w:cs="FangSong"/>
          <w:sz w:val="23"/>
          <w:szCs w:val="23"/>
          <w:spacing w:val="2"/>
        </w:rPr>
        <w:t>中</w:t>
      </w:r>
      <w:r>
        <w:rPr>
          <w:rFonts w:ascii="FangSong" w:hAnsi="FangSong" w:eastAsia="FangSong" w:cs="FangSong"/>
          <w:sz w:val="23"/>
          <w:szCs w:val="23"/>
          <w:spacing w:val="-57"/>
        </w:rPr>
        <w:t xml:space="preserve"> </w:t>
      </w:r>
      <w:r>
        <w:rPr>
          <w:rFonts w:ascii="FangSong" w:hAnsi="FangSong" w:eastAsia="FangSong" w:cs="FangSong"/>
          <w:sz w:val="23"/>
          <w:szCs w:val="23"/>
          <w:spacing w:val="2"/>
        </w:rPr>
        <w:t>：基</w:t>
      </w:r>
    </w:p>
    <w:p>
      <w:pPr>
        <w:ind w:left="1273"/>
        <w:spacing w:before="125" w:line="223" w:lineRule="auto"/>
        <w:rPr>
          <w:rFonts w:ascii="FangSong" w:hAnsi="FangSong" w:eastAsia="FangSong" w:cs="FangSong"/>
          <w:sz w:val="23"/>
          <w:szCs w:val="23"/>
        </w:rPr>
      </w:pPr>
      <w:r>
        <w:rPr>
          <w:rFonts w:ascii="FangSong" w:hAnsi="FangSong" w:eastAsia="FangSong" w:cs="FangSong"/>
          <w:sz w:val="23"/>
          <w:szCs w:val="23"/>
          <w:spacing w:val="-3"/>
        </w:rPr>
        <w:t>1494.8</w:t>
      </w:r>
      <w:r>
        <w:rPr>
          <w:rFonts w:ascii="FangSong" w:hAnsi="FangSong" w:eastAsia="FangSong" w:cs="FangSong"/>
          <w:sz w:val="23"/>
          <w:szCs w:val="23"/>
          <w:spacing w:val="-3"/>
        </w:rPr>
        <w:t xml:space="preserve"> </w:t>
      </w:r>
      <w:r>
        <w:rPr>
          <w:rFonts w:ascii="FangSong" w:hAnsi="FangSong" w:eastAsia="FangSong" w:cs="FangSong"/>
          <w:sz w:val="23"/>
          <w:szCs w:val="23"/>
          <w:spacing w:val="-3"/>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占70.95%；项目支</w:t>
      </w:r>
      <w:r>
        <w:rPr>
          <w:rFonts w:ascii="FangSong" w:hAnsi="FangSong" w:eastAsia="FangSong" w:cs="FangSong"/>
          <w:sz w:val="23"/>
          <w:szCs w:val="23"/>
          <w:spacing w:val="-4"/>
        </w:rPr>
        <w:t>出612万元，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占29.05%。</w:t>
      </w:r>
    </w:p>
    <w:p>
      <w:pPr>
        <w:ind w:left="1271"/>
        <w:spacing w:before="118"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57" w:right="1222" w:firstLine="463"/>
        <w:spacing w:before="186" w:line="322" w:lineRule="auto"/>
        <w:rPr>
          <w:rFonts w:ascii="FangSong" w:hAnsi="FangSong" w:eastAsia="FangSong" w:cs="FangSong"/>
          <w:sz w:val="23"/>
          <w:szCs w:val="23"/>
        </w:rPr>
      </w:pPr>
      <w:r>
        <w:rPr>
          <w:rFonts w:ascii="FangSong" w:hAnsi="FangSong" w:eastAsia="FangSong" w:cs="FangSong"/>
          <w:sz w:val="23"/>
          <w:szCs w:val="23"/>
          <w:spacing w:val="5"/>
        </w:rPr>
        <w:t>2025年度中国共产党兴县纪律检查委员会财政拨款收支总预算2,106.87万</w:t>
      </w:r>
      <w:r>
        <w:rPr>
          <w:rFonts w:ascii="FangSong" w:hAnsi="FangSong" w:eastAsia="FangSong" w:cs="FangSong"/>
          <w:sz w:val="23"/>
          <w:szCs w:val="23"/>
          <w:spacing w:val="4"/>
        </w:rPr>
        <w:t>元。其中：一</w:t>
      </w:r>
      <w:r>
        <w:rPr>
          <w:rFonts w:ascii="FangSong" w:hAnsi="FangSong" w:eastAsia="FangSong" w:cs="FangSong"/>
          <w:sz w:val="23"/>
          <w:szCs w:val="23"/>
        </w:rPr>
        <w:t xml:space="preserve"> </w:t>
      </w:r>
      <w:r>
        <w:rPr>
          <w:rFonts w:ascii="FangSong" w:hAnsi="FangSong" w:eastAsia="FangSong" w:cs="FangSong"/>
          <w:sz w:val="23"/>
          <w:szCs w:val="23"/>
          <w:spacing w:val="4"/>
        </w:rPr>
        <w:t>般公共预算拨款2,106.87万元，政府性基金预算拨款0万元，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国有资本</w:t>
      </w:r>
      <w:r>
        <w:rPr>
          <w:rFonts w:ascii="FangSong" w:hAnsi="FangSong" w:eastAsia="FangSong" w:cs="FangSong"/>
          <w:sz w:val="23"/>
          <w:szCs w:val="23"/>
          <w:spacing w:val="3"/>
        </w:rPr>
        <w:t>经营预算拨款0万元。</w:t>
      </w:r>
      <w:r>
        <w:rPr>
          <w:rFonts w:ascii="FangSong" w:hAnsi="FangSong" w:eastAsia="FangSong" w:cs="FangSong"/>
          <w:sz w:val="23"/>
          <w:szCs w:val="23"/>
        </w:rPr>
        <w:t xml:space="preserve"> </w:t>
      </w:r>
      <w:r>
        <w:rPr>
          <w:rFonts w:ascii="FangSong" w:hAnsi="FangSong" w:eastAsia="FangSong" w:cs="FangSong"/>
          <w:sz w:val="23"/>
          <w:szCs w:val="23"/>
          <w:spacing w:val="8"/>
        </w:rPr>
        <w:t>其中：</w:t>
      </w:r>
      <w:r>
        <w:rPr>
          <w:rFonts w:ascii="FangSong" w:hAnsi="FangSong" w:eastAsia="FangSong" w:cs="FangSong"/>
          <w:sz w:val="23"/>
          <w:szCs w:val="23"/>
          <w:spacing w:val="-43"/>
        </w:rPr>
        <w:t xml:space="preserve"> </w:t>
      </w:r>
      <w:r>
        <w:rPr>
          <w:rFonts w:ascii="FangSong" w:hAnsi="FangSong" w:eastAsia="FangSong" w:cs="FangSong"/>
          <w:sz w:val="23"/>
          <w:szCs w:val="23"/>
          <w:spacing w:val="8"/>
        </w:rPr>
        <w:t>当年拨款收入2,106.87万元</w:t>
      </w:r>
      <w:r>
        <w:rPr>
          <w:rFonts w:ascii="FangSong" w:hAnsi="FangSong" w:eastAsia="FangSong" w:cs="FangSong"/>
          <w:sz w:val="23"/>
          <w:szCs w:val="23"/>
          <w:spacing w:val="-68"/>
        </w:rPr>
        <w:t xml:space="preserve"> </w:t>
      </w:r>
      <w:r>
        <w:rPr>
          <w:rFonts w:ascii="FangSong" w:hAnsi="FangSong" w:eastAsia="FangSong" w:cs="FangSong"/>
          <w:sz w:val="23"/>
          <w:szCs w:val="23"/>
          <w:spacing w:val="8"/>
        </w:rPr>
        <w:t>，上年结转收入0万元</w:t>
      </w:r>
      <w:r>
        <w:rPr>
          <w:rFonts w:ascii="FangSong" w:hAnsi="FangSong" w:eastAsia="FangSong" w:cs="FangSong"/>
          <w:sz w:val="23"/>
          <w:szCs w:val="23"/>
          <w:spacing w:val="-67"/>
        </w:rPr>
        <w:t xml:space="preserve"> </w:t>
      </w:r>
      <w:r>
        <w:rPr>
          <w:rFonts w:ascii="FangSong" w:hAnsi="FangSong" w:eastAsia="FangSong" w:cs="FangSong"/>
          <w:sz w:val="23"/>
          <w:szCs w:val="23"/>
          <w:spacing w:val="8"/>
        </w:rPr>
        <w:t>。支出包括：</w:t>
      </w:r>
      <w:r>
        <w:rPr>
          <w:rFonts w:ascii="FangSong" w:hAnsi="FangSong" w:eastAsia="FangSong" w:cs="FangSong"/>
          <w:sz w:val="23"/>
          <w:szCs w:val="23"/>
          <w:spacing w:val="-64"/>
        </w:rPr>
        <w:t xml:space="preserve"> </w:t>
      </w:r>
      <w:r>
        <w:rPr>
          <w:rFonts w:ascii="FangSong" w:hAnsi="FangSong" w:eastAsia="FangSong" w:cs="FangSong"/>
          <w:sz w:val="23"/>
          <w:szCs w:val="23"/>
          <w:spacing w:val="8"/>
        </w:rPr>
        <w:t>一般公共服务支出</w:t>
      </w:r>
      <w:r>
        <w:rPr>
          <w:rFonts w:ascii="FangSong" w:hAnsi="FangSong" w:eastAsia="FangSong" w:cs="FangSong"/>
          <w:sz w:val="23"/>
          <w:szCs w:val="23"/>
        </w:rPr>
        <w:t xml:space="preserve"> </w:t>
      </w:r>
      <w:r>
        <w:rPr>
          <w:rFonts w:ascii="FangSong" w:hAnsi="FangSong" w:eastAsia="FangSong" w:cs="FangSong"/>
          <w:sz w:val="23"/>
          <w:szCs w:val="23"/>
          <w:spacing w:val="7"/>
        </w:rPr>
        <w:t>1,816.76万元、社会保障和就业支出129.41万元、卫生健康支出61.9</w:t>
      </w:r>
      <w:r>
        <w:rPr>
          <w:rFonts w:ascii="FangSong" w:hAnsi="FangSong" w:eastAsia="FangSong" w:cs="FangSong"/>
          <w:sz w:val="23"/>
          <w:szCs w:val="23"/>
          <w:spacing w:val="6"/>
        </w:rPr>
        <w:t>6万元、住房保障支出</w:t>
      </w:r>
      <w:r>
        <w:rPr>
          <w:rFonts w:ascii="FangSong" w:hAnsi="FangSong" w:eastAsia="FangSong" w:cs="FangSong"/>
          <w:sz w:val="23"/>
          <w:szCs w:val="23"/>
        </w:rPr>
        <w:t xml:space="preserve"> </w:t>
      </w:r>
      <w:r>
        <w:rPr>
          <w:rFonts w:ascii="FangSong" w:hAnsi="FangSong" w:eastAsia="FangSong" w:cs="FangSong"/>
          <w:sz w:val="23"/>
          <w:szCs w:val="23"/>
          <w:spacing w:val="-1"/>
        </w:rPr>
        <w:t>98.74万元等。</w:t>
      </w:r>
    </w:p>
    <w:p>
      <w:pPr>
        <w:ind w:left="12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603" w:right="1223" w:firstLine="589"/>
        <w:spacing w:before="124" w:line="322" w:lineRule="auto"/>
        <w:rPr>
          <w:rFonts w:ascii="FangSong" w:hAnsi="FangSong" w:eastAsia="FangSong" w:cs="FangSong"/>
          <w:sz w:val="23"/>
          <w:szCs w:val="23"/>
        </w:rPr>
      </w:pPr>
      <w:r>
        <w:rPr>
          <w:rFonts w:ascii="FangSong" w:hAnsi="FangSong" w:eastAsia="FangSong" w:cs="FangSong"/>
          <w:sz w:val="23"/>
          <w:szCs w:val="23"/>
          <w:spacing w:val="2"/>
        </w:rPr>
        <w:t>年度中国共产党兴县纪律检查委员会一般公共预算当年支出2,106.87万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1"/>
        </w:rPr>
        <w:t>年增</w:t>
      </w:r>
      <w:r>
        <w:rPr>
          <w:rFonts w:ascii="FangSong" w:hAnsi="FangSong" w:eastAsia="FangSong" w:cs="FangSong"/>
          <w:sz w:val="23"/>
          <w:szCs w:val="23"/>
        </w:rPr>
        <w:t xml:space="preserve"> </w:t>
      </w:r>
      <w:r>
        <w:rPr>
          <w:rFonts w:ascii="FangSong" w:hAnsi="FangSong" w:eastAsia="FangSong" w:cs="FangSong"/>
          <w:sz w:val="23"/>
          <w:szCs w:val="23"/>
          <w:spacing w:val="-1"/>
        </w:rPr>
        <w:t>84.15万元，增长9.58%。</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7"/>
          <w:footerReference w:type="default" r:id="rId38"/>
          <w:pgSz w:w="11900" w:h="16840"/>
          <w:pgMar w:top="642" w:right="0" w:bottom="340" w:left="0" w:header="326" w:footer="9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0"/>
        <w:spacing w:before="75" w:line="221"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3"/>
        </w:rPr>
        <w:t xml:space="preserve">         </w:t>
      </w:r>
      <w:r>
        <w:rPr>
          <w:rFonts w:ascii="FangSong" w:hAnsi="FangSong" w:eastAsia="FangSong" w:cs="FangSong"/>
          <w:sz w:val="23"/>
          <w:szCs w:val="23"/>
          <w:spacing w:val="3"/>
        </w:rPr>
        <w:t>国共产党兴县纪律检查委员会一般公共预算当年</w:t>
      </w:r>
      <w:r>
        <w:rPr>
          <w:rFonts w:ascii="FangSong" w:hAnsi="FangSong" w:eastAsia="FangSong" w:cs="FangSong"/>
          <w:sz w:val="23"/>
          <w:szCs w:val="23"/>
          <w:spacing w:val="2"/>
        </w:rPr>
        <w:t>支出2,106.87万元,</w:t>
      </w:r>
    </w:p>
    <w:p>
      <w:pPr>
        <w:ind w:left="1303" w:right="1271" w:hanging="16"/>
        <w:spacing w:before="125" w:line="330" w:lineRule="auto"/>
        <w:rPr>
          <w:rFonts w:ascii="FangSong" w:hAnsi="FangSong" w:eastAsia="FangSong" w:cs="FangSong"/>
          <w:sz w:val="23"/>
          <w:szCs w:val="23"/>
        </w:rPr>
      </w:pPr>
      <w:r>
        <w:rPr>
          <w:rFonts w:ascii="FangSong" w:hAnsi="FangSong" w:eastAsia="FangSong" w:cs="FangSong"/>
          <w:sz w:val="23"/>
          <w:szCs w:val="23"/>
          <w:spacing w:val="2"/>
        </w:rPr>
        <w:t>以下方面：一般公共服务支出1,816.76万元，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占86.</w:t>
      </w:r>
      <w:r>
        <w:rPr>
          <w:rFonts w:ascii="FangSong" w:hAnsi="FangSong" w:eastAsia="FangSong" w:cs="FangSong"/>
          <w:sz w:val="23"/>
          <w:szCs w:val="23"/>
          <w:spacing w:val="1"/>
        </w:rPr>
        <w:t>23%；社会保障和就业支出129.4</w:t>
      </w:r>
      <w:r>
        <w:rPr>
          <w:rFonts w:ascii="FangSong" w:hAnsi="FangSong" w:eastAsia="FangSong" w:cs="FangSong"/>
          <w:sz w:val="23"/>
          <w:szCs w:val="23"/>
          <w:spacing w:val="1"/>
        </w:rPr>
        <w:t xml:space="preserve"> </w:t>
      </w:r>
      <w:r>
        <w:rPr>
          <w:rFonts w:ascii="FangSong" w:hAnsi="FangSong" w:eastAsia="FangSong" w:cs="FangSong"/>
          <w:sz w:val="23"/>
          <w:szCs w:val="23"/>
          <w:spacing w:val="1"/>
        </w:rPr>
        <w:t>万元，</w:t>
      </w:r>
      <w:r>
        <w:rPr>
          <w:rFonts w:ascii="FangSong" w:hAnsi="FangSong" w:eastAsia="FangSong" w:cs="FangSong"/>
          <w:sz w:val="23"/>
          <w:szCs w:val="23"/>
        </w:rPr>
        <w:t xml:space="preserve"> </w:t>
      </w:r>
      <w:r>
        <w:rPr>
          <w:rFonts w:ascii="FangSong" w:hAnsi="FangSong" w:eastAsia="FangSong" w:cs="FangSong"/>
          <w:sz w:val="23"/>
          <w:szCs w:val="23"/>
          <w:spacing w:val="-3"/>
        </w:rPr>
        <w:t>占6.14%；卫生健康支出61.96万元，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占2.94%；住房保障支出98.74万元，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占4.69%等。</w:t>
      </w:r>
    </w:p>
    <w:p>
      <w:pPr>
        <w:ind w:firstLine="3825"/>
        <w:spacing w:before="84" w:line="2448" w:lineRule="exact"/>
        <w:rPr/>
      </w:pPr>
      <w:r>
        <w:rPr>
          <w:position w:val="-48"/>
        </w:rPr>
        <w:drawing>
          <wp:inline distT="0" distB="0" distL="0" distR="0">
            <wp:extent cx="2473252" cy="1554168"/>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2473252" cy="1554168"/>
                    </a:xfrm>
                    <a:prstGeom prst="rect">
                      <a:avLst/>
                    </a:prstGeom>
                  </pic:spPr>
                </pic:pic>
              </a:graphicData>
            </a:graphic>
          </wp:inline>
        </w:drawing>
      </w:r>
    </w:p>
    <w:p>
      <w:pPr>
        <w:pStyle w:val="BodyText"/>
        <w:spacing w:line="298" w:lineRule="auto"/>
        <w:rPr/>
      </w:pPr>
      <w:r/>
    </w:p>
    <w:p>
      <w:pPr>
        <w:pStyle w:val="BodyText"/>
        <w:spacing w:line="29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720"/>
        <w:spacing w:before="173" w:line="221" w:lineRule="auto"/>
        <w:rPr>
          <w:rFonts w:ascii="FangSong" w:hAnsi="FangSong" w:eastAsia="FangSong" w:cs="FangSong"/>
          <w:sz w:val="23"/>
          <w:szCs w:val="23"/>
        </w:rPr>
      </w:pPr>
      <w:r>
        <w:rPr>
          <w:rFonts w:ascii="FangSong" w:hAnsi="FangSong" w:eastAsia="FangSong" w:cs="FangSong"/>
          <w:sz w:val="23"/>
          <w:szCs w:val="23"/>
          <w:spacing w:val="5"/>
        </w:rPr>
        <w:t>2025年度中国共产党兴县纪律检查委员会一般公共预算安排基</w:t>
      </w:r>
      <w:r>
        <w:rPr>
          <w:rFonts w:ascii="FangSong" w:hAnsi="FangSong" w:eastAsia="FangSong" w:cs="FangSong"/>
          <w:sz w:val="23"/>
          <w:szCs w:val="23"/>
          <w:spacing w:val="5"/>
        </w:rPr>
        <w:t xml:space="preserve">       </w:t>
      </w:r>
      <w:r>
        <w:rPr>
          <w:rFonts w:ascii="FangSong" w:hAnsi="FangSong" w:eastAsia="FangSong" w:cs="FangSong"/>
          <w:sz w:val="23"/>
          <w:szCs w:val="23"/>
          <w:spacing w:val="5"/>
        </w:rPr>
        <w:t>,</w:t>
      </w:r>
      <w:r>
        <w:rPr>
          <w:rFonts w:ascii="FangSong" w:hAnsi="FangSong" w:eastAsia="FangSong" w:cs="FangSong"/>
          <w:sz w:val="23"/>
          <w:szCs w:val="23"/>
          <w:spacing w:val="5"/>
        </w:rPr>
        <w:t xml:space="preserve"> </w:t>
      </w:r>
      <w:r>
        <w:rPr>
          <w:rFonts w:ascii="FangSong" w:hAnsi="FangSong" w:eastAsia="FangSong" w:cs="FangSong"/>
          <w:sz w:val="23"/>
          <w:szCs w:val="23"/>
          <w:spacing w:val="5"/>
        </w:rPr>
        <w:t>94.87</w:t>
      </w:r>
      <w:r>
        <w:rPr>
          <w:rFonts w:ascii="FangSong" w:hAnsi="FangSong" w:eastAsia="FangSong" w:cs="FangSong"/>
          <w:sz w:val="23"/>
          <w:szCs w:val="23"/>
          <w:spacing w:val="4"/>
        </w:rPr>
        <w:t>万元，其</w:t>
      </w:r>
    </w:p>
    <w:p>
      <w:pPr>
        <w:ind w:left="1293"/>
        <w:spacing w:before="136" w:line="223" w:lineRule="auto"/>
        <w:rPr>
          <w:rFonts w:ascii="FangSong" w:hAnsi="FangSong" w:eastAsia="FangSong" w:cs="FangSong"/>
          <w:sz w:val="23"/>
          <w:szCs w:val="23"/>
        </w:rPr>
      </w:pPr>
      <w:r>
        <w:rPr>
          <w:rFonts w:ascii="FangSong" w:hAnsi="FangSong" w:eastAsia="FangSong" w:cs="FangSong"/>
          <w:sz w:val="23"/>
          <w:szCs w:val="23"/>
          <w:spacing w:val="-23"/>
        </w:rPr>
        <w:t>中：</w:t>
      </w:r>
    </w:p>
    <w:p>
      <w:pPr>
        <w:ind w:left="1264" w:right="1223" w:firstLine="463"/>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人员经费1,167.57万元，主要包括：其他对个人和家庭的补助、其他工资福利</w:t>
      </w:r>
      <w:r>
        <w:rPr>
          <w:rFonts w:ascii="FangSong" w:hAnsi="FangSong" w:eastAsia="FangSong" w:cs="FangSong"/>
          <w:sz w:val="23"/>
          <w:szCs w:val="23"/>
          <w:spacing w:val="4"/>
        </w:rPr>
        <w:t>支出、公</w:t>
      </w:r>
      <w:r>
        <w:rPr>
          <w:rFonts w:ascii="FangSong" w:hAnsi="FangSong" w:eastAsia="FangSong" w:cs="FangSong"/>
          <w:sz w:val="23"/>
          <w:szCs w:val="23"/>
        </w:rPr>
        <w:t xml:space="preserve"> </w:t>
      </w:r>
      <w:r>
        <w:rPr>
          <w:rFonts w:ascii="FangSong" w:hAnsi="FangSong" w:eastAsia="FangSong" w:cs="FangSong"/>
          <w:sz w:val="23"/>
          <w:szCs w:val="23"/>
          <w:spacing w:val="5"/>
        </w:rPr>
        <w:t>务员医疗补助缴费、其他社会保障缴费、绩效工资、基本工资、机关事业单位基本养老保险</w:t>
      </w:r>
      <w:r>
        <w:rPr>
          <w:rFonts w:ascii="FangSong" w:hAnsi="FangSong" w:eastAsia="FangSong" w:cs="FangSong"/>
          <w:sz w:val="23"/>
          <w:szCs w:val="23"/>
          <w:spacing w:val="10"/>
        </w:rPr>
        <w:t xml:space="preserve"> </w:t>
      </w:r>
      <w:r>
        <w:rPr>
          <w:rFonts w:ascii="FangSong" w:hAnsi="FangSong" w:eastAsia="FangSong" w:cs="FangSong"/>
          <w:sz w:val="23"/>
          <w:szCs w:val="23"/>
        </w:rPr>
        <w:t>缴费、奖金、住房公积金、退休费、职工基本医疗保险缴费、津贴补贴等；</w:t>
      </w:r>
    </w:p>
    <w:p>
      <w:pPr>
        <w:ind w:left="1271" w:right="1222" w:firstLine="458"/>
        <w:spacing w:before="2" w:line="321" w:lineRule="auto"/>
        <w:rPr>
          <w:rFonts w:ascii="FangSong" w:hAnsi="FangSong" w:eastAsia="FangSong" w:cs="FangSong"/>
          <w:sz w:val="23"/>
          <w:szCs w:val="23"/>
        </w:rPr>
      </w:pPr>
      <w:r>
        <w:rPr>
          <w:rFonts w:ascii="FangSong" w:hAnsi="FangSong" w:eastAsia="FangSong" w:cs="FangSong"/>
          <w:sz w:val="23"/>
          <w:szCs w:val="23"/>
          <w:spacing w:val="9"/>
        </w:rPr>
        <w:t>公用经费327.30万元，主要包括：</w:t>
      </w:r>
      <w:r>
        <w:rPr>
          <w:rFonts w:ascii="FangSong" w:hAnsi="FangSong" w:eastAsia="FangSong" w:cs="FangSong"/>
          <w:sz w:val="23"/>
          <w:szCs w:val="23"/>
          <w:spacing w:val="-39"/>
        </w:rPr>
        <w:t xml:space="preserve"> </w:t>
      </w:r>
      <w:r>
        <w:rPr>
          <w:rFonts w:ascii="FangSong" w:hAnsi="FangSong" w:eastAsia="FangSong" w:cs="FangSong"/>
          <w:sz w:val="23"/>
          <w:szCs w:val="23"/>
          <w:spacing w:val="9"/>
        </w:rPr>
        <w:t>印刷费、办公费、公务用车运行维护费、物业管理</w:t>
      </w:r>
      <w:r>
        <w:rPr>
          <w:rFonts w:ascii="FangSong" w:hAnsi="FangSong" w:eastAsia="FangSong" w:cs="FangSong"/>
          <w:sz w:val="23"/>
          <w:szCs w:val="23"/>
        </w:rPr>
        <w:t xml:space="preserve"> </w:t>
      </w:r>
      <w:r>
        <w:rPr>
          <w:rFonts w:ascii="FangSong" w:hAnsi="FangSong" w:eastAsia="FangSong" w:cs="FangSong"/>
          <w:sz w:val="23"/>
          <w:szCs w:val="23"/>
        </w:rPr>
        <w:t>费、福利费、其他交通费用、差旅费、工会经费、取暖费、劳务费</w:t>
      </w:r>
      <w:r>
        <w:rPr>
          <w:rFonts w:ascii="FangSong" w:hAnsi="FangSong" w:eastAsia="FangSong" w:cs="FangSong"/>
          <w:sz w:val="23"/>
          <w:szCs w:val="23"/>
          <w:spacing w:val="-1"/>
        </w:rPr>
        <w:t>、水费等。</w:t>
      </w:r>
    </w:p>
    <w:p>
      <w:pPr>
        <w:ind w:left="1255"/>
        <w:spacing w:before="6"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59" w:right="1223" w:firstLine="461"/>
        <w:spacing w:before="173" w:line="324" w:lineRule="auto"/>
        <w:jc w:val="both"/>
        <w:rPr>
          <w:rFonts w:ascii="FangSong" w:hAnsi="FangSong" w:eastAsia="FangSong" w:cs="FangSong"/>
          <w:sz w:val="23"/>
          <w:szCs w:val="23"/>
        </w:rPr>
      </w:pPr>
      <w:r>
        <w:rPr>
          <w:rFonts w:ascii="FangSong" w:hAnsi="FangSong" w:eastAsia="FangSong" w:cs="FangSong"/>
          <w:sz w:val="23"/>
          <w:szCs w:val="23"/>
          <w:spacing w:val="6"/>
        </w:rPr>
        <w:t>2025年中国共产党兴县纪律检查委员会财政拨款安排的“</w:t>
      </w:r>
      <w:r>
        <w:rPr>
          <w:rFonts w:ascii="FangSong" w:hAnsi="FangSong" w:eastAsia="FangSong" w:cs="FangSong"/>
          <w:sz w:val="23"/>
          <w:szCs w:val="23"/>
          <w:spacing w:val="-78"/>
        </w:rPr>
        <w:t xml:space="preserve"> </w:t>
      </w:r>
      <w:r>
        <w:rPr>
          <w:rFonts w:ascii="FangSong" w:hAnsi="FangSong" w:eastAsia="FangSong" w:cs="FangSong"/>
          <w:sz w:val="23"/>
          <w:szCs w:val="23"/>
          <w:spacing w:val="6"/>
        </w:rPr>
        <w:t>三公</w:t>
      </w:r>
      <w:r>
        <w:rPr>
          <w:rFonts w:ascii="FangSong" w:hAnsi="FangSong" w:eastAsia="FangSong" w:cs="FangSong"/>
          <w:sz w:val="23"/>
          <w:szCs w:val="23"/>
          <w:spacing w:val="-75"/>
        </w:rPr>
        <w:t xml:space="preserve"> </w:t>
      </w:r>
      <w:r>
        <w:rPr>
          <w:rFonts w:ascii="FangSong" w:hAnsi="FangSong" w:eastAsia="FangSong" w:cs="FangSong"/>
          <w:sz w:val="23"/>
          <w:szCs w:val="23"/>
          <w:spacing w:val="6"/>
        </w:rPr>
        <w:t>”经费预算20.00万元与</w:t>
      </w:r>
      <w:r>
        <w:rPr>
          <w:rFonts w:ascii="FangSong" w:hAnsi="FangSong" w:eastAsia="FangSong" w:cs="FangSong"/>
          <w:sz w:val="23"/>
          <w:szCs w:val="23"/>
        </w:rPr>
        <w:t xml:space="preserve"> </w:t>
      </w:r>
      <w:r>
        <w:rPr>
          <w:rFonts w:ascii="FangSong" w:hAnsi="FangSong" w:eastAsia="FangSong" w:cs="FangSong"/>
          <w:sz w:val="23"/>
          <w:szCs w:val="23"/>
          <w:spacing w:val="8"/>
        </w:rPr>
        <w:t>2024年预算数相同。其中：</w:t>
      </w:r>
      <w:r>
        <w:rPr>
          <w:rFonts w:ascii="FangSong" w:hAnsi="FangSong" w:eastAsia="FangSong" w:cs="FangSong"/>
          <w:sz w:val="23"/>
          <w:szCs w:val="23"/>
          <w:spacing w:val="-52"/>
        </w:rPr>
        <w:t xml:space="preserve"> </w:t>
      </w:r>
      <w:r>
        <w:rPr>
          <w:rFonts w:ascii="FangSong" w:hAnsi="FangSong" w:eastAsia="FangSong" w:cs="FangSong"/>
          <w:sz w:val="23"/>
          <w:szCs w:val="23"/>
          <w:spacing w:val="8"/>
        </w:rPr>
        <w:t>因公出国（境）</w:t>
      </w:r>
      <w:r>
        <w:rPr>
          <w:rFonts w:ascii="FangSong" w:hAnsi="FangSong" w:eastAsia="FangSong" w:cs="FangSong"/>
          <w:sz w:val="23"/>
          <w:szCs w:val="23"/>
          <w:spacing w:val="-68"/>
        </w:rPr>
        <w:t xml:space="preserve"> </w:t>
      </w:r>
      <w:r>
        <w:rPr>
          <w:rFonts w:ascii="FangSong" w:hAnsi="FangSong" w:eastAsia="FangSong" w:cs="FangSong"/>
          <w:sz w:val="23"/>
          <w:szCs w:val="23"/>
          <w:spacing w:val="8"/>
        </w:rPr>
        <w:t>费0万元，与上年预算数相同；公务接待费0万</w:t>
      </w:r>
      <w:r>
        <w:rPr>
          <w:rFonts w:ascii="FangSong" w:hAnsi="FangSong" w:eastAsia="FangSong" w:cs="FangSong"/>
          <w:sz w:val="23"/>
          <w:szCs w:val="23"/>
        </w:rPr>
        <w:t xml:space="preserve"> </w:t>
      </w:r>
      <w:r>
        <w:rPr>
          <w:rFonts w:ascii="FangSong" w:hAnsi="FangSong" w:eastAsia="FangSong" w:cs="FangSong"/>
          <w:sz w:val="23"/>
          <w:szCs w:val="23"/>
          <w:spacing w:val="2"/>
        </w:rPr>
        <w:t>元，与上年预算数相同</w:t>
      </w:r>
      <w:r>
        <w:rPr>
          <w:rFonts w:ascii="FangSong" w:hAnsi="FangSong" w:eastAsia="FangSong" w:cs="FangSong"/>
          <w:sz w:val="23"/>
          <w:szCs w:val="23"/>
          <w:spacing w:val="2"/>
        </w:rPr>
        <w:t xml:space="preserve">    </w:t>
      </w:r>
      <w:r>
        <w:rPr>
          <w:rFonts w:ascii="FangSong" w:hAnsi="FangSong" w:eastAsia="FangSong" w:cs="FangSong"/>
          <w:sz w:val="23"/>
          <w:szCs w:val="23"/>
          <w:spacing w:val="2"/>
        </w:rPr>
        <w:t>务用车购置及运行费20.00万元，与上年预算数相同。公务用车运</w:t>
      </w:r>
      <w:r>
        <w:rPr>
          <w:rFonts w:ascii="FangSong" w:hAnsi="FangSong" w:eastAsia="FangSong" w:cs="FangSong"/>
          <w:sz w:val="23"/>
          <w:szCs w:val="23"/>
          <w:spacing w:val="11"/>
        </w:rPr>
        <w:t xml:space="preserve"> </w:t>
      </w:r>
      <w:r>
        <w:rPr>
          <w:rFonts w:ascii="FangSong" w:hAnsi="FangSong" w:eastAsia="FangSong" w:cs="FangSong"/>
          <w:sz w:val="23"/>
          <w:szCs w:val="23"/>
        </w:rPr>
        <w:t>行维护费20.00</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上年预算数相同；公务用车购置费0万元，与上年预算数相同。</w:t>
      </w:r>
    </w:p>
    <w:p>
      <w:pPr>
        <w:ind w:firstLine="2367"/>
        <w:spacing w:before="212" w:line="2639" w:lineRule="exact"/>
        <w:rPr/>
      </w:pPr>
      <w:r>
        <w:rPr>
          <w:position w:val="-52"/>
        </w:rPr>
        <w:drawing>
          <wp:inline distT="0" distB="0" distL="0" distR="0">
            <wp:extent cx="4439171" cy="1675778"/>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439171" cy="1675778"/>
                    </a:xfrm>
                    <a:prstGeom prst="rect">
                      <a:avLst/>
                    </a:prstGeom>
                  </pic:spPr>
                </pic:pic>
              </a:graphicData>
            </a:graphic>
          </wp:inline>
        </w:drawing>
      </w:r>
    </w:p>
    <w:p>
      <w:pPr>
        <w:pStyle w:val="BodyText"/>
        <w:spacing w:line="413" w:lineRule="auto"/>
        <w:rPr/>
      </w:pPr>
      <w:r/>
    </w:p>
    <w:p>
      <w:pPr>
        <w:ind w:left="1253"/>
        <w:spacing w:before="99" w:line="231"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本部门2025年机关运行经费财政拨款预算327.3万元，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比2024年预算</w:t>
      </w:r>
      <w:r>
        <w:rPr>
          <w:rFonts w:ascii="FangSong" w:hAnsi="FangSong" w:eastAsia="FangSong" w:cs="FangSong"/>
          <w:sz w:val="23"/>
          <w:szCs w:val="23"/>
          <w:spacing w:val="3"/>
        </w:rPr>
        <w:t>减少55.55万元，减</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，原因是：2024年下半年调出8名事业人员，10名公务员，退休2名公务</w:t>
      </w:r>
      <w:r>
        <w:rPr>
          <w:rFonts w:ascii="FangSong" w:hAnsi="FangSong" w:eastAsia="FangSong" w:cs="FangSong"/>
          <w:sz w:val="23"/>
          <w:szCs w:val="23"/>
        </w:rPr>
        <w:t xml:space="preserve">  </w:t>
      </w:r>
      <w:r>
        <w:rPr>
          <w:rFonts w:ascii="FangSong" w:hAnsi="FangSong" w:eastAsia="FangSong" w:cs="FangSong"/>
          <w:sz w:val="23"/>
          <w:szCs w:val="23"/>
        </w:rPr>
        <w:t>。</w:t>
      </w:r>
    </w:p>
    <w:p>
      <w:pPr>
        <w:ind w:left="1258"/>
        <w:spacing w:before="123"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spacing w:line="225" w:lineRule="exact"/>
        <w:sectPr>
          <w:headerReference w:type="default" r:id="rId40"/>
          <w:footerReference w:type="default" r:id="rId41"/>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82" w:lineRule="auto"/>
        <w:rPr/>
      </w:pPr>
      <w:r/>
    </w:p>
    <w:p>
      <w:pPr>
        <w:pStyle w:val="BodyText"/>
        <w:spacing w:line="282" w:lineRule="auto"/>
        <w:rPr/>
      </w:pPr>
      <w:r/>
    </w:p>
    <w:p>
      <w:pPr>
        <w:ind w:left="1264" w:right="2156" w:firstLine="455"/>
        <w:spacing w:before="75" w:line="321" w:lineRule="auto"/>
        <w:rPr>
          <w:rFonts w:ascii="FangSong" w:hAnsi="FangSong" w:eastAsia="FangSong" w:cs="FangSong"/>
          <w:sz w:val="23"/>
          <w:szCs w:val="23"/>
        </w:rPr>
      </w:pPr>
      <w:r>
        <w:rPr>
          <w:rFonts w:ascii="FangSong" w:hAnsi="FangSong" w:eastAsia="FangSong" w:cs="FangSong"/>
          <w:sz w:val="23"/>
          <w:szCs w:val="23"/>
          <w:spacing w:val="2"/>
        </w:rPr>
        <w:t>2</w:t>
      </w:r>
      <w:r>
        <w:rPr>
          <w:rFonts w:ascii="FangSong" w:hAnsi="FangSong" w:eastAsia="FangSong" w:cs="FangSong"/>
          <w:sz w:val="23"/>
          <w:szCs w:val="23"/>
          <w:spacing w:val="2"/>
        </w:rPr>
        <w:t xml:space="preserve">         </w:t>
      </w:r>
      <w:r>
        <w:rPr>
          <w:rFonts w:ascii="FangSong" w:hAnsi="FangSong" w:eastAsia="FangSong" w:cs="FangSong"/>
          <w:sz w:val="23"/>
          <w:szCs w:val="23"/>
          <w:spacing w:val="2"/>
        </w:rPr>
        <w:t>共产党兴县纪律检查委员会政府采购预算总额33.00万元。其中：政</w:t>
      </w:r>
      <w:r>
        <w:rPr>
          <w:rFonts w:ascii="FangSong" w:hAnsi="FangSong" w:eastAsia="FangSong" w:cs="FangSong"/>
          <w:sz w:val="23"/>
          <w:szCs w:val="23"/>
          <w:spacing w:val="3"/>
        </w:rPr>
        <w:t xml:space="preserve"> </w:t>
      </w:r>
      <w:r>
        <w:rPr>
          <w:rFonts w:ascii="FangSong" w:hAnsi="FangSong" w:eastAsia="FangSong" w:cs="FangSong"/>
          <w:sz w:val="23"/>
          <w:szCs w:val="23"/>
        </w:rPr>
        <w:t>物预算</w:t>
      </w:r>
      <w:r>
        <w:rPr>
          <w:rFonts w:ascii="FangSong" w:hAnsi="FangSong" w:eastAsia="FangSong" w:cs="FangSong"/>
          <w:sz w:val="23"/>
          <w:szCs w:val="23"/>
        </w:rPr>
        <w:t xml:space="preserve">  </w:t>
      </w:r>
      <w:r>
        <w:rPr>
          <w:rFonts w:ascii="FangSong" w:hAnsi="FangSong" w:eastAsia="FangSong" w:cs="FangSong"/>
          <w:sz w:val="23"/>
          <w:szCs w:val="23"/>
        </w:rPr>
        <w:t>.00万元、政府采购工程预算0万元、政府采购服务预算17.00万元。</w:t>
      </w:r>
    </w:p>
    <w:p>
      <w:pPr>
        <w:ind w:left="1260"/>
        <w:spacing w:before="5"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2"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2025年编报单位整体绩效目标，涉及资金610.068万元。</w:t>
      </w:r>
    </w:p>
    <w:p>
      <w:pPr>
        <w:ind w:left="1264"/>
        <w:spacing w:before="136" w:line="221" w:lineRule="auto"/>
        <w:rPr>
          <w:rFonts w:ascii="FangSong" w:hAnsi="FangSong" w:eastAsia="FangSong" w:cs="FangSong"/>
          <w:sz w:val="23"/>
          <w:szCs w:val="23"/>
        </w:rPr>
      </w:pPr>
      <w:r>
        <w:rPr>
          <w:rFonts w:ascii="FangSong" w:hAnsi="FangSong" w:eastAsia="FangSong" w:cs="FangSong"/>
          <w:sz w:val="23"/>
          <w:szCs w:val="23"/>
          <w:spacing w:val="-1"/>
        </w:rPr>
        <w:t>（部门（单位）整体目标表公开情况见附件）</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58" w:right="1223" w:firstLine="462"/>
        <w:spacing w:before="122" w:line="324" w:lineRule="auto"/>
        <w:rPr>
          <w:rFonts w:ascii="FangSong" w:hAnsi="FangSong" w:eastAsia="FangSong" w:cs="FangSong"/>
          <w:sz w:val="23"/>
          <w:szCs w:val="23"/>
        </w:rPr>
      </w:pPr>
      <w:r>
        <w:rPr>
          <w:rFonts w:ascii="FangSong" w:hAnsi="FangSong" w:eastAsia="FangSong" w:cs="FangSong"/>
          <w:sz w:val="23"/>
          <w:szCs w:val="23"/>
          <w:spacing w:val="11"/>
        </w:rPr>
        <w:t>2025年中国共产党兴县纪律检查委员会纳入绩效目标管理的二级项目10个，共计金额</w:t>
      </w:r>
      <w:r>
        <w:rPr>
          <w:rFonts w:ascii="FangSong" w:hAnsi="FangSong" w:eastAsia="FangSong" w:cs="FangSong"/>
          <w:sz w:val="23"/>
          <w:szCs w:val="23"/>
          <w:spacing w:val="4"/>
        </w:rPr>
        <w:t xml:space="preserve"> </w:t>
      </w:r>
      <w:r>
        <w:rPr>
          <w:rFonts w:ascii="FangSong" w:hAnsi="FangSong" w:eastAsia="FangSong" w:cs="FangSong"/>
          <w:sz w:val="23"/>
          <w:szCs w:val="23"/>
          <w:spacing w:val="2"/>
        </w:rPr>
        <w:t>610.07万元。其中：其他运转类项目10个，涉及金额610.07万元；特定目标类项目0个，涉及</w:t>
      </w:r>
      <w:r>
        <w:rPr>
          <w:rFonts w:ascii="FangSong" w:hAnsi="FangSong" w:eastAsia="FangSong" w:cs="FangSong"/>
          <w:sz w:val="23"/>
          <w:szCs w:val="23"/>
          <w:spacing w:val="6"/>
        </w:rPr>
        <w:t xml:space="preserve"> </w:t>
      </w:r>
      <w:r>
        <w:rPr>
          <w:rFonts w:ascii="FangSong" w:hAnsi="FangSong" w:eastAsia="FangSong" w:cs="FangSong"/>
          <w:sz w:val="23"/>
          <w:szCs w:val="23"/>
          <w:spacing w:val="1"/>
        </w:rPr>
        <w:t>金额0万元。公开项目绩效目标10个，涉及项目金额610.07万元，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占部门（单位）项目支出总</w:t>
      </w:r>
    </w:p>
    <w:p>
      <w:pPr>
        <w:ind w:left="1719" w:right="1223" w:firstLine="490"/>
        <w:spacing w:before="1" w:line="325" w:lineRule="auto"/>
        <w:rPr>
          <w:rFonts w:ascii="FangSong" w:hAnsi="FangSong" w:eastAsia="FangSong" w:cs="FangSong"/>
          <w:sz w:val="23"/>
          <w:szCs w:val="23"/>
        </w:rPr>
      </w:pPr>
      <w:r>
        <w:rPr>
          <w:rFonts w:ascii="FangSong" w:hAnsi="FangSong" w:eastAsia="FangSong" w:cs="FangSong"/>
          <w:sz w:val="23"/>
          <w:szCs w:val="23"/>
          <w:spacing w:val="2"/>
        </w:rPr>
        <w:t>。其中：其他运转类项目0个，涉及项目金额0万元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特定目标</w:t>
      </w:r>
      <w:r>
        <w:rPr>
          <w:rFonts w:ascii="FangSong" w:hAnsi="FangSong" w:eastAsia="FangSong" w:cs="FangSong"/>
          <w:sz w:val="23"/>
          <w:szCs w:val="23"/>
          <w:spacing w:val="1"/>
        </w:rPr>
        <w:t>类项目0个，</w:t>
      </w:r>
      <w:r>
        <w:rPr>
          <w:rFonts w:ascii="FangSong" w:hAnsi="FangSong" w:eastAsia="FangSong" w:cs="FangSong"/>
          <w:sz w:val="23"/>
          <w:szCs w:val="23"/>
          <w:spacing w:val="1"/>
        </w:rPr>
        <w:t xml:space="preserve">    </w:t>
      </w:r>
      <w:r>
        <w:rPr>
          <w:rFonts w:ascii="FangSong" w:hAnsi="FangSong" w:eastAsia="FangSong" w:cs="FangSong"/>
          <w:sz w:val="23"/>
          <w:szCs w:val="23"/>
          <w:spacing w:val="1"/>
        </w:rPr>
        <w:t>项目</w:t>
      </w:r>
      <w:r>
        <w:rPr>
          <w:rFonts w:ascii="FangSong" w:hAnsi="FangSong" w:eastAsia="FangSong" w:cs="FangSong"/>
          <w:sz w:val="23"/>
          <w:szCs w:val="23"/>
        </w:rPr>
        <w:t xml:space="preserve"> </w:t>
      </w:r>
      <w:r>
        <w:rPr>
          <w:rFonts w:ascii="FangSong" w:hAnsi="FangSong" w:eastAsia="FangSong" w:cs="FangSong"/>
          <w:sz w:val="23"/>
          <w:szCs w:val="23"/>
          <w:spacing w:val="-3"/>
        </w:rPr>
        <w:t>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44"/>
          <w:footerReference w:type="default" r:id="rId45"/>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494"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43"/>
        <w:spacing w:line="12790" w:lineRule="exact"/>
        <w:rPr/>
      </w:pPr>
      <w:r>
        <w:pict>
          <v:shape id="_x0000_s496" style="position:absolute;margin-left:391.92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98" style="position:absolute;margin-left:491.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500" style="position:absolute;margin-left:-13.08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502"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55"/>
        </w:rPr>
        <w:drawing>
          <wp:inline distT="0" distB="0" distL="0" distR="0">
            <wp:extent cx="5739388" cy="8121646"/>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5739388" cy="8121646"/>
                    </a:xfrm>
                    <a:prstGeom prst="rect">
                      <a:avLst/>
                    </a:prstGeom>
                  </pic:spPr>
                </pic:pic>
              </a:graphicData>
            </a:graphic>
          </wp:inline>
        </w:drawing>
      </w:r>
    </w:p>
    <w:p>
      <w:pPr>
        <w:spacing w:line="12790" w:lineRule="exact"/>
        <w:sectPr>
          <w:headerReference w:type="default" r:id="rId46"/>
          <w:footerReference w:type="default" r:id="rId4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16"/>
        <w:spacing w:line="12682" w:lineRule="exact"/>
        <w:rPr/>
      </w:pPr>
      <w:r>
        <w:pict>
          <v:shape id="_x0000_s516"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518" style="position:absolute;margin-left:-13.08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520" style="position:absolute;margin-left:391.92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53"/>
        </w:rPr>
        <w:drawing>
          <wp:inline distT="0" distB="0" distL="0" distR="0">
            <wp:extent cx="5011667" cy="8052993"/>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5011667" cy="8052993"/>
                    </a:xfrm>
                    <a:prstGeom prst="rect">
                      <a:avLst/>
                    </a:prstGeom>
                  </pic:spPr>
                </pic:pic>
              </a:graphicData>
            </a:graphic>
          </wp:inline>
        </w:drawing>
      </w:r>
    </w:p>
    <w:p>
      <w:pPr>
        <w:spacing w:line="12682" w:lineRule="exact"/>
        <w:sectPr>
          <w:headerReference w:type="default" r:id="rId49"/>
          <w:footerReference w:type="default" r:id="rId50"/>
          <w:pgSz w:w="11900" w:h="16840"/>
          <w:pgMar w:top="642" w:right="0" w:bottom="340" w:left="0" w:header="326" w:footer="91" w:gutter="0"/>
        </w:sectPr>
        <w:rPr/>
      </w:pPr>
    </w:p>
    <w:p>
      <w:pPr>
        <w:pStyle w:val="BodyText"/>
        <w:spacing w:line="277" w:lineRule="auto"/>
        <w:rPr/>
      </w:pPr>
      <w:r>
        <w:pict>
          <v:shape id="_x0000_s522"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115" w:lineRule="exact"/>
        <w:rPr/>
      </w:pPr>
      <w:r>
        <w:pict>
          <v:shape id="_x0000_s524"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526" style="position:absolute;margin-left:-13.08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528" style="position:absolute;margin-left:491.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530"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6041461" cy="8327605"/>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6041461" cy="8327605"/>
                    </a:xfrm>
                    <a:prstGeom prst="rect">
                      <a:avLst/>
                    </a:prstGeom>
                  </pic:spPr>
                </pic:pic>
              </a:graphicData>
            </a:graphic>
          </wp:inline>
        </w:drawing>
      </w:r>
    </w:p>
    <w:p>
      <w:pPr>
        <w:spacing w:line="13115" w:lineRule="exact"/>
        <w:sectPr>
          <w:headerReference w:type="default" r:id="rId46"/>
          <w:footerReference w:type="default" r:id="rId52"/>
          <w:pgSz w:w="11900" w:h="16840"/>
          <w:pgMar w:top="642" w:right="0" w:bottom="340" w:left="0" w:header="326" w:footer="91" w:gutter="0"/>
        </w:sectPr>
        <w:rPr/>
      </w:pPr>
    </w:p>
    <w:p>
      <w:pPr>
        <w:pStyle w:val="BodyText"/>
        <w:spacing w:line="277" w:lineRule="auto"/>
        <w:rPr/>
      </w:pPr>
      <w:r>
        <w:pict>
          <v:shape id="_x0000_s532"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4"/>
        <w:spacing w:line="12996" w:lineRule="exact"/>
        <w:rPr/>
      </w:pPr>
      <w:r>
        <w:pict>
          <v:shape id="_x0000_s534" style="position:absolute;margin-left:-13.08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36"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538" style="position:absolute;margin-left:491.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540"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59"/>
        </w:rPr>
        <w:drawing>
          <wp:inline distT="0" distB="0" distL="0" distR="0">
            <wp:extent cx="5547161" cy="8252088"/>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5547161" cy="8252088"/>
                    </a:xfrm>
                    <a:prstGeom prst="rect">
                      <a:avLst/>
                    </a:prstGeom>
                  </pic:spPr>
                </pic:pic>
              </a:graphicData>
            </a:graphic>
          </wp:inline>
        </w:drawing>
      </w:r>
    </w:p>
    <w:p>
      <w:pPr>
        <w:spacing w:line="12996" w:lineRule="exact"/>
        <w:sectPr>
          <w:footerReference w:type="default" r:id="rId54"/>
          <w:pgSz w:w="11900" w:h="16840"/>
          <w:pgMar w:top="642" w:right="0" w:bottom="340" w:left="0" w:header="326" w:footer="93" w:gutter="0"/>
        </w:sectPr>
        <w:rPr/>
      </w:pPr>
    </w:p>
    <w:p>
      <w:pPr>
        <w:pStyle w:val="BodyText"/>
        <w:spacing w:line="277" w:lineRule="auto"/>
        <w:rPr/>
      </w:pPr>
      <w:r>
        <w:pict>
          <v:shape id="_x0000_s542"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91"/>
        <w:spacing w:line="13147" w:lineRule="exact"/>
        <w:rPr/>
      </w:pPr>
      <w:r>
        <w:pict>
          <v:shape id="_x0000_s544"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46"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548" style="position:absolute;margin-left:491.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550" style="position:absolute;margin-left:-13.08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492238" cy="8348202"/>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5492238" cy="8348202"/>
                    </a:xfrm>
                    <a:prstGeom prst="rect">
                      <a:avLst/>
                    </a:prstGeom>
                  </pic:spPr>
                </pic:pic>
              </a:graphicData>
            </a:graphic>
          </wp:inline>
        </w:drawing>
      </w:r>
    </w:p>
    <w:p>
      <w:pPr>
        <w:spacing w:line="13147" w:lineRule="exact"/>
        <w:sectPr>
          <w:footerReference w:type="default" r:id="rId56"/>
          <w:pgSz w:w="11900" w:h="16840"/>
          <w:pgMar w:top="642" w:right="0" w:bottom="340" w:left="0" w:header="326" w:footer="93" w:gutter="0"/>
        </w:sectPr>
        <w:rPr/>
      </w:pPr>
    </w:p>
    <w:p>
      <w:pPr>
        <w:pStyle w:val="BodyText"/>
        <w:spacing w:line="277" w:lineRule="auto"/>
        <w:rPr/>
      </w:pPr>
      <w:r>
        <w:pict>
          <v:shape id="_x0000_s552"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35"/>
        <w:spacing w:line="13450" w:lineRule="exact"/>
        <w:rPr/>
      </w:pPr>
      <w:r>
        <w:pict>
          <v:shape id="_x0000_s554" style="position:absolute;margin-left:-13.08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56" style="position:absolute;margin-left:86.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558"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560" style="position:absolute;margin-left:491.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5917886" cy="8540429"/>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5917886" cy="8540429"/>
                    </a:xfrm>
                    <a:prstGeom prst="rect">
                      <a:avLst/>
                    </a:prstGeom>
                  </pic:spPr>
                </pic:pic>
              </a:graphicData>
            </a:graphic>
          </wp:inline>
        </w:drawing>
      </w:r>
    </w:p>
    <w:p>
      <w:pPr>
        <w:spacing w:line="13450" w:lineRule="exact"/>
        <w:sectPr>
          <w:footerReference w:type="default" r:id="rId58"/>
          <w:pgSz w:w="11900" w:h="16840"/>
          <w:pgMar w:top="642" w:right="0" w:bottom="340" w:left="0" w:header="326" w:footer="93" w:gutter="0"/>
        </w:sectPr>
        <w:rPr/>
      </w:pPr>
    </w:p>
    <w:p>
      <w:pPr>
        <w:pStyle w:val="BodyText"/>
        <w:spacing w:line="277" w:lineRule="auto"/>
        <w:rPr/>
      </w:pPr>
      <w:r>
        <w:pict>
          <v:shape id="_x0000_s562"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89"/>
        <w:spacing w:line="12628" w:lineRule="exact"/>
        <w:rPr/>
      </w:pPr>
      <w:r>
        <w:pict>
          <v:shape id="_x0000_s564" style="position:absolute;margin-left:391.92pt;margin-top:228.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566"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568" style="position:absolute;margin-left:491.92pt;margin-top:472.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570" style="position:absolute;margin-left:-13.08pt;margin-top:228.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5883559" cy="8018667"/>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5883559" cy="8018667"/>
                    </a:xfrm>
                    <a:prstGeom prst="rect">
                      <a:avLst/>
                    </a:prstGeom>
                  </pic:spPr>
                </pic:pic>
              </a:graphicData>
            </a:graphic>
          </wp:inline>
        </w:drawing>
      </w:r>
    </w:p>
    <w:p>
      <w:pPr>
        <w:spacing w:line="12628" w:lineRule="exact"/>
        <w:sectPr>
          <w:footerReference w:type="default" r:id="rId60"/>
          <w:pgSz w:w="11900" w:h="16840"/>
          <w:pgMar w:top="642" w:right="0" w:bottom="340" w:left="0" w:header="326" w:footer="93" w:gutter="0"/>
        </w:sectPr>
        <w:rPr/>
      </w:pPr>
    </w:p>
    <w:p>
      <w:pPr>
        <w:pStyle w:val="BodyText"/>
        <w:rPr/>
      </w:pPr>
      <w:r/>
    </w:p>
    <w:p>
      <w:pPr>
        <w:sectPr>
          <w:headerReference w:type="default" r:id="rId62"/>
          <w:footerReference w:type="default" r:id="rId63"/>
          <w:pgSz w:w="11900" w:h="16840"/>
          <w:pgMar w:top="642" w:right="0" w:bottom="340" w:left="0" w:header="326" w:footer="91" w:gutter="0"/>
        </w:sectPr>
        <w:rPr/>
      </w:pPr>
    </w:p>
    <w:p>
      <w:pPr>
        <w:pStyle w:val="BodyText"/>
        <w:spacing w:line="277" w:lineRule="auto"/>
        <w:rPr/>
      </w:pPr>
      <w:r>
        <w:pict>
          <v:shape id="_x0000_s590"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194"/>
        <w:spacing w:line="13223" w:lineRule="exact"/>
        <w:rPr/>
      </w:pPr>
      <w:r>
        <w:pict>
          <v:shape id="_x0000_s592" style="position:absolute;margin-left:391.92pt;margin-top:228.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594" style="position:absolute;margin-left:491.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596" style="position:absolute;margin-left:-13.08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598" style="position:absolute;margin-left:86.92pt;margin-top:472.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rPr>
          <w:position w:val="-264"/>
        </w:rPr>
        <w:drawing>
          <wp:inline distT="0" distB="0" distL="0" distR="0">
            <wp:extent cx="6041461" cy="8396258"/>
            <wp:effectExtent l="0" t="0" r="0" b="0"/>
            <wp:docPr id="24" name="IM 24"/>
            <wp:cNvGraphicFramePr/>
            <a:graphic>
              <a:graphicData uri="http://schemas.openxmlformats.org/drawingml/2006/picture">
                <pic:pic>
                  <pic:nvPicPr>
                    <pic:cNvPr id="24" name="IM 24"/>
                    <pic:cNvPicPr/>
                  </pic:nvPicPr>
                  <pic:blipFill>
                    <a:blip r:embed="rId65"/>
                    <a:stretch>
                      <a:fillRect/>
                    </a:stretch>
                  </pic:blipFill>
                  <pic:spPr>
                    <a:xfrm rot="0">
                      <a:off x="0" y="0"/>
                      <a:ext cx="6041461" cy="8396258"/>
                    </a:xfrm>
                    <a:prstGeom prst="rect">
                      <a:avLst/>
                    </a:prstGeom>
                  </pic:spPr>
                </pic:pic>
              </a:graphicData>
            </a:graphic>
          </wp:inline>
        </w:drawing>
      </w:r>
    </w:p>
    <w:p>
      <w:pPr>
        <w:spacing w:line="13223" w:lineRule="exact"/>
        <w:sectPr>
          <w:headerReference w:type="default" r:id="rId46"/>
          <w:footerReference w:type="default" r:id="rId64"/>
          <w:pgSz w:w="11900" w:h="16840"/>
          <w:pgMar w:top="642" w:right="0" w:bottom="340" w:left="0" w:header="326" w:footer="93" w:gutter="0"/>
        </w:sectPr>
        <w:rPr/>
      </w:pPr>
    </w:p>
    <w:p>
      <w:pPr>
        <w:pStyle w:val="BodyText"/>
        <w:spacing w:line="277" w:lineRule="auto"/>
        <w:rPr/>
      </w:pPr>
      <w:r>
        <w:pict>
          <v:shape id="_x0000_s600"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35"/>
        <w:spacing w:line="13580" w:lineRule="exact"/>
        <w:rPr/>
      </w:pPr>
      <w:r>
        <w:pict>
          <v:shape id="_x0000_s602" style="position:absolute;margin-left:491.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604" style="position:absolute;margin-left:86.92pt;margin-top:472.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606" style="position:absolute;margin-left:-13.08pt;margin-top:228.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608" style="position:absolute;margin-left:391.92pt;margin-top:228.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271"/>
        </w:rPr>
        <w:drawing>
          <wp:inline distT="0" distB="0" distL="0" distR="0">
            <wp:extent cx="5945347" cy="8622813"/>
            <wp:effectExtent l="0" t="0" r="0" b="0"/>
            <wp:docPr id="26" name="IM 26"/>
            <wp:cNvGraphicFramePr/>
            <a:graphic>
              <a:graphicData uri="http://schemas.openxmlformats.org/drawingml/2006/picture">
                <pic:pic>
                  <pic:nvPicPr>
                    <pic:cNvPr id="26" name="IM 26"/>
                    <pic:cNvPicPr/>
                  </pic:nvPicPr>
                  <pic:blipFill>
                    <a:blip r:embed="rId67"/>
                    <a:stretch>
                      <a:fillRect/>
                    </a:stretch>
                  </pic:blipFill>
                  <pic:spPr>
                    <a:xfrm rot="0">
                      <a:off x="0" y="0"/>
                      <a:ext cx="5945347" cy="8622813"/>
                    </a:xfrm>
                    <a:prstGeom prst="rect">
                      <a:avLst/>
                    </a:prstGeom>
                  </pic:spPr>
                </pic:pic>
              </a:graphicData>
            </a:graphic>
          </wp:inline>
        </w:drawing>
      </w:r>
    </w:p>
    <w:p>
      <w:pPr>
        <w:spacing w:line="13580" w:lineRule="exact"/>
        <w:sectPr>
          <w:footerReference w:type="default" r:id="rId66"/>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w:t>
      </w:r>
      <w:r>
        <w:rPr>
          <w:rFonts w:ascii="FangSong" w:hAnsi="FangSong" w:eastAsia="FangSong" w:cs="FangSong"/>
          <w:sz w:val="23"/>
          <w:szCs w:val="23"/>
          <w:spacing w:val="-64"/>
        </w:rPr>
        <w:t xml:space="preserve"> </w:t>
      </w:r>
      <w:r>
        <w:rPr>
          <w:rFonts w:ascii="FangSong" w:hAnsi="FangSong" w:eastAsia="FangSong" w:cs="FangSong"/>
          <w:sz w:val="23"/>
          <w:szCs w:val="23"/>
          <w:spacing w:val="2"/>
        </w:rPr>
        <w:t>中国共产党兴县纪律检查委员会共有公务用车编制10辆，实有10</w:t>
      </w:r>
      <w:r>
        <w:rPr>
          <w:rFonts w:ascii="FangSong" w:hAnsi="FangSong" w:eastAsia="FangSong" w:cs="FangSong"/>
          <w:sz w:val="23"/>
          <w:szCs w:val="23"/>
        </w:rPr>
        <w:t xml:space="preserve"> </w:t>
      </w:r>
      <w:r>
        <w:rPr>
          <w:rFonts w:ascii="FangSong" w:hAnsi="FangSong" w:eastAsia="FangSong" w:cs="FangSong"/>
          <w:sz w:val="23"/>
          <w:szCs w:val="23"/>
          <w:spacing w:val="2"/>
        </w:rPr>
        <w:t>辆，其中：领导用车0辆，机要通信用车0辆，应急保障用车0辆，执法执勤用车10辆，特种专</w:t>
      </w:r>
      <w:r>
        <w:rPr>
          <w:rFonts w:ascii="FangSong" w:hAnsi="FangSong" w:eastAsia="FangSong" w:cs="FangSong"/>
          <w:sz w:val="23"/>
          <w:szCs w:val="23"/>
          <w:spacing w:val="11"/>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59" w:right="1223" w:firstLine="465"/>
        <w:spacing w:before="123" w:line="322" w:lineRule="auto"/>
        <w:rPr>
          <w:rFonts w:ascii="FangSong" w:hAnsi="FangSong" w:eastAsia="FangSong" w:cs="FangSong"/>
          <w:sz w:val="23"/>
          <w:szCs w:val="23"/>
        </w:rPr>
      </w:pPr>
      <w:r>
        <w:rPr>
          <w:rFonts w:ascii="FangSong" w:hAnsi="FangSong" w:eastAsia="FangSong" w:cs="FangSong"/>
          <w:sz w:val="23"/>
          <w:szCs w:val="23"/>
          <w:spacing w:val="10"/>
        </w:rPr>
        <w:t>截至2024年12月31</w:t>
      </w:r>
      <w:r>
        <w:rPr>
          <w:rFonts w:ascii="FangSong" w:hAnsi="FangSong" w:eastAsia="FangSong" w:cs="FangSong"/>
          <w:sz w:val="23"/>
          <w:szCs w:val="23"/>
          <w:spacing w:val="-22"/>
        </w:rPr>
        <w:t xml:space="preserve"> </w:t>
      </w:r>
      <w:r>
        <w:rPr>
          <w:rFonts w:ascii="FangSong" w:hAnsi="FangSong" w:eastAsia="FangSong" w:cs="FangSong"/>
          <w:sz w:val="23"/>
          <w:szCs w:val="23"/>
          <w:spacing w:val="10"/>
        </w:rPr>
        <w:t>日</w:t>
      </w:r>
      <w:r>
        <w:rPr>
          <w:rFonts w:ascii="FangSong" w:hAnsi="FangSong" w:eastAsia="FangSong" w:cs="FangSong"/>
          <w:sz w:val="23"/>
          <w:szCs w:val="23"/>
          <w:spacing w:val="-64"/>
        </w:rPr>
        <w:t xml:space="preserve"> </w:t>
      </w:r>
      <w:r>
        <w:rPr>
          <w:rFonts w:ascii="FangSong" w:hAnsi="FangSong" w:eastAsia="FangSong" w:cs="FangSong"/>
          <w:sz w:val="23"/>
          <w:szCs w:val="23"/>
          <w:spacing w:val="10"/>
        </w:rPr>
        <w:t>，</w:t>
      </w:r>
      <w:r>
        <w:rPr>
          <w:rFonts w:ascii="FangSong" w:hAnsi="FangSong" w:eastAsia="FangSong" w:cs="FangSong"/>
          <w:sz w:val="23"/>
          <w:szCs w:val="23"/>
          <w:spacing w:val="-50"/>
        </w:rPr>
        <w:t xml:space="preserve"> </w:t>
      </w:r>
      <w:r>
        <w:rPr>
          <w:rFonts w:ascii="FangSong" w:hAnsi="FangSong" w:eastAsia="FangSong" w:cs="FangSong"/>
          <w:sz w:val="23"/>
          <w:szCs w:val="23"/>
          <w:spacing w:val="10"/>
        </w:rPr>
        <w:t>中</w:t>
      </w:r>
      <w:r>
        <w:rPr>
          <w:rFonts w:ascii="FangSong" w:hAnsi="FangSong" w:eastAsia="FangSong" w:cs="FangSong"/>
          <w:sz w:val="23"/>
          <w:szCs w:val="23"/>
          <w:spacing w:val="-54"/>
        </w:rPr>
        <w:t xml:space="preserve"> </w:t>
      </w:r>
      <w:r>
        <w:rPr>
          <w:rFonts w:ascii="FangSong" w:hAnsi="FangSong" w:eastAsia="FangSong" w:cs="FangSong"/>
          <w:sz w:val="23"/>
          <w:szCs w:val="23"/>
          <w:spacing w:val="10"/>
        </w:rPr>
        <w:t>国共产党兴县纪律检查委员会使用的办公用房建筑总面积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1"/>
        </w:rPr>
        <w:t>2358.4平方米。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5" w:right="1223" w:firstLine="459"/>
        <w:spacing w:before="123" w:line="321" w:lineRule="auto"/>
        <w:rPr>
          <w:rFonts w:ascii="FangSong" w:hAnsi="FangSong" w:eastAsia="FangSong" w:cs="FangSong"/>
          <w:sz w:val="23"/>
          <w:szCs w:val="23"/>
        </w:rPr>
      </w:pPr>
      <w:r>
        <w:rPr>
          <w:rFonts w:ascii="FangSong" w:hAnsi="FangSong" w:eastAsia="FangSong" w:cs="FangSong"/>
          <w:sz w:val="23"/>
          <w:szCs w:val="23"/>
          <w:spacing w:val="1"/>
        </w:rPr>
        <w:t>截至2024年12月31</w:t>
      </w:r>
      <w:r>
        <w:rPr>
          <w:rFonts w:ascii="FangSong" w:hAnsi="FangSong" w:eastAsia="FangSong" w:cs="FangSong"/>
          <w:sz w:val="23"/>
          <w:szCs w:val="23"/>
          <w:spacing w:val="-45"/>
        </w:rPr>
        <w:t xml:space="preserve"> </w:t>
      </w:r>
      <w:r>
        <w:rPr>
          <w:rFonts w:ascii="FangSong" w:hAnsi="FangSong" w:eastAsia="FangSong" w:cs="FangSong"/>
          <w:sz w:val="23"/>
          <w:szCs w:val="23"/>
          <w:spacing w:val="1"/>
        </w:rPr>
        <w:t>日，</w:t>
      </w:r>
      <w:r>
        <w:rPr>
          <w:rFonts w:ascii="FangSong" w:hAnsi="FangSong" w:eastAsia="FangSong" w:cs="FangSong"/>
          <w:sz w:val="23"/>
          <w:szCs w:val="23"/>
          <w:spacing w:val="-64"/>
        </w:rPr>
        <w:t xml:space="preserve"> </w:t>
      </w:r>
      <w:r>
        <w:rPr>
          <w:rFonts w:ascii="FangSong" w:hAnsi="FangSong" w:eastAsia="FangSong" w:cs="FangSong"/>
          <w:sz w:val="23"/>
          <w:szCs w:val="23"/>
          <w:spacing w:val="1"/>
        </w:rPr>
        <w:t>中国共产党兴县纪律检查委员会占有使用价值50万元（</w:t>
      </w:r>
      <w:r>
        <w:rPr>
          <w:rFonts w:ascii="FangSong" w:hAnsi="FangSong" w:eastAsia="FangSong" w:cs="FangSong"/>
          <w:sz w:val="23"/>
          <w:szCs w:val="23"/>
        </w:rPr>
        <w:t>原值）</w:t>
      </w:r>
      <w:r>
        <w:rPr>
          <w:rFonts w:ascii="FangSong" w:hAnsi="FangSong" w:eastAsia="FangSong" w:cs="FangSong"/>
          <w:sz w:val="23"/>
          <w:szCs w:val="23"/>
          <w:spacing w:val="-65"/>
        </w:rPr>
        <w:t xml:space="preserve"> </w:t>
      </w:r>
      <w:r>
        <w:rPr>
          <w:rFonts w:ascii="FangSong" w:hAnsi="FangSong" w:eastAsia="FangSong" w:cs="FangSong"/>
          <w:sz w:val="23"/>
          <w:szCs w:val="23"/>
        </w:rPr>
        <w:t>以</w:t>
      </w:r>
      <w:r>
        <w:rPr>
          <w:rFonts w:ascii="FangSong" w:hAnsi="FangSong" w:eastAsia="FangSong" w:cs="FangSong"/>
          <w:sz w:val="23"/>
          <w:szCs w:val="23"/>
        </w:rPr>
        <w:t xml:space="preserve"> </w:t>
      </w:r>
      <w:r>
        <w:rPr>
          <w:rFonts w:ascii="FangSong" w:hAnsi="FangSong" w:eastAsia="FangSong" w:cs="FangSong"/>
          <w:sz w:val="23"/>
          <w:szCs w:val="23"/>
          <w:spacing w:val="2"/>
        </w:rPr>
        <w:t>上的通用设备1台（套</w:t>
      </w:r>
      <w:r>
        <w:rPr>
          <w:rFonts w:ascii="FangSong" w:hAnsi="FangSong" w:eastAsia="FangSong" w:cs="FangSong"/>
          <w:sz w:val="23"/>
          <w:szCs w:val="23"/>
          <w:spacing w:val="14"/>
        </w:rPr>
        <w:t>）；</w:t>
      </w:r>
      <w:r>
        <w:rPr>
          <w:rFonts w:ascii="FangSong" w:hAnsi="FangSong" w:eastAsia="FangSong" w:cs="FangSong"/>
          <w:sz w:val="23"/>
          <w:szCs w:val="23"/>
          <w:spacing w:val="-64"/>
        </w:rPr>
        <w:t xml:space="preserve"> </w:t>
      </w:r>
      <w:r>
        <w:rPr>
          <w:rFonts w:ascii="FangSong" w:hAnsi="FangSong" w:eastAsia="FangSong" w:cs="FangSong"/>
          <w:sz w:val="23"/>
          <w:szCs w:val="23"/>
          <w:spacing w:val="2"/>
        </w:rPr>
        <w:t>中国共产党兴县纪律检查委员会占有使用价值100万元（原值）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w:t>
      </w:r>
    </w:p>
    <w:p>
      <w:pPr>
        <w:ind w:left="1265"/>
        <w:spacing w:before="12" w:line="221" w:lineRule="auto"/>
        <w:rPr>
          <w:rFonts w:ascii="FangSong" w:hAnsi="FangSong" w:eastAsia="FangSong" w:cs="FangSong"/>
          <w:sz w:val="23"/>
          <w:szCs w:val="23"/>
        </w:rPr>
      </w:pPr>
      <w:r>
        <w:rPr>
          <w:rFonts w:ascii="FangSong" w:hAnsi="FangSong" w:eastAsia="FangSong" w:cs="FangSong"/>
          <w:sz w:val="23"/>
          <w:szCs w:val="23"/>
          <w:spacing w:val="-1"/>
        </w:rPr>
        <w:t>上的通用设备1台（套）。</w:t>
      </w:r>
    </w:p>
    <w:p>
      <w:pPr>
        <w:ind w:left="1260"/>
        <w:spacing w:before="122" w:line="228"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68"/>
          <w:footerReference w:type="default" r:id="rId69"/>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4686"/>
        <w:spacing w:line="1568" w:lineRule="exact"/>
        <w:rPr/>
      </w:pPr>
      <w:r>
        <w:rPr>
          <w:position w:val="-31"/>
        </w:rPr>
        <w:drawing>
          <wp:inline distT="0" distB="0" distL="0" distR="0">
            <wp:extent cx="1620210" cy="995467"/>
            <wp:effectExtent l="0" t="0" r="0" b="0"/>
            <wp:docPr id="28" name="IM 28"/>
            <wp:cNvGraphicFramePr/>
            <a:graphic>
              <a:graphicData uri="http://schemas.openxmlformats.org/drawingml/2006/picture">
                <pic:pic>
                  <pic:nvPicPr>
                    <pic:cNvPr id="28" name="IM 28"/>
                    <pic:cNvPicPr/>
                  </pic:nvPicPr>
                  <pic:blipFill>
                    <a:blip r:embed="rId71"/>
                    <a:stretch>
                      <a:fillRect/>
                    </a:stretch>
                  </pic:blipFill>
                  <pic:spPr>
                    <a:xfrm rot="0">
                      <a:off x="0" y="0"/>
                      <a:ext cx="1620210" cy="995467"/>
                    </a:xfrm>
                    <a:prstGeom prst="rect">
                      <a:avLst/>
                    </a:prstGeom>
                  </pic:spPr>
                </pic:pic>
              </a:graphicData>
            </a:graphic>
          </wp:inline>
        </w:drawing>
      </w:r>
    </w:p>
    <w:p>
      <w:pPr>
        <w:spacing w:line="1568" w:lineRule="exact"/>
        <w:sectPr>
          <w:headerReference w:type="default" r:id="rId62"/>
          <w:footerReference w:type="default" r:id="rId70"/>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2"/>
      <w:footerReference w:type="default" r:id="rId73"/>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49" w:id="45"/>
    <w:bookmarkEnd w:id="45"/>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50" w:id="46"/>
    <w:bookmarkEnd w:id="46"/>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0176;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493.62pt;margin-top:72.8103pt;mso-position-vertical-relative:page;mso-position-horizontal-relative:page;width:32.1pt;height:7.2pt;z-index:-251571200;" o:allowincell="f" fillcolor="#212529" filled="true" stroked="false" type="#_x0000_t136">
          <v:textpath style="font-family:&quot;SimSun&quot;;font-size:7;v-text-kern:t;mso-text-shadow:auto" string="算公开表4"/>
        </v:shape>
      </w:pict>
    </w:r>
    <w:r>
      <w:pict>
        <v:shape id="PowerPlusWaterMarkObject158"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404.678pt;margin-top:325.754pt;mso-position-vertical-relative:page;mso-position-horizontal-relative:page;width:11.2pt;height:7.9pt;z-index:-251579392;" o:allowincell="f" fillcolor="#212529" filled="true" stroked="false" type="#_x0000_t136">
          <v:textpath style="font-family:&quot;SimSun&quot;;font-size:7.5;v-text-kern:t;mso-text-shadow:auto" string="129"/>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76" style="position:absolute;margin-left:94.1286pt;margin-top:66.2782pt;mso-position-vertical-relative:page;mso-position-horizontal-relative:page;width:40.05pt;height:7.9pt;z-index:-251563008;" o:allowincell="f" fillcolor="#212529" filled="true" stroked="false" type="#_x0000_t136">
          <v:textpath style="font-family:&quot;SimSun&quot;;font-size:7.5;v-text-kern:t;mso-text-shadow:auto" string="政拨款结转"/>
        </v:shape>
      </w:pict>
    </w: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490.282pt;margin-top:71.2915pt;mso-position-vertical-relative:page;mso-position-horizontal-relative:page;width:35.45pt;height:6.5pt;z-index:-251545600;" o:allowincell="f" fillcolor="#212529" filled="true" stroked="false" type="#_x0000_t136">
          <v:textpath style="font-family:&quot;SimSun&quot;;font-size:6;v-text-kern:t;mso-text-shadow:auto" string="预算公开表5"/>
        </v:shape>
      </w:pict>
    </w:r>
    <w:r>
      <w:pict>
        <v:shape id="PowerPlusWaterMarkObject200"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73.8887pt;margin-top:267.372pt;mso-position-vertical-relative:page;mso-position-horizontal-relative:page;width:7.65pt;height:7.9pt;z-index:-251553792;" o:allowincell="f" fillcolor="#212529" filled="true" stroked="false" type="#_x0000_t136">
          <v:textpath style="font-family:&quot;SimSun&quot;;font-size:7.5;v-text-kern:t;mso-text-shadow:auto" string="08"/>
        </v:shape>
      </w:pict>
    </w:r>
    <w:r>
      <w:pict>
        <v:shape id="PowerPlusWaterMarkObject204" style="position:absolute;margin-left:69.8661pt;margin-top:282.508pt;mso-position-vertical-relative:page;mso-position-horizontal-relative:page;width:11.7pt;height:7.9pt;z-index:-251552768;" o:allowincell="f" fillcolor="#212529" filled="true" stroked="false" type="#_x0000_t136">
          <v:textpath style="font-family:&quot;SimSun&quot;;font-size:7.5;v-text-kern:t;mso-text-shadow:auto" string="208"/>
        </v:shape>
      </w:pict>
    </w:r>
    <w:r>
      <w:pict>
        <v:shape id="PowerPlusWaterMarkObject206" style="position:absolute;margin-left:-13.08pt;margin-top:288.10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46.68pt;margin-top:282.508pt;mso-position-vertical-relative:page;mso-position-horizontal-relative:page;width:7.75pt;height:7.9pt;z-index:-251557888;" o:allowincell="f" fillcolor="#212529" filled="true" stroked="false" type="#_x0000_t136">
          <v:textpath style="font-family:&quot;SimSun&quot;;font-size:7.5;v-text-kern:t;mso-text-shadow:auto" string="41"/>
        </v:shape>
      </w:pict>
    </w:r>
    <w:r>
      <w:pict>
        <v:shape id="PowerPlusWaterMarkObject210" style="position:absolute;margin-left:435.136pt;margin-top:297.644pt;mso-position-vertical-relative:page;mso-position-horizontal-relative:page;width:19.3pt;height:7.9pt;z-index:-251555840;" o:allowincell="f" fillcolor="#212529" filled="true" stroked="false" type="#_x0000_t136">
          <v:textpath style="font-family:&quot;SimSun&quot;;font-size:7.5;v-text-kern:t;mso-text-shadow:auto" string="18 34"/>
        </v:shape>
      </w:pict>
    </w:r>
    <w:r>
      <w:pict>
        <v:shape id="PowerPlusWaterMarkObject212" style="position:absolute;margin-left:431.081pt;margin-top:312.78pt;mso-position-vertical-relative:page;mso-position-horizontal-relative:page;width:11.2pt;height:7.9pt;z-index:-251556864;" o:allowincell="f" fillcolor="#212529" filled="true" stroked="false" type="#_x0000_t136">
          <v:textpath style="font-family:&quot;SimSun&quot;;font-size:7.5;v-text-kern:t;mso-text-shadow:auto" string="111"/>
        </v:shape>
      </w:pict>
    </w:r>
    <w:r>
      <w:pict>
        <v:shape id="PowerPlusWaterMarkObject214"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4"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26" style="position:absolute;margin-left:85.9249pt;margin-top:267.372pt;mso-position-vertical-relative:page;mso-position-horizontal-relative:page;width:15.8pt;height:7.9pt;z-index:-251542528;" o:allowincell="f" fillcolor="#212529" filled="true" stroked="false" type="#_x0000_t136">
          <v:textpath style="font-family:&quot;SimSun&quot;;font-size:7.5;v-text-kern:t;mso-text-shadow:auto" string="职工"/>
        </v:shape>
      </w:pict>
    </w:r>
    <w:r>
      <w:pict>
        <v:shape id="PowerPlusWaterMarkObject228" style="position:absolute;margin-left:126.531pt;margin-top:539.821pt;mso-position-vertical-relative:page;mso-position-horizontal-relative:page;width:15.75pt;height:7.9pt;z-index:-251539456;" o:allowincell="f" fillcolor="#212529" filled="true" stroked="false" type="#_x0000_t136">
          <v:textpath style="font-family:&quot;SimSun&quot;;font-size:7.5;v-text-kern:t;mso-text-shadow:auto" string="补助"/>
        </v:shape>
      </w:pict>
    </w:r>
    <w:r>
      <w:pict>
        <v:shape id="PowerPlusWaterMarkObject230" style="position:absolute;margin-left:94.0335pt;margin-top:554.958pt;mso-position-vertical-relative:page;mso-position-horizontal-relative:page;width:15.8pt;height:7.9pt;z-index:-251540480;" o:allowincell="f" fillcolor="#212529" filled="true" stroked="false" type="#_x0000_t136">
          <v:textpath style="font-family:&quot;SimSun&quot;;font-size:7.5;v-text-kern:t;mso-text-shadow:auto" string="休费"/>
        </v:shape>
      </w:pict>
    </w:r>
    <w:r>
      <w:pict>
        <v:shape id="PowerPlusWaterMarkObject232" style="position:absolute;margin-left:94.0969pt;margin-top:570.094pt;mso-position-vertical-relative:page;mso-position-horizontal-relative:page;width:15.75pt;height:7.9pt;z-index:-251538432;" o:allowincell="f" fillcolor="#212529" filled="true" stroked="false" type="#_x0000_t136">
          <v:textpath style="font-family:&quot;SimSun&quot;;font-size:7.5;v-text-kern:t;mso-text-shadow:auto" string="他对"/>
        </v:shape>
      </w:pict>
    </w:r>
    <w:r>
      <w:pict>
        <v:shape id="PowerPlusWaterMarkObject234" style="position:absolute;margin-left:86.92pt;margin-top:27.7862pt;mso-position-vertical-relative:text;mso-position-horizontal-relative:text;width:119.4pt;height:18.85pt;z-index:-251526144;rotation:330;" fillcolor="#404040" filled="true" stroked="false" type="#_x0000_t136">
          <v:fill opacity="0.400000"/>
          <v:textpath style="font-family:&quot;STSong&quot;;font-size:20;v-text-kern:t;mso-text-shadow:auto" string="仅供内部审核"/>
        </v:shape>
      </w:pict>
    </w:r>
    <w:r>
      <w:pict>
        <v:shape id="PowerPlusWaterMarkObject236"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486.557pt;margin-top:71.2915pt;mso-position-vertical-relative:page;mso-position-horizontal-relative:page;width:35.45pt;height:6.5pt;z-index:-251527168;" o:allowincell="f" fillcolor="#212529" filled="true" stroked="false" type="#_x0000_t136">
          <v:textpath style="font-family:&quot;SimSun&quot;;font-size:6;v-text-kern:t;mso-text-shadow:auto" string="预算公开表6"/>
        </v:shape>
      </w:pict>
    </w:r>
    <w:r>
      <w:pict>
        <v:shape id="PowerPlusWaterMarkObject244" style="position:absolute;margin-left:447.749pt;margin-top:282.508pt;mso-position-vertical-relative:page;mso-position-horizontal-relative:page;width:15.8pt;height:7.9pt;z-index:-251533312;" o:allowincell="f" fillcolor="#212529" filled="true" stroked="false" type="#_x0000_t136">
          <v:textpath style="font-family:&quot;SimSun&quot;;font-size:7.5;v-text-kern:t;mso-text-shadow:auto" string="8 66"/>
        </v:shape>
      </w:pict>
    </w:r>
    <w:r>
      <w:pict>
        <v:shape id="PowerPlusWaterMarkObject246" style="position:absolute;margin-left:444.249pt;margin-top:297.644pt;mso-position-vertical-relative:page;mso-position-horizontal-relative:page;width:19.3pt;height:7.9pt;z-index:-251535360;" o:allowincell="f" fillcolor="#212529" filled="true" stroked="false" type="#_x0000_t136">
          <v:textpath style="font-family:&quot;SimSun&quot;;font-size:7.5;v-text-kern:t;mso-text-shadow:auto" string="16 83"/>
        </v:shape>
      </w:pict>
    </w:r>
    <w:r>
      <w:pict>
        <v:shape id="PowerPlusWaterMarkObject248" style="position:absolute;margin-left:397.729pt;margin-top:312.78pt;mso-position-vertical-relative:page;mso-position-horizontal-relative:page;width:3.5pt;height:7.9pt;z-index:-251534336;" o:allowincell="f" fillcolor="#212529" filled="true" stroked="false" type="#_x0000_t136">
          <v:textpath style="font-family:&quot;SimSun&quot;;font-size:7.5;v-text-kern:t;mso-text-shadow:auto" string="3"/>
        </v:shape>
      </w:pict>
    </w:r>
    <w:r>
      <w:pict>
        <v:shape id="PowerPlusWaterMarkObject250" style="position:absolute;margin-left:397.539pt;margin-top:327.916pt;mso-position-vertical-relative:page;mso-position-horizontal-relative:page;width:3.7pt;height:7.9pt;z-index:-251536384;" o:allowincell="f" fillcolor="#212529" filled="true" stroked="false" type="#_x0000_t136">
          <v:textpath style="font-family:&quot;SimSun&quot;;font-size:7.5;v-text-kern:t;mso-text-shadow:auto" string="4"/>
        </v:shape>
      </w:pict>
    </w:r>
    <w:r>
      <w:pict>
        <v:shape id="PowerPlusWaterMarkObject252"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391.92pt;margin-top:288.105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_x0000_s26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62" style="position:absolute;margin-left:86.92pt;margin-top:27.7862pt;mso-position-vertical-relative:text;mso-position-horizontal-relative:text;width:119.4pt;height:18.85pt;z-index:-251515904;rotation:330;" fillcolor="#404040" filled="true" stroked="false" type="#_x0000_t136">
          <v:fill opacity="0.400000"/>
          <v:textpath style="font-family:&quot;STSong&quot;;font-size:20;v-text-kern:t;mso-text-shadow:auto" string="仅供内部审核"/>
        </v:shape>
      </w:pict>
    </w:r>
    <w:r>
      <w:pict>
        <v:shape id="PowerPlusWaterMarkObject264" style="position:absolute;margin-left:490.334pt;margin-top:73.4279pt;mso-position-vertical-relative:page;mso-position-horizontal-relative:page;width:35.4pt;height:6.5pt;z-index:-251516928;" o:allowincell="f" fillcolor="#212529" filled="true" stroked="false" type="#_x0000_t136">
          <v:textpath style="font-family:&quot;SimSun&quot;;font-size:6;v-text-kern:t;mso-text-shadow:auto" string="预算公开表7"/>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82" style="position:absolute;margin-left:86.92pt;margin-top:27.7862pt;mso-position-vertical-relative:text;mso-position-horizontal-relative:text;width:119.4pt;height:18.85pt;z-index:-251505664;rotation:330;" fillcolor="#404040" filled="true" stroked="false" type="#_x0000_t136">
          <v:fill opacity="0.400000"/>
          <v:textpath style="font-family:&quot;STSong&quot;;font-size:20;v-text-kern:t;mso-text-shadow:auto" string="仅供内部审核"/>
        </v:shape>
      </w:pict>
    </w:r>
    <w:r>
      <w:pict>
        <v:shape id="PowerPlusWaterMarkObject284" style="position:absolute;margin-left:490.282pt;margin-top:73.4538pt;mso-position-vertical-relative:page;mso-position-horizontal-relative:page;width:35.45pt;height:6.5pt;z-index:-251506688;" o:allowincell="f" fillcolor="#212529" filled="true" stroked="false" type="#_x0000_t136">
          <v:textpath style="font-family:&quot;SimSun&quot;;font-size:6;v-text-kern:t;mso-text-shadow:auto" string="预算公开表8"/>
        </v:shape>
      </w:pict>
    </w:r>
    <w:r>
      <w:pict>
        <v:shape id="PowerPlusWaterMarkObject286"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288.105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_x0000_s300"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02" style="position:absolute;margin-left:86.92pt;margin-top:27.7862pt;mso-position-vertical-relative:text;mso-position-horizontal-relative:text;width:119.4pt;height:18.85pt;z-index:-251495424;rotation:330;" fillcolor="#404040" filled="true" stroked="false" type="#_x0000_t136">
          <v:fill opacity="0.400000"/>
          <v:textpath style="font-family:&quot;STSong&quot;;font-size:20;v-text-kern:t;mso-text-shadow:auto" string="仅供内部审核"/>
        </v:shape>
      </w:pict>
    </w:r>
    <w:r>
      <w:pict>
        <v:shape id="PowerPlusWaterMarkObject304" style="position:absolute;margin-left:490.36pt;margin-top:78.8596pt;mso-position-vertical-relative:page;mso-position-horizontal-relative:page;width:35.35pt;height:6.5pt;z-index:-251496448;" o:allowincell="f" fillcolor="#212529" filled="true" stroked="false" type="#_x0000_t136">
          <v:textpath style="font-family:&quot;SimSun&quot;;font-size:6;v-text-kern:t;mso-text-shadow:auto" string="部门公开表9"/>
        </v:shape>
      </w:pict>
    </w:r>
    <w:r>
      <w:pict>
        <v:shape id="PowerPlusWaterMarkObject306" style="position:absolute;margin-left:491.92pt;margin-top:44.105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13.08pt;margin-top:288.105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86.92pt;margin-top:532.106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491.92pt;margin-top:532.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8" style="position:absolute;margin-left:391.92pt;margin-top:776.106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_x0000_s320" style="position:absolute;margin-left:30pt;margin-top:29.5pt;mso-position-vertical-relative:page;mso-position-horizontal-relative:page;width:535pt;height:1pt;z-index:-251498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22" style="position:absolute;margin-left:86.92pt;margin-top:27.7862pt;mso-position-vertical-relative:text;mso-position-horizontal-relative:text;width:119.4pt;height:18.85pt;z-index:-251485184;rotation:330;" fillcolor="#404040" filled="true" stroked="false" type="#_x0000_t136">
          <v:fill opacity="0.400000"/>
          <v:textpath style="font-family:&quot;STSong&quot;;font-size:20;v-text-kern:t;mso-text-shadow:auto" string="仅供内部审核"/>
        </v:shape>
      </w:pict>
    </w:r>
    <w:r>
      <w:pict>
        <v:shape id="PowerPlusWaterMarkObject324" style="position:absolute;margin-left:-13.08pt;margin-top:288.105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86.92pt;margin-top:532.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13.08pt;margin-top:776.106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487.09pt;margin-top:67.4816pt;mso-position-vertical-relative:page;mso-position-horizontal-relative:page;width:38.65pt;height:6.5pt;z-index:-251486208;" o:allowincell="f" fillcolor="#212529" filled="true" stroked="false" type="#_x0000_t136">
          <v:textpath style="font-family:&quot;SimSun&quot;;font-size:6;v-text-kern:t;mso-text-shadow:auto" string="预算公开表11"/>
        </v:shape>
      </w:pict>
    </w:r>
    <w:r>
      <w:pict>
        <v:shape id="PowerPlusWaterMarkObject332" style="position:absolute;margin-left:491.92pt;margin-top:44.1055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34" style="position:absolute;margin-left:391.92pt;margin-top:288.10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491.92pt;margin-top:532.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391.92pt;margin-top:776.106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_x0000_s340" style="position:absolute;margin-left:30pt;margin-top:29.5pt;mso-position-vertical-relative:page;mso-position-horizontal-relative:page;width:535pt;height:1pt;z-index:-2514882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42" style="position:absolute;margin-left:77.9747pt;margin-top:267.372pt;mso-position-vertical-relative:page;mso-position-horizontal-relative:page;width:23.75pt;height:7.9pt;z-index:-251483136;" o:allowincell="f" fillcolor="#212529" filled="true" stroked="false" type="#_x0000_t136">
          <v:textpath style="font-family:&quot;SimSun&quot;;font-size:7.5;v-text-kern:t;mso-text-shadow:auto" string="2025年"/>
        </v:shape>
      </w:pict>
    </w:r>
    <w:r>
      <w:pict>
        <v:shape id="PowerPlusWaterMarkObject344" style="position:absolute;margin-left:77.9747pt;margin-top:286.833pt;mso-position-vertical-relative:page;mso-position-horizontal-relative:page;width:3.6pt;height:7.9pt;z-index:-251482112;" o:allowincell="f" fillcolor="#212529" filled="true" stroked="false" type="#_x0000_t136">
          <v:textpath style="font-family:&quot;SimSun&quot;;font-size:7.5;v-text-kern:t;mso-text-shadow:auto" string="2"/>
        </v:shape>
      </w:pict>
    </w:r>
    <w:r>
      <w:pict>
        <v:shape id="PowerPlusWaterMarkObject346" style="position:absolute;margin-left:86.92pt;margin-top:27.7862pt;mso-position-vertical-relative:text;mso-position-horizontal-relative:text;width:119.4pt;height:18.85pt;z-index:-251472896;rotation:330;" fillcolor="#404040" filled="true" stroked="false" type="#_x0000_t136">
          <v:fill opacity="0.400000"/>
          <v:textpath style="font-family:&quot;STSong&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2"/>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66" style="position:absolute;margin-left:86.92pt;margin-top:27.7862pt;mso-position-vertical-relative:text;mso-position-horizontal-relative:text;width:119.4pt;height:18.85pt;z-index:-251462656;rotation:330;" fillcolor="#404040" filled="true" stroked="false" type="#_x0000_t136">
          <v:fill opacity="0.400000"/>
          <v:textpath style="font-family:&quot;STSong&quot;;font-size:20;v-text-kern:t;mso-text-shadow:auto" string="仅供内部审核"/>
        </v:shape>
      </w:pict>
    </w:r>
    <w:r>
      <w:pict>
        <v:shape id="PowerPlusWaterMarkObject368" style="position:absolute;margin-left:-13.08pt;margin-top:288.105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86.92pt;margin-top:532.106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PowerPlusWaterMarkObject372" style="position:absolute;margin-left:-13.08pt;margin-top:776.106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487.09pt;margin-top:73.4279pt;mso-position-vertical-relative:page;mso-position-horizontal-relative:page;width:38.65pt;height:6.5pt;z-index:-251463680;" o:allowincell="f" fillcolor="#212529" filled="true" stroked="false" type="#_x0000_t136">
          <v:textpath style="font-family:&quot;SimSun&quot;;font-size:6;v-text-kern:t;mso-text-shadow:auto" string="预算公开表13"/>
        </v:shape>
      </w:pict>
    </w:r>
    <w:r>
      <w:pict>
        <v:shape id="PowerPlusWaterMarkObject376" style="position:absolute;margin-left:491.92pt;margin-top:44.1055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391.92pt;margin-top:776.106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_x0000_s384" style="position:absolute;margin-left:30pt;margin-top:29.5pt;mso-position-vertical-relative:page;mso-position-horizontal-relative:page;width:535pt;height:1pt;z-index:-2514657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86" style="position:absolute;margin-left:86.92pt;margin-top:27.7862pt;mso-position-vertical-relative:text;mso-position-horizontal-relative:text;width:119.4pt;height:18.85pt;z-index:-251442176;rotation:330;" fillcolor="#404040" filled="true" stroked="false" type="#_x0000_t136">
          <v:fill opacity="0.400000"/>
          <v:textpath style="font-family:&quot;STSong&quot;;font-size:20;v-text-kern:t;mso-text-shadow:auto" string="仅供内部审核"/>
        </v:shape>
      </w:pict>
    </w:r>
    <w:r>
      <w:pict>
        <v:shape id="PowerPlusWaterMarkObject388" style="position:absolute;margin-left:491.92pt;margin-top:44.1055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390" style="position:absolute;margin-left:86.0353pt;margin-top:258.837pt;mso-position-vertical-relative:page;mso-position-horizontal-relative:page;width:11pt;height:11.8pt;z-index:-251460608;" o:allowincell="f" fillcolor="#000000" filled="true" stroked="false" type="#_x0000_t136">
          <v:textpath style="font-family:&quot;FangSong&quot;;font-size:11.5;v-text-kern:t;mso-text-shadow:auto" string="20"/>
        </v:shape>
      </w:pict>
    </w:r>
    <w:r>
      <w:pict>
        <v:shape id="PowerPlusWaterMarkObject392" style="position:absolute;margin-left:63.1955pt;margin-top:278.838pt;mso-position-vertical-relative:page;mso-position-horizontal-relative:page;width:22.65pt;height:11.8pt;z-index:-251459584;" o:allowincell="f" fillcolor="#000000" filled="true" stroked="false" type="#_x0000_t136">
          <v:textpath style="font-family:&quot;FangSong&quot;;font-size:11.5;v-text-kern:t;mso-text-shadow:auto" string="算拨"/>
        </v:shape>
      </w:pict>
    </w:r>
    <w:r>
      <w:pict>
        <v:shape id="PowerPlusWaterMarkObject394" style="position:absolute;margin-left:-13.08pt;margin-top:288.105pt;mso-position-vertical-relative:page;mso-position-horizontal-relative:page;width:119.4pt;height:18.85pt;z-index:-251461632;rotation:330;" o:allowincell="f" fillcolor="#404040" filled="true" stroked="false" type="#_x0000_t136">
          <v:fill opacity="0.400000"/>
          <v:textpath style="font-family:&quot;STSong&quot;;font-size:20;v-text-kern:t;mso-text-shadow:auto" string="仅供内部审核"/>
        </v:shape>
      </w:pict>
    </w:r>
    <w:r>
      <w:pict>
        <v:shape id="PowerPlusWaterMarkObject396" style="position:absolute;margin-left:257.436pt;margin-top:284.408pt;mso-position-vertical-relative:page;mso-position-horizontal-relative:page;width:1.7pt;height:5.6pt;z-index:-251447296;" o:allowincell="f" fillcolor="#000000" filled="true" stroked="false" type="#_x0000_t136">
          <v:textpath style="font-family:&quot;FangSong&quot;;font-size:11.5;v-text-kern:t;mso-text-shadow:auto" string=";"/>
        </v:shape>
      </w:pict>
    </w:r>
    <w:r>
      <w:pict>
        <v:shape id="PowerPlusWaterMarkObject398" style="position:absolute;margin-left:487.581pt;margin-top:258.837pt;mso-position-vertical-relative:page;mso-position-horizontal-relative:page;width:22.6pt;height:11.8pt;z-index:-251455488;" o:allowincell="f" fillcolor="#000000" filled="true" stroked="false" type="#_x0000_t136">
          <v:textpath style="font-family:&quot;FangSong&quot;;font-size:11.5;v-text-kern:t;mso-text-shadow:auto" string="般公"/>
        </v:shape>
      </w:pict>
    </w:r>
    <w:r>
      <w:pict>
        <v:shape id="PowerPlusWaterMarkObject400" style="position:absolute;margin-left:452.007pt;margin-top:278.838pt;mso-position-vertical-relative:page;mso-position-horizontal-relative:page;width:34.45pt;height:11.8pt;z-index:-251457536;" o:allowincell="f" fillcolor="#000000" filled="true" stroked="false" type="#_x0000_t136">
          <v:textpath style="font-family:&quot;FangSong&quot;;font-size:11.5;v-text-kern:t;mso-text-shadow:auto" string="0%； 国"/>
        </v:shape>
      </w:pict>
    </w:r>
    <w:r>
      <w:pict>
        <v:shape id="PowerPlusWaterMarkObject402" style="position:absolute;margin-left:412.695pt;margin-top:299.38pt;mso-position-vertical-relative:page;mso-position-horizontal-relative:page;width:51.4pt;height:11.8pt;z-index:-251456512;" o:allowincell="f" fillcolor="#000000" filled="true" stroked="false" type="#_x0000_t136">
          <v:textpath style="font-family:&quot;FangSong&quot;;font-size:11.5;v-text-kern:t;mso-text-shadow:auto" string="单位资金0"/>
        </v:shape>
      </w:pict>
    </w:r>
    <w:r>
      <w:pict>
        <v:shape id="PowerPlusWaterMarkObject404" style="position:absolute;margin-left:391.92pt;margin-top:288.10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91.7539pt;margin-top:554.532pt;mso-position-vertical-relative:page;mso-position-horizontal-relative:page;width:42.4pt;height:11.8pt;z-index:-251452416;" o:allowincell="f" fillcolor="#000000" filled="true" stroked="false" type="#_x0000_t136">
          <v:textpath style="font-family:&quot;FangSong&quot;;font-size:11.5;v-text-kern:t;mso-text-shadow:auto" string="025年度"/>
        </v:shape>
      </w:pict>
    </w:r>
    <w:r>
      <w:pict>
        <v:shape id="PowerPlusWaterMarkObject408" style="position:absolute;margin-left:97.7031pt;margin-top:574.533pt;mso-position-vertical-relative:page;mso-position-horizontal-relative:page;width:5.1pt;height:11.8pt;z-index:-251453440;" o:allowincell="f" fillcolor="#000000" filled="true" stroked="false" type="#_x0000_t136">
          <v:textpath style="font-family:&quot;FangSong&quot;;font-size:11.5;v-text-kern:t;mso-text-shadow:auto" string="7"/>
        </v:shape>
      </w:pict>
    </w:r>
    <w:r>
      <w:pict>
        <v:shape id="PowerPlusWaterMarkObject410" style="position:absolute;margin-left:86.92pt;margin-top:532.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497.526pt;margin-top:554.532pt;mso-position-vertical-relative:page;mso-position-horizontal-relative:page;width:36.3pt;height:11.8pt;z-index:-251445248;" o:allowincell="f" fillcolor="#000000" filled="true" stroked="false" type="#_x0000_t136">
          <v:textpath style="font-family:&quot;FangSong&quot;;font-size:11.5;v-text-kern:t;mso-text-shadow:auto" string="本支出"/>
        </v:shape>
      </w:pict>
    </w:r>
    <w:r>
      <w:pict>
        <v:shape id="PowerPlusWaterMarkObject414" style="position:absolute;margin-left:491.92pt;margin-top:532.106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86.0353pt;margin-top:756.166pt;mso-position-vertical-relative:page;mso-position-horizontal-relative:page;width:424.5pt;height:11.8pt;z-index:-251448320;" o:allowincell="f" fillcolor="#000000" filled="true" stroked="false" type="#_x0000_t136">
          <v:textpath style="font-family:&quot;FangSong&quot;;font-size:11.5;v-text-kern:t;mso-text-shadow:auto" string="2025                                                              元 比上"/>
        </v:shape>
      </w:pict>
    </w:r>
    <w:r>
      <w:pict>
        <v:shape id="PowerPlusWaterMarkObject418" style="position:absolute;margin-left:63.1609pt;margin-top:776.167pt;mso-position-vertical-relative:page;mso-position-horizontal-relative:page;width:16.6pt;height:11.8pt;z-index:-251450368;" o:allowincell="f" fillcolor="#000000" filled="true" stroked="false" type="#_x0000_t136">
          <v:textpath style="font-family:&quot;FangSong&quot;;font-size:11.5;v-text-kern:t;mso-text-shadow:auto" string="加1"/>
        </v:shape>
      </w:pict>
    </w:r>
    <w:r>
      <w:pict>
        <v:shape id="PowerPlusWaterMarkObject420" style="position:absolute;margin-left:-13.08pt;margin-top:776.106pt;mso-position-vertical-relative:page;mso-position-horizontal-relative:page;width:119.4pt;height:18.85pt;z-index:-251451392;rotation:330;" o:allowincell="f" fillcolor="#404040" filled="true" stroked="false" type="#_x0000_t136">
          <v:fill opacity="0.400000"/>
          <v:textpath style="font-family:&quot;STSong&quot;;font-size:20;v-text-kern:t;mso-text-shadow:auto" string="仅供内部审核"/>
        </v:shape>
      </w:pict>
    </w:r>
    <w:r>
      <w:pict>
        <v:shape id="PowerPlusWaterMarkObject422"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_x0000_s424" style="position:absolute;margin-left:30pt;margin-top:29.5pt;mso-position-vertical-relative:page;mso-position-horizontal-relative:page;width:535pt;height:1pt;z-index:-2514442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26" style="position:absolute;margin-left:91.7539pt;margin-top:64.2303pt;mso-position-vertical-relative:page;mso-position-horizontal-relative:page;width:51.8pt;height:11.8pt;z-index:-251429888;" o:allowincell="f" fillcolor="#000000" filled="true" stroked="false" type="#_x0000_t136">
          <v:textpath style="font-family:&quot;FangSong&quot;;font-size:11.5;v-text-kern:t;mso-text-shadow:auto" string="025年度中"/>
        </v:shape>
      </w:pict>
    </w:r>
    <w:r>
      <w:pict>
        <v:shape id="PowerPlusWaterMarkObject428" style="position:absolute;margin-left:180.479pt;margin-top:509.123pt;mso-position-vertical-relative:page;mso-position-horizontal-relative:page;width:21.65pt;height:11.8pt;z-index:-251431936;" o:allowincell="f" fillcolor="#000000" filled="true" stroked="false" type="#_x0000_t136">
          <v:textpath style="font-family:&quot;FangSong&quot;;font-size:11.5;v-text-kern:t;mso-text-shadow:auto" string="； 公"/>
        </v:shape>
      </w:pict>
    </w:r>
    <w:r>
      <w:pict>
        <v:shape id="PowerPlusWaterMarkObject430" style="position:absolute;margin-left:138.229pt;margin-top:529.125pt;mso-position-vertical-relative:page;mso-position-horizontal-relative:page;width:45.3pt;height:11.8pt;z-index:-251430912;" o:allowincell="f" fillcolor="#000000" filled="true" stroked="false" type="#_x0000_t136">
          <v:textpath style="font-family:&quot;FangSong&quot;;font-size:11.5;v-text-kern:t;mso-text-shadow:auto" string="万元  与"/>
        </v:shape>
      </w:pict>
    </w:r>
    <w:r>
      <w:pict>
        <v:shape id="PowerPlusWaterMarkObject432" style="position:absolute;margin-left:63.1955pt;margin-top:758.328pt;mso-position-vertical-relative:page;mso-position-horizontal-relative:page;width:39.6pt;height:11.8pt;z-index:-251436032;" o:allowincell="f" fillcolor="#000000" filled="true" stroked="false" type="#_x0000_t136">
          <v:textpath style="font-family:&quot;FangSong&quot;;font-size:11.5;v-text-kern:t;mso-text-shadow:auto" string="少14 5%"/>
        </v:shape>
      </w:pict>
    </w:r>
    <w:r>
      <w:pict>
        <v:shape id="PowerPlusWaterMarkObject434" style="position:absolute;margin-left:86.92pt;margin-top:27.7862pt;mso-position-vertical-relative:text;mso-position-horizontal-relative:text;width:119.4pt;height:18.85pt;z-index:-251424768;rotation:330;" fillcolor="#404040" filled="true" stroked="false" type="#_x0000_t136">
          <v:fill opacity="0.400000"/>
          <v:textpath style="font-family:&quot;STSong&quot;;font-size:20;v-text-kern:t;mso-text-shadow:auto" string="仅供内部审核"/>
        </v:shape>
      </w:pict>
    </w:r>
    <w:r>
      <w:pict>
        <v:shape id="PowerPlusWaterMarkObject436" style="position:absolute;margin-left:-13.08pt;margin-top:288.105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PowerPlusWaterMarkObject438" style="position:absolute;margin-left:86.92pt;margin-top:532.106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40" style="position:absolute;margin-left:-13.08pt;margin-top:776.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42" style="position:absolute;margin-left:488.386pt;margin-top:64.2303pt;mso-position-vertical-relative:page;mso-position-horizontal-relative:page;width:45.45pt;height:11.8pt;z-index:-251426816;" o:allowincell="f" fillcolor="#000000" filled="true" stroked="false" type="#_x0000_t136">
          <v:textpath style="font-family:&quot;FangSong&quot;;font-size:11.5;v-text-kern:t;mso-text-shadow:auto" string="主要用于"/>
        </v:shape>
      </w:pict>
    </w:r>
    <w:r>
      <w:pict>
        <v:shape id="PowerPlusWaterMarkObject444" style="position:absolute;margin-left:493.737pt;margin-top:84.2316pt;mso-position-vertical-relative:page;mso-position-horizontal-relative:page;width:4.55pt;height:11.8pt;z-index:-251425792;" o:allowincell="f" fillcolor="#000000" filled="true" stroked="false" type="#_x0000_t136">
          <v:textpath style="font-family:&quot;FangSong&quot;;font-size:11.5;v-text-kern:t;mso-text-shadow:auto" string="1"/>
        </v:shape>
      </w:pict>
    </w:r>
    <w:r>
      <w:pict>
        <v:shape id="PowerPlusWaterMarkObject446" style="position:absolute;margin-left:405.634pt;margin-top:306.948pt;mso-position-vertical-relative:page;mso-position-horizontal-relative:page;width:52.05pt;height:11.8pt;z-index:-251439104;" o:allowincell="f" fillcolor="#000000" filled="true" stroked="false" type="#_x0000_t136">
          <v:textpath style="font-family:&quot;FangSong&quot;;font-size:11.5;v-text-kern:t;mso-text-shadow:auto" string="本支出1 4"/>
        </v:shape>
      </w:pict>
    </w:r>
    <w:r>
      <w:pict>
        <v:shape id="PowerPlusWaterMarkObject448" style="position:absolute;margin-left:461.872pt;margin-top:758.328pt;mso-position-vertical-relative:page;mso-position-horizontal-relative:page;width:9.9pt;height:11.8pt;z-index:-251433984;" o:allowincell="f" fillcolor="#000000" filled="true" stroked="false" type="#_x0000_t136">
          <v:textpath style="font-family:&quot;FangSong&quot;;font-size:11.5;v-text-kern:t;mso-text-shadow:auto" string="员"/>
        </v:shape>
      </w:pict>
    </w:r>
    <w:r>
      <w:pict>
        <v:shape id="PowerPlusWaterMarkObject450" style="position:absolute;margin-left:491.92pt;margin-top:44.1055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452" style="position:absolute;margin-left:391.92pt;margin-top:288.105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54" style="position:absolute;margin-left:491.92pt;margin-top:532.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56"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_x0000_s458" style="position:absolute;margin-left:30pt;margin-top:29.5pt;mso-position-vertical-relative:page;mso-position-horizontal-relative:page;width:535pt;height:1pt;z-index:-2514288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60" style="position:absolute;margin-left:91.7539pt;margin-top:64.2303pt;mso-position-vertical-relative:page;mso-position-horizontal-relative:page;width:442.1pt;height:11.8pt;z-index:-251415552;" o:allowincell="f" fillcolor="#000000" filled="true" stroked="false" type="#_x0000_t136">
          <v:textpath style="font-family:&quot;FangSong&quot;;font-size:11.5;v-text-kern:t;mso-text-shadow:auto" string="025年中国                                                           府采购货"/>
        </v:shape>
      </w:pict>
    </w:r>
    <w:r>
      <w:pict>
        <v:shape id="PowerPlusWaterMarkObject462" style="position:absolute;margin-left:98.2796pt;margin-top:84.2316pt;mso-position-vertical-relative:page;mso-position-horizontal-relative:page;width:10.3pt;height:11.8pt;z-index:-251414528;" o:allowincell="f" fillcolor="#000000" filled="true" stroked="false" type="#_x0000_t136">
          <v:textpath style="font-family:&quot;FangSong&quot;;font-size:11.5;v-text-kern:t;mso-text-shadow:auto" string="16"/>
        </v:shape>
      </w:pict>
    </w:r>
    <w:r>
      <w:pict>
        <v:shape id="PowerPlusWaterMarkObject464" style="position:absolute;margin-left:86.92pt;margin-top:27.7862pt;mso-position-vertical-relative:text;mso-position-horizontal-relative:text;width:119.4pt;height:18.85pt;z-index:-251411456;rotation:330;" fillcolor="#404040" filled="true" stroked="false" type="#_x0000_t136">
          <v:fill opacity="0.400000"/>
          <v:textpath style="font-family:&quot;STSong&quot;;font-size:20;v-text-kern:t;mso-text-shadow:auto" string="仅供内部审核"/>
        </v:shape>
      </w:pict>
    </w:r>
    <w:r>
      <w:pict>
        <v:shape id="PowerPlusWaterMarkObject466" style="position:absolute;margin-left:491.92pt;margin-top:44.1055pt;mso-position-vertical-relative:page;mso-position-horizontal-relative:page;width:119.4pt;height:18.85pt;z-index:-251412480;rotation:330;" o:allowincell="f" fillcolor="#404040" filled="true" stroked="false" type="#_x0000_t136">
          <v:fill opacity="0.400000"/>
          <v:textpath style="font-family:&quot;STSong&quot;;font-size:20;v-text-kern:t;mso-text-shadow:auto" string="仅供内部审核"/>
        </v:shape>
      </w:pict>
    </w:r>
    <w:r>
      <w:pict>
        <v:shape id="PowerPlusWaterMarkObject468" style="position:absolute;margin-left:63.1609pt;margin-top:265.865pt;mso-position-vertical-relative:page;mso-position-horizontal-relative:page;width:447.4pt;height:11.8pt;z-index:-251420672;" o:allowincell="f" fillcolor="#000000" filled="true" stroked="false" type="#_x0000_t136">
          <v:textpath style="font-family:&quot;FangSong&quot;;font-size:11.5;v-text-kern:t;mso-text-shadow:auto" string="额的100%                                            ；                    涉及"/>
        </v:shape>
      </w:pict>
    </w:r>
    <w:r>
      <w:pict>
        <v:shape id="PowerPlusWaterMarkObject470" style="position:absolute;margin-left:63.1955pt;margin-top:286.407pt;mso-position-vertical-relative:page;mso-position-horizontal-relative:page;width:22.3pt;height:11.8pt;z-index:-251422720;" o:allowincell="f" fillcolor="#000000" filled="true" stroked="false" type="#_x0000_t136">
          <v:textpath style="font-family:&quot;FangSong&quot;;font-size:11.5;v-text-kern:t;mso-text-shadow:auto" string="金额"/>
        </v:shape>
      </w:pict>
    </w:r>
    <w:r>
      <w:pict>
        <v:shape id="PowerPlusWaterMarkObject472" style="position:absolute;margin-left:-13.08pt;margin-top:288.105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474" style="position:absolute;margin-left:391.92pt;margin-top:288.105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476" style="position:absolute;margin-left:86.92pt;margin-top:532.106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PowerPlusWaterMarkObject478" style="position:absolute;margin-left:491.92pt;margin-top:532.106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480" style="position:absolute;margin-left:-13.08pt;margin-top:776.106pt;mso-position-vertical-relative:page;mso-position-horizontal-relative:page;width:119.4pt;height:18.85pt;z-index:-251416576;rotation:330;" o:allowincell="f" fillcolor="#404040" filled="true" stroked="false" type="#_x0000_t136">
          <v:fill opacity="0.400000"/>
          <v:textpath style="font-family:&quot;STSong&quot;;font-size:20;v-text-kern:t;mso-text-shadow:auto" string="仅供内部审核"/>
        </v:shape>
      </w:pict>
    </w:r>
    <w:r>
      <w:pict>
        <v:shape id="PowerPlusWaterMarkObject482" style="position:absolute;margin-left:391.92pt;margin-top:776.106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_x0000_s484" style="position:absolute;margin-left:30pt;margin-top:29.5pt;mso-position-vertical-relative:page;mso-position-horizontal-relative:page;width:535pt;height:1pt;z-index:-251413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86" style="position:absolute;margin-left:86.92pt;margin-top:27.7862pt;mso-position-vertical-relative:text;mso-position-horizontal-relative:text;width:119.4pt;height:18.85pt;z-index:-251407360;rotation:330;" fillcolor="#404040" filled="true" stroked="false" type="#_x0000_t136">
          <v:fill opacity="0.400000"/>
          <v:textpath style="font-family:&quot;STSong&quot;;font-size:20;v-text-kern:t;mso-text-shadow:auto" string="仅供内部审核"/>
        </v:shape>
      </w:pict>
    </w:r>
    <w:r>
      <w:pict>
        <v:shape id="PowerPlusWaterMarkObject488" style="position:absolute;margin-left:-13.08pt;margin-top:776.106pt;mso-position-vertical-relative:page;mso-position-horizontal-relative:page;width:119.4pt;height:18.85pt;z-index:-251409408;rotation:330;" o:allowincell="f" fillcolor="#404040" filled="true" stroked="false" type="#_x0000_t136">
          <v:fill opacity="0.400000"/>
          <v:textpath style="font-family:&quot;STSong&quot;;font-size:20;v-text-kern:t;mso-text-shadow:auto" string="仅供内部审核"/>
        </v:shape>
      </w:pict>
    </w:r>
    <w:r>
      <w:pict>
        <v:shape id="PowerPlusWaterMarkObject490" style="position:absolute;margin-left:391.92pt;margin-top:776.106pt;mso-position-vertical-relative:page;mso-position-horizontal-relative:page;width:119.4pt;height:18.85pt;z-index:-251410432;rotation:330;" o:allowincell="f" fillcolor="#404040" filled="true" stroked="false" type="#_x0000_t136">
          <v:fill opacity="0.400000"/>
          <v:textpath style="font-family:&quot;STSong&quot;;font-size:20;v-text-kern:t;mso-text-shadow:auto" string="仅供内部审核"/>
        </v:shape>
      </w:pict>
    </w:r>
    <w:r>
      <w:pict>
        <v:shape id="_x0000_s492" style="position:absolute;margin-left:30pt;margin-top:29.5pt;mso-position-vertical-relative:page;mso-position-horizontal-relative:page;width:535pt;height:1pt;z-index:-2514083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04" style="position:absolute;margin-left:86.92pt;margin-top:27.7862pt;mso-position-vertical-relative:text;mso-position-horizontal-relative:text;width:119.4pt;height:18.85pt;z-index:-251401216;rotation:330;" fillcolor="#404040" filled="true" stroked="false" type="#_x0000_t136">
          <v:fill opacity="0.400000"/>
          <v:textpath style="font-family:&quot;STSong&quot;;font-size:20;v-text-kern:t;mso-text-shadow:auto" string="仅供内部审核"/>
        </v:shape>
      </w:pict>
    </w:r>
    <w:r>
      <w:pict>
        <v:shape id="PowerPlusWaterMarkObject506" style="position:absolute;margin-left:491.92pt;margin-top:44.1055pt;mso-position-vertical-relative:page;mso-position-horizontal-relative:page;width:119.4pt;height:18.85pt;z-index:-251402240;rotation:330;" o:allowincell="f" fillcolor="#404040" filled="true" stroked="false" type="#_x0000_t136">
          <v:fill opacity="0.400000"/>
          <v:textpath style="font-family:&quot;STSong&quot;;font-size:20;v-text-kern:t;mso-text-shadow:auto" string="仅供内部审核"/>
        </v:shape>
      </w:pict>
    </w:r>
    <w:r>
      <w:pict>
        <v:shape id="PowerPlusWaterMarkObject508" style="position:absolute;margin-left:-13.08pt;margin-top:776.106pt;mso-position-vertical-relative:page;mso-position-horizontal-relative:page;width:119.4pt;height:18.85pt;z-index:-251404288;rotation:330;" o:allowincell="f" fillcolor="#404040" filled="true" stroked="false" type="#_x0000_t136">
          <v:fill opacity="0.400000"/>
          <v:textpath style="font-family:&quot;STSong&quot;;font-size:20;v-text-kern:t;mso-text-shadow:auto" string="仅供内部审核"/>
        </v:shape>
      </w:pict>
    </w:r>
    <w:r>
      <w:pict>
        <v:shape id="PowerPlusWaterMarkObject510" style="position:absolute;margin-left:491.92pt;margin-top:532.106pt;mso-position-vertical-relative:page;mso-position-horizontal-relative:page;width:119.4pt;height:18.85pt;z-index:-251406336;rotation:330;" o:allowincell="f" fillcolor="#404040" filled="true" stroked="false" type="#_x0000_t136">
          <v:fill opacity="0.400000"/>
          <v:textpath style="font-family:&quot;STSong&quot;;font-size:20;v-text-kern:t;mso-text-shadow:auto" string="仅供内部审核"/>
        </v:shape>
      </w:pict>
    </w:r>
    <w:r>
      <w:pict>
        <v:shape id="PowerPlusWaterMarkObject512" style="position:absolute;margin-left:391.92pt;margin-top:776.106pt;mso-position-vertical-relative:page;mso-position-horizontal-relative:page;width:119.4pt;height:18.85pt;z-index:-251405312;rotation:330;" o:allowincell="f" fillcolor="#404040" filled="true" stroked="false" type="#_x0000_t136">
          <v:fill opacity="0.400000"/>
          <v:textpath style="font-family:&quot;STSong&quot;;font-size:20;v-text-kern:t;mso-text-shadow:auto" string="仅供内部审核"/>
        </v:shape>
      </w:pict>
    </w:r>
    <w:r>
      <w:pict>
        <v:shape id="_x0000_s514" style="position:absolute;margin-left:30pt;margin-top:29.5pt;mso-position-vertical-relative:page;mso-position-horizontal-relative:page;width:535pt;height:1pt;z-index:-2514032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72" style="position:absolute;margin-left:86.92pt;margin-top:27.7862pt;mso-position-vertical-relative:text;mso-position-horizontal-relative:text;width:119.4pt;height:18.85pt;z-index:-251392000;rotation:330;" fillcolor="#404040" filled="true" stroked="false" type="#_x0000_t136">
          <v:fill opacity="0.400000"/>
          <v:textpath style="font-family:&quot;STSong&quot;;font-size:20;v-text-kern:t;mso-text-shadow:auto" string="仅供内部审核"/>
        </v:shape>
      </w:pict>
    </w:r>
    <w:r>
      <w:pict>
        <v:shape id="PowerPlusWaterMarkObject574" style="position:absolute;margin-left:-13.08pt;margin-top:288.105pt;mso-position-vertical-relative:page;mso-position-horizontal-relative:page;width:119.4pt;height:18.85pt;z-index:-251395072;rotation:330;" o:allowincell="f" fillcolor="#404040" filled="true" stroked="false" type="#_x0000_t136">
          <v:fill opacity="0.400000"/>
          <v:textpath style="font-family:&quot;STSong&quot;;font-size:20;v-text-kern:t;mso-text-shadow:auto" string="仅供内部审核"/>
        </v:shape>
      </w:pict>
    </w:r>
    <w:r>
      <w:pict>
        <v:shape id="PowerPlusWaterMarkObject576" style="position:absolute;margin-left:491.92pt;margin-top:44.1055pt;mso-position-vertical-relative:page;mso-position-horizontal-relative:page;width:119.4pt;height:18.85pt;z-index:-251393024;rotation:330;" o:allowincell="f" fillcolor="#404040" filled="true" stroked="false" type="#_x0000_t136">
          <v:fill opacity="0.400000"/>
          <v:textpath style="font-family:&quot;STSong&quot;;font-size:20;v-text-kern:t;mso-text-shadow:auto" string="仅供内部审核"/>
        </v:shape>
      </w:pict>
    </w:r>
    <w:r>
      <w:pict>
        <v:shape id="PowerPlusWaterMarkObject578" style="position:absolute;margin-left:391.92pt;margin-top:288.105pt;mso-position-vertical-relative:page;mso-position-horizontal-relative:page;width:119.4pt;height:18.85pt;z-index:-251396096;rotation:330;" o:allowincell="f" fillcolor="#404040" filled="true" stroked="false" type="#_x0000_t136">
          <v:fill opacity="0.400000"/>
          <v:textpath style="font-family:&quot;STSong&quot;;font-size:20;v-text-kern:t;mso-text-shadow:auto" string="仅供内部审核"/>
        </v:shape>
      </w:pict>
    </w:r>
    <w:r>
      <w:pict>
        <v:shape id="PowerPlusWaterMarkObject580" style="position:absolute;margin-left:86.92pt;margin-top:532.106pt;mso-position-vertical-relative:page;mso-position-horizontal-relative:page;width:119.4pt;height:18.85pt;z-index:-251399168;rotation:330;" o:allowincell="f" fillcolor="#404040" filled="true" stroked="false" type="#_x0000_t136">
          <v:fill opacity="0.400000"/>
          <v:textpath style="font-family:&quot;STSong&quot;;font-size:20;v-text-kern:t;mso-text-shadow:auto" string="仅供内部审核"/>
        </v:shape>
      </w:pict>
    </w:r>
    <w:r>
      <w:pict>
        <v:shape id="PowerPlusWaterMarkObject582" style="position:absolute;margin-left:-13.08pt;margin-top:776.106pt;mso-position-vertical-relative:page;mso-position-horizontal-relative:page;width:119.4pt;height:18.85pt;z-index:-251397120;rotation:330;" o:allowincell="f" fillcolor="#404040" filled="true" stroked="false" type="#_x0000_t136">
          <v:fill opacity="0.400000"/>
          <v:textpath style="font-family:&quot;STSong&quot;;font-size:20;v-text-kern:t;mso-text-shadow:auto" string="仅供内部审核"/>
        </v:shape>
      </w:pict>
    </w:r>
    <w:r>
      <w:pict>
        <v:shape id="PowerPlusWaterMarkObject584" style="position:absolute;margin-left:491.92pt;margin-top:532.106pt;mso-position-vertical-relative:page;mso-position-horizontal-relative:page;width:119.4pt;height:18.85pt;z-index:-251400192;rotation:330;" o:allowincell="f" fillcolor="#404040" filled="true" stroked="false" type="#_x0000_t136">
          <v:fill opacity="0.400000"/>
          <v:textpath style="font-family:&quot;STSong&quot;;font-size:20;v-text-kern:t;mso-text-shadow:auto" string="仅供内部审核"/>
        </v:shape>
      </w:pict>
    </w:r>
    <w:r>
      <w:pict>
        <v:shape id="PowerPlusWaterMarkObject586" style="position:absolute;margin-left:391.92pt;margin-top:776.106pt;mso-position-vertical-relative:page;mso-position-horizontal-relative:page;width:119.4pt;height:18.85pt;z-index:-251398144;rotation:330;" o:allowincell="f" fillcolor="#404040" filled="true" stroked="false" type="#_x0000_t136">
          <v:fill opacity="0.400000"/>
          <v:textpath style="font-family:&quot;STSong&quot;;font-size:20;v-text-kern:t;mso-text-shadow:auto" string="仅供内部审核"/>
        </v:shape>
      </w:pict>
    </w:r>
    <w:r>
      <w:pict>
        <v:shape id="_x0000_s588" style="position:absolute;margin-left:30pt;margin-top:29.5pt;mso-position-vertical-relative:page;mso-position-horizontal-relative:page;width:535pt;height:1pt;z-index:-2513940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610" style="position:absolute;margin-left:86.92pt;margin-top:27.7862pt;mso-position-vertical-relative:text;mso-position-horizontal-relative:text;width:119.4pt;height:18.85pt;z-index:-251382784;rotation:330;" fillcolor="#404040" filled="true" stroked="false" type="#_x0000_t136">
          <v:fill opacity="0.400000"/>
          <v:textpath style="font-family:&quot;STSong&quot;;font-size:20;v-text-kern:t;mso-text-shadow:auto" string="仅供内部审核"/>
        </v:shape>
      </w:pict>
    </w:r>
    <w:r>
      <w:pict>
        <v:shape id="PowerPlusWaterMarkObject612" style="position:absolute;margin-left:-13.08pt;margin-top:288.105pt;mso-position-vertical-relative:page;mso-position-horizontal-relative:page;width:119.4pt;height:18.85pt;z-index:-251390976;rotation:330;" o:allowincell="f" fillcolor="#404040" filled="true" stroked="false" type="#_x0000_t136">
          <v:fill opacity="0.400000"/>
          <v:textpath style="font-family:&quot;STSong&quot;;font-size:20;v-text-kern:t;mso-text-shadow:auto" string="仅供内部审核"/>
        </v:shape>
      </w:pict>
    </w:r>
    <w:r>
      <w:pict>
        <v:shape id="PowerPlusWaterMarkObject614" style="position:absolute;margin-left:491.92pt;margin-top:44.1055pt;mso-position-vertical-relative:page;mso-position-horizontal-relative:page;width:119.4pt;height:18.85pt;z-index:-251383808;rotation:330;" o:allowincell="f" fillcolor="#404040" filled="true" stroked="false" type="#_x0000_t136">
          <v:fill opacity="0.400000"/>
          <v:textpath style="font-family:&quot;STSong&quot;;font-size:20;v-text-kern:t;mso-text-shadow:auto" string="仅供内部审核"/>
        </v:shape>
      </w:pict>
    </w:r>
    <w:r>
      <w:pict>
        <v:shape id="PowerPlusWaterMarkObject616" style="position:absolute;margin-left:391.92pt;margin-top:288.105pt;mso-position-vertical-relative:page;mso-position-horizontal-relative:page;width:119.4pt;height:18.85pt;z-index:-251389952;rotation:330;" o:allowincell="f" fillcolor="#404040" filled="true" stroked="false" type="#_x0000_t136">
          <v:fill opacity="0.400000"/>
          <v:textpath style="font-family:&quot;STSong&quot;;font-size:20;v-text-kern:t;mso-text-shadow:auto" string="仅供内部审核"/>
        </v:shape>
      </w:pict>
    </w:r>
    <w:r>
      <w:pict>
        <v:shape id="PowerPlusWaterMarkObject618" style="position:absolute;margin-left:86.92pt;margin-top:532.106pt;mso-position-vertical-relative:page;mso-position-horizontal-relative:page;width:119.4pt;height:18.85pt;z-index:-251387904;rotation:330;" o:allowincell="f" fillcolor="#404040" filled="true" stroked="false" type="#_x0000_t136">
          <v:fill opacity="0.400000"/>
          <v:textpath style="font-family:&quot;STSong&quot;;font-size:20;v-text-kern:t;mso-text-shadow:auto" string="仅供内部审核"/>
        </v:shape>
      </w:pict>
    </w:r>
    <w:r>
      <w:pict>
        <v:shape id="PowerPlusWaterMarkObject620" style="position:absolute;margin-left:-13.08pt;margin-top:776.106pt;mso-position-vertical-relative:page;mso-position-horizontal-relative:page;width:119.4pt;height:18.85pt;z-index:-251385856;rotation:330;" o:allowincell="f" fillcolor="#404040" filled="true" stroked="false" type="#_x0000_t136">
          <v:fill opacity="0.400000"/>
          <v:textpath style="font-family:&quot;STSong&quot;;font-size:20;v-text-kern:t;mso-text-shadow:auto" string="仅供内部审核"/>
        </v:shape>
      </w:pict>
    </w:r>
    <w:r>
      <w:pict>
        <v:shape id="PowerPlusWaterMarkObject622" style="position:absolute;margin-left:491.92pt;margin-top:532.106pt;mso-position-vertical-relative:page;mso-position-horizontal-relative:page;width:119.4pt;height:18.85pt;z-index:-251388928;rotation:330;" o:allowincell="f" fillcolor="#404040" filled="true" stroked="false" type="#_x0000_t136">
          <v:fill opacity="0.400000"/>
          <v:textpath style="font-family:&quot;STSong&quot;;font-size:20;v-text-kern:t;mso-text-shadow:auto" string="仅供内部审核"/>
        </v:shape>
      </w:pict>
    </w:r>
    <w:r>
      <w:pict>
        <v:shape id="PowerPlusWaterMarkObject624" style="position:absolute;margin-left:391.92pt;margin-top:776.106pt;mso-position-vertical-relative:page;mso-position-horizontal-relative:page;width:119.4pt;height:18.85pt;z-index:-251386880;rotation:330;" o:allowincell="f" fillcolor="#404040" filled="true" stroked="false" type="#_x0000_t136">
          <v:fill opacity="0.400000"/>
          <v:textpath style="font-family:&quot;STSong&quot;;font-size:20;v-text-kern:t;mso-text-shadow:auto" string="仅供内部审核"/>
        </v:shape>
      </w:pict>
    </w:r>
    <w:r>
      <w:pict>
        <v:shape id="_x0000_s626" style="position:absolute;margin-left:30pt;margin-top:29.5pt;mso-position-vertical-relative:page;mso-position-horizontal-relative:page;width:535pt;height:1pt;z-index:-2513848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628" style="position:absolute;margin-left:86.92pt;margin-top:27.7862pt;mso-position-vertical-relative:text;mso-position-horizontal-relative:text;width:119.4pt;height:18.85pt;z-index:-251373568;rotation:330;" fillcolor="#404040" filled="true" stroked="false" type="#_x0000_t136">
          <v:fill opacity="0.400000"/>
          <v:textpath style="font-family:&quot;STSong&quot;;font-size:20;v-text-kern:t;mso-text-shadow:auto" string="仅供内部审核"/>
        </v:shape>
      </w:pict>
    </w:r>
    <w:r>
      <w:pict>
        <v:shape id="PowerPlusWaterMarkObject630" style="position:absolute;margin-left:-13.08pt;margin-top:288.105pt;mso-position-vertical-relative:page;mso-position-horizontal-relative:page;width:119.4pt;height:18.85pt;z-index:-251380736;rotation:330;" o:allowincell="f" fillcolor="#404040" filled="true" stroked="false" type="#_x0000_t136">
          <v:fill opacity="0.400000"/>
          <v:textpath style="font-family:&quot;STSong&quot;;font-size:20;v-text-kern:t;mso-text-shadow:auto" string="仅供内部审核"/>
        </v:shape>
      </w:pict>
    </w:r>
    <w:r>
      <w:pict>
        <v:shape id="PowerPlusWaterMarkObject632" style="position:absolute;margin-left:491.92pt;margin-top:44.1055pt;mso-position-vertical-relative:page;mso-position-horizontal-relative:page;width:119.4pt;height:18.85pt;z-index:-251374592;rotation:330;" o:allowincell="f" fillcolor="#404040" filled="true" stroked="false" type="#_x0000_t136">
          <v:fill opacity="0.400000"/>
          <v:textpath style="font-family:&quot;STSong&quot;;font-size:20;v-text-kern:t;mso-text-shadow:auto" string="仅供内部审核"/>
        </v:shape>
      </w:pict>
    </w:r>
    <w:r>
      <w:pict>
        <v:shape id="PowerPlusWaterMarkObject634" style="position:absolute;margin-left:391.92pt;margin-top:288.105pt;mso-position-vertical-relative:page;mso-position-horizontal-relative:page;width:119.4pt;height:18.85pt;z-index:-251381760;rotation:330;" o:allowincell="f" fillcolor="#404040" filled="true" stroked="false" type="#_x0000_t136">
          <v:fill opacity="0.400000"/>
          <v:textpath style="font-family:&quot;STSong&quot;;font-size:20;v-text-kern:t;mso-text-shadow:auto" string="仅供内部审核"/>
        </v:shape>
      </w:pict>
    </w:r>
    <w:r>
      <w:pict>
        <v:shape id="PowerPlusWaterMarkObject636" style="position:absolute;margin-left:86.92pt;margin-top:532.106pt;mso-position-vertical-relative:page;mso-position-horizontal-relative:page;width:119.4pt;height:18.85pt;z-index:-251379712;rotation:330;" o:allowincell="f" fillcolor="#404040" filled="true" stroked="false" type="#_x0000_t136">
          <v:fill opacity="0.400000"/>
          <v:textpath style="font-family:&quot;STSong&quot;;font-size:20;v-text-kern:t;mso-text-shadow:auto" string="仅供内部审核"/>
        </v:shape>
      </w:pict>
    </w:r>
    <w:r>
      <w:pict>
        <v:shape id="PowerPlusWaterMarkObject638" style="position:absolute;margin-left:-13.08pt;margin-top:776.106pt;mso-position-vertical-relative:page;mso-position-horizontal-relative:page;width:119.4pt;height:18.85pt;z-index:-251376640;rotation:330;" o:allowincell="f" fillcolor="#404040" filled="true" stroked="false" type="#_x0000_t136">
          <v:fill opacity="0.400000"/>
          <v:textpath style="font-family:&quot;STSong&quot;;font-size:20;v-text-kern:t;mso-text-shadow:auto" string="仅供内部审核"/>
        </v:shape>
      </w:pict>
    </w:r>
    <w:r>
      <w:pict>
        <v:shape id="PowerPlusWaterMarkObject640" style="position:absolute;margin-left:491.92pt;margin-top:532.106pt;mso-position-vertical-relative:page;mso-position-horizontal-relative:page;width:119.4pt;height:18.85pt;z-index:-251378688;rotation:330;" o:allowincell="f" fillcolor="#404040" filled="true" stroked="false" type="#_x0000_t136">
          <v:fill opacity="0.400000"/>
          <v:textpath style="font-family:&quot;STSong&quot;;font-size:20;v-text-kern:t;mso-text-shadow:auto" string="仅供内部审核"/>
        </v:shape>
      </w:pict>
    </w:r>
    <w:r>
      <w:pict>
        <v:shape id="PowerPlusWaterMarkObject642" style="position:absolute;margin-left:391.92pt;margin-top:776.106pt;mso-position-vertical-relative:page;mso-position-horizontal-relative:page;width:119.4pt;height:18.85pt;z-index:-251377664;rotation:330;" o:allowincell="f" fillcolor="#404040" filled="true" stroked="false" type="#_x0000_t136">
          <v:fill opacity="0.400000"/>
          <v:textpath style="font-family:&quot;STSong&quot;;font-size:20;v-text-kern:t;mso-text-shadow:auto" string="仅供内部审核"/>
        </v:shape>
      </w:pict>
    </w:r>
    <w:r>
      <w:pict>
        <v:shape id="_x0000_s644" style="position:absolute;margin-left:30pt;margin-top:29.5pt;mso-position-vertical-relative:page;mso-position-horizontal-relative:page;width:535pt;height:1pt;z-index:-2513756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29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中国共产党兴县纪律检查委员会2025年部门预算公开报告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36"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WordPictureWatermark142" style="position:absolute;margin-left:395.367pt;margin-top:259.52pt;mso-position-vertical-relative:page;mso-position-horizontal-relative:page;width:112.65pt;height:75.9pt;z-index:-251588608;" o:allowincell="f" filled="false" stroked="false" type="#_x0000_t75">
          <v:imagedata o:title="" r:id="rId1"/>
        </v:shape>
      </w:pict>
    </w:r>
    <w:r>
      <w:pict>
        <v:shape id="PowerPlusWaterMarkObject144"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6" Type="http://schemas.openxmlformats.org/officeDocument/2006/relationships/fontTable" Target="fontTable.xml"/><Relationship Id="rId75" Type="http://schemas.openxmlformats.org/officeDocument/2006/relationships/styles" Target="styles.xml"/><Relationship Id="rId74" Type="http://schemas.openxmlformats.org/officeDocument/2006/relationships/settings" Target="settings.xml"/><Relationship Id="rId73" Type="http://schemas.openxmlformats.org/officeDocument/2006/relationships/footer" Target="footer32.xml"/><Relationship Id="rId72" Type="http://schemas.openxmlformats.org/officeDocument/2006/relationships/header" Target="header27.xml"/><Relationship Id="rId71" Type="http://schemas.openxmlformats.org/officeDocument/2006/relationships/image" Target="media/image15.png"/><Relationship Id="rId70" Type="http://schemas.openxmlformats.org/officeDocument/2006/relationships/footer" Target="footer31.xml"/><Relationship Id="rId7" Type="http://schemas.openxmlformats.org/officeDocument/2006/relationships/header" Target="header5.xml"/><Relationship Id="rId69" Type="http://schemas.openxmlformats.org/officeDocument/2006/relationships/footer" Target="footer30.xml"/><Relationship Id="rId68" Type="http://schemas.openxmlformats.org/officeDocument/2006/relationships/header" Target="header26.xml"/><Relationship Id="rId67" Type="http://schemas.openxmlformats.org/officeDocument/2006/relationships/image" Target="media/image14.png"/><Relationship Id="rId66" Type="http://schemas.openxmlformats.org/officeDocument/2006/relationships/footer" Target="footer29.xml"/><Relationship Id="rId65" Type="http://schemas.openxmlformats.org/officeDocument/2006/relationships/image" Target="media/image13.jpeg"/><Relationship Id="rId64" Type="http://schemas.openxmlformats.org/officeDocument/2006/relationships/footer" Target="footer28.xml"/><Relationship Id="rId63" Type="http://schemas.openxmlformats.org/officeDocument/2006/relationships/footer" Target="footer27.xml"/><Relationship Id="rId62" Type="http://schemas.openxmlformats.org/officeDocument/2006/relationships/header" Target="header25.xml"/><Relationship Id="rId61" Type="http://schemas.openxmlformats.org/officeDocument/2006/relationships/image" Target="media/image12.png"/><Relationship Id="rId60" Type="http://schemas.openxmlformats.org/officeDocument/2006/relationships/footer" Target="footer26.xml"/><Relationship Id="rId6" Type="http://schemas.openxmlformats.org/officeDocument/2006/relationships/footer" Target="footer1.xml"/><Relationship Id="rId59" Type="http://schemas.openxmlformats.org/officeDocument/2006/relationships/image" Target="media/image11.png"/><Relationship Id="rId58" Type="http://schemas.openxmlformats.org/officeDocument/2006/relationships/footer" Target="footer25.xml"/><Relationship Id="rId57" Type="http://schemas.openxmlformats.org/officeDocument/2006/relationships/image" Target="media/image10.png"/><Relationship Id="rId56" Type="http://schemas.openxmlformats.org/officeDocument/2006/relationships/footer" Target="footer24.xml"/><Relationship Id="rId55" Type="http://schemas.openxmlformats.org/officeDocument/2006/relationships/image" Target="media/image9.png"/><Relationship Id="rId54" Type="http://schemas.openxmlformats.org/officeDocument/2006/relationships/footer" Target="footer23.xml"/><Relationship Id="rId53" Type="http://schemas.openxmlformats.org/officeDocument/2006/relationships/image" Target="media/image8.jpeg"/><Relationship Id="rId52" Type="http://schemas.openxmlformats.org/officeDocument/2006/relationships/footer" Target="footer22.xml"/><Relationship Id="rId51" Type="http://schemas.openxmlformats.org/officeDocument/2006/relationships/image" Target="media/image7.png"/><Relationship Id="rId50" Type="http://schemas.openxmlformats.org/officeDocument/2006/relationships/footer" Target="footer21.xml"/><Relationship Id="rId5" Type="http://schemas.openxmlformats.org/officeDocument/2006/relationships/header" Target="header4.xml"/><Relationship Id="rId49" Type="http://schemas.openxmlformats.org/officeDocument/2006/relationships/header" Target="header24.xml"/><Relationship Id="rId48" Type="http://schemas.openxmlformats.org/officeDocument/2006/relationships/image" Target="media/image6.png"/><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3.xml"/><Relationship Id="rId39" Type="http://schemas.openxmlformats.org/officeDocument/2006/relationships/image" Target="media/image3.png"/><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2025-09-25T10:33:40Z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2025-09-26T16:34:36</vt:filetime>
  </property>
</Properties>
</file>