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兴县项目推进中心项目支出绩效自评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val="0"/>
          <w:bCs w:val="0"/>
          <w:sz w:val="32"/>
          <w:szCs w:val="24"/>
          <w:lang w:val="en-US" w:eastAsia="zh-CN"/>
        </w:rPr>
        <w:t>根据兴县财政局《关于开展2021年度预算项目支出绩效评价和部门整体支出绩效评价工作的通知》（兴财绩〔2021〕1122号）要求，我中心对中润轻合金项目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中润公司轻合金项目供水供电及兴县北站供气工程项目建设：2021年内编制完成该项目，编制工程建设费为70万元。</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项目立项依据</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①忻黑线二期立项批准文号：兴发改审发【2019】16号</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sz w:val="32"/>
          <w:szCs w:val="32"/>
          <w:lang w:val="en-US" w:eastAsia="zh-CN"/>
        </w:rPr>
        <w:t>②川口-北会线10kv立项批准文号：兴发改发【2016】172号。</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项目实施情况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640" w:firstLineChars="200"/>
        <w:jc w:val="both"/>
        <w:textAlignment w:val="auto"/>
        <w:rPr>
          <w:rFonts w:hint="default"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已完工</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项目执行概况</w:t>
      </w:r>
    </w:p>
    <w:p>
      <w:pPr>
        <w:widowControl w:val="0"/>
        <w:numPr>
          <w:ilvl w:val="0"/>
          <w:numId w:val="0"/>
        </w:numPr>
        <w:jc w:val="both"/>
        <w:rPr>
          <w:rFonts w:hint="eastAsia" w:ascii="仿宋" w:hAnsi="仿宋" w:eastAsia="仿宋" w:cs="仿宋"/>
          <w:b/>
          <w:bCs/>
          <w:sz w:val="32"/>
          <w:szCs w:val="32"/>
          <w:lang w:val="en-US" w:eastAsia="zh-CN"/>
        </w:rPr>
      </w:pPr>
      <w:r>
        <w:rPr>
          <w:rFonts w:hint="eastAsia" w:ascii="仿宋" w:hAnsi="仿宋" w:eastAsia="仿宋" w:cs="仿宋"/>
          <w:b/>
          <w:bCs/>
          <w:sz w:val="32"/>
          <w:szCs w:val="24"/>
          <w:lang w:val="en-US" w:eastAsia="zh-CN"/>
        </w:rPr>
        <w:t xml:space="preserve">  </w:t>
      </w:r>
      <w:r>
        <w:rPr>
          <w:rFonts w:hint="eastAsia" w:ascii="仿宋" w:hAnsi="仿宋" w:eastAsia="仿宋" w:cs="仿宋"/>
          <w:b/>
          <w:bCs/>
          <w:sz w:val="32"/>
          <w:szCs w:val="32"/>
          <w:lang w:val="en-US" w:eastAsia="zh-CN"/>
        </w:rPr>
        <w:t xml:space="preserve"> </w:t>
      </w:r>
      <w:r>
        <w:rPr>
          <w:rFonts w:hint="eastAsia" w:ascii="仿宋" w:hAnsi="仿宋" w:eastAsia="仿宋" w:cs="仿宋"/>
          <w:b w:val="0"/>
          <w:bCs w:val="0"/>
          <w:sz w:val="32"/>
          <w:szCs w:val="32"/>
          <w:lang w:val="en-US" w:eastAsia="zh-CN"/>
        </w:rPr>
        <w:t xml:space="preserve"> </w:t>
      </w:r>
      <w:r>
        <w:rPr>
          <w:rFonts w:hint="eastAsia" w:ascii="仿宋" w:hAnsi="仿宋" w:eastAsia="仿宋" w:cs="仿宋"/>
          <w:b/>
          <w:bCs/>
          <w:sz w:val="32"/>
          <w:szCs w:val="32"/>
          <w:lang w:val="en-US" w:eastAsia="zh-CN"/>
        </w:rPr>
        <w:t>1.项目完成情况</w:t>
      </w:r>
    </w:p>
    <w:p>
      <w:pPr>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截止2019年，该项目已经全部实施完成。</w:t>
      </w:r>
    </w:p>
    <w:p>
      <w:pPr>
        <w:numPr>
          <w:ilvl w:val="0"/>
          <w:numId w:val="0"/>
        </w:numPr>
        <w:bidi w:val="0"/>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2.资金投入情况</w:t>
      </w:r>
    </w:p>
    <w:p>
      <w:pPr>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该项目资金年度预算70万元，全部为财政拨款，本年实际支出70万元。支出项目主要为：</w:t>
      </w:r>
    </w:p>
    <w:p>
      <w:pPr>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兴县中润电解铝轻合金项目川口-北会线供电工程建设可研编制费2万元；②兴县中润电解铝轻合金项目川口-北会线供电工程建设费35.52万元；③兴县忻黑线蔡家崖-火车站专线天然气管道二期工程建设费32.48万元。项目资金已全部使用，项目资金使用率为100%。</w:t>
      </w:r>
    </w:p>
    <w:p>
      <w:pPr>
        <w:widowControl w:val="0"/>
        <w:numPr>
          <w:ilvl w:val="0"/>
          <w:numId w:val="0"/>
        </w:numPr>
        <w:ind w:firstLine="643" w:firstLineChars="200"/>
        <w:jc w:val="both"/>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（三）项目绩效目标情况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2021年内编制兴县中润电解铝供水供电工程建设</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数量指标：项目合同、审计报告份数=2份；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质量指标：编制工程建设合格率≥95%；工程建设完成及时率≥95%；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时效指标：完成及时性，及时；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成本指标：项目建设成本70万元；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社会效益：促进地方经济发展</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bookmarkStart w:id="0" w:name="_GoBack"/>
      <w:bookmarkEnd w:id="0"/>
      <w:r>
        <w:rPr>
          <w:rFonts w:hint="eastAsia" w:ascii="仿宋" w:hAnsi="仿宋" w:eastAsia="仿宋" w:cs="仿宋"/>
          <w:b w:val="0"/>
          <w:bCs w:val="0"/>
          <w:sz w:val="32"/>
          <w:szCs w:val="24"/>
          <w:lang w:val="en-US" w:eastAsia="zh-CN"/>
        </w:rPr>
        <w:t>服务对象满意度：服务对象满意度≥95%。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为做好绩效自评工作，我中心制定了切实可行的绩效评价工作方案，专门成立了绩效评价工作小组，按照绩效评价指标及评分标准逐项打分，对兴县中润电解铝供水供电工程建设支出预算进行了全面客观公正的绩效自评工作。</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sz w:val="32"/>
          <w:szCs w:val="32"/>
        </w:rPr>
        <w:t>本项目支出控制在预算范围内，没有超额支出</w:t>
      </w:r>
      <w:r>
        <w:rPr>
          <w:rFonts w:hint="eastAsia" w:ascii="仿宋" w:hAnsi="仿宋" w:eastAsia="仿宋" w:cs="仿宋"/>
          <w:sz w:val="32"/>
          <w:szCs w:val="32"/>
          <w:lang w:eastAsia="zh-CN"/>
        </w:rPr>
        <w:t>，</w:t>
      </w:r>
      <w:r>
        <w:rPr>
          <w:rFonts w:hint="eastAsia" w:ascii="仿宋" w:hAnsi="仿宋" w:eastAsia="仿宋" w:cs="仿宋"/>
          <w:sz w:val="32"/>
          <w:szCs w:val="32"/>
        </w:rPr>
        <w:t>社会效益明显</w:t>
      </w:r>
      <w:r>
        <w:rPr>
          <w:rFonts w:hint="eastAsia" w:ascii="仿宋" w:hAnsi="仿宋" w:eastAsia="仿宋" w:cs="仿宋"/>
          <w:sz w:val="32"/>
          <w:szCs w:val="32"/>
          <w:lang w:eastAsia="zh-CN"/>
        </w:rPr>
        <w:t>。</w:t>
      </w:r>
      <w:r>
        <w:rPr>
          <w:rFonts w:hint="eastAsia" w:ascii="仿宋" w:hAnsi="仿宋" w:eastAsia="仿宋" w:cs="仿宋"/>
          <w:sz w:val="32"/>
          <w:szCs w:val="32"/>
        </w:rPr>
        <w:t>本项目没有超预算使用资金，财政资金使用的效能得到提高。</w:t>
      </w:r>
      <w:r>
        <w:rPr>
          <w:rFonts w:hint="eastAsia" w:ascii="仿宋" w:hAnsi="仿宋" w:eastAsia="仿宋" w:cs="仿宋"/>
          <w:sz w:val="32"/>
          <w:szCs w:val="32"/>
          <w:lang w:eastAsia="zh-CN"/>
        </w:rPr>
        <w:t>工程实施单位</w:t>
      </w:r>
      <w:r>
        <w:rPr>
          <w:rFonts w:hint="eastAsia" w:ascii="仿宋" w:hAnsi="仿宋" w:eastAsia="仿宋" w:cs="仿宋"/>
          <w:sz w:val="32"/>
          <w:szCs w:val="32"/>
        </w:rPr>
        <w:t>项目实施满意。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sz w:val="32"/>
          <w:szCs w:val="32"/>
        </w:rPr>
        <w:t>通过绩效自评，评价小组认为</w:t>
      </w:r>
      <w:r>
        <w:rPr>
          <w:rFonts w:hint="eastAsia" w:ascii="仿宋" w:hAnsi="仿宋" w:eastAsia="仿宋" w:cs="仿宋"/>
          <w:sz w:val="32"/>
          <w:szCs w:val="32"/>
          <w:lang w:val="en-US" w:eastAsia="zh-CN"/>
        </w:rPr>
        <w:t>县</w:t>
      </w:r>
      <w:r>
        <w:rPr>
          <w:rFonts w:hint="eastAsia" w:ascii="仿宋" w:hAnsi="仿宋" w:eastAsia="仿宋" w:cs="仿宋"/>
          <w:sz w:val="32"/>
          <w:szCs w:val="32"/>
        </w:rPr>
        <w:t>财政预算安排我</w:t>
      </w:r>
      <w:r>
        <w:rPr>
          <w:rFonts w:hint="eastAsia" w:ascii="仿宋" w:hAnsi="仿宋" w:eastAsia="仿宋" w:cs="仿宋"/>
          <w:sz w:val="32"/>
          <w:szCs w:val="32"/>
          <w:lang w:eastAsia="zh-CN"/>
        </w:rPr>
        <w:t>中心</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eastAsia="zh-CN"/>
        </w:rPr>
        <w:t>兴县中润电解铝供水供电工程建设资金</w:t>
      </w:r>
      <w:r>
        <w:rPr>
          <w:rFonts w:hint="eastAsia" w:ascii="仿宋" w:hAnsi="仿宋" w:eastAsia="仿宋" w:cs="仿宋"/>
          <w:sz w:val="32"/>
          <w:szCs w:val="32"/>
        </w:rPr>
        <w:t>政策依据充分，</w:t>
      </w:r>
      <w:r>
        <w:rPr>
          <w:rFonts w:hint="eastAsia" w:ascii="仿宋" w:hAnsi="仿宋" w:eastAsia="仿宋" w:cs="仿宋"/>
          <w:sz w:val="32"/>
          <w:szCs w:val="32"/>
          <w:lang w:eastAsia="zh-CN"/>
        </w:rPr>
        <w:t>资金</w:t>
      </w:r>
      <w:r>
        <w:rPr>
          <w:rFonts w:hint="eastAsia" w:ascii="仿宋" w:hAnsi="仿宋" w:eastAsia="仿宋" w:cs="仿宋"/>
          <w:sz w:val="32"/>
          <w:szCs w:val="32"/>
        </w:rPr>
        <w:t>安排符合我</w:t>
      </w:r>
      <w:r>
        <w:rPr>
          <w:rFonts w:hint="eastAsia" w:ascii="仿宋" w:hAnsi="仿宋" w:eastAsia="仿宋" w:cs="仿宋"/>
          <w:sz w:val="32"/>
          <w:szCs w:val="32"/>
          <w:lang w:val="en-US" w:eastAsia="zh-CN"/>
        </w:rPr>
        <w:t>县</w:t>
      </w:r>
      <w:r>
        <w:rPr>
          <w:rFonts w:hint="eastAsia" w:ascii="仿宋" w:hAnsi="仿宋" w:eastAsia="仿宋" w:cs="仿宋"/>
          <w:sz w:val="32"/>
          <w:szCs w:val="32"/>
        </w:rPr>
        <w:t>有关规定，目标制定明确，政策和需求依据充分，资金按照时序支出，严格按用途使用，按照财务管理规定开支。项目</w:t>
      </w:r>
      <w:r>
        <w:rPr>
          <w:rFonts w:hint="eastAsia" w:ascii="仿宋" w:hAnsi="仿宋" w:eastAsia="仿宋" w:cs="仿宋"/>
          <w:sz w:val="32"/>
          <w:szCs w:val="32"/>
          <w:lang w:eastAsia="zh-CN"/>
        </w:rPr>
        <w:t>专项资金</w:t>
      </w:r>
      <w:r>
        <w:rPr>
          <w:rFonts w:hint="eastAsia" w:ascii="仿宋" w:hAnsi="仿宋" w:eastAsia="仿宋" w:cs="仿宋"/>
          <w:sz w:val="32"/>
          <w:szCs w:val="32"/>
        </w:rPr>
        <w:t>支出组织管理水平总体较高。资金到位及时，对资金的使用监管有力有效。通过本项资金安排和实施，取得了明显的社会效益。</w:t>
      </w:r>
      <w:r>
        <w:rPr>
          <w:rFonts w:hint="eastAsia" w:ascii="仿宋" w:hAnsi="仿宋" w:eastAsia="仿宋" w:cs="仿宋"/>
          <w:b w:val="0"/>
          <w:bCs w:val="0"/>
          <w:sz w:val="32"/>
          <w:szCs w:val="24"/>
          <w:lang w:val="en-US" w:eastAsia="zh-CN"/>
        </w:rPr>
        <w:t>本项目绩效自评综合得分99分，评价等级为“优”。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通过实施本项目，项目产出指标、效益指标及满意度指标的实际完成值均达到年度指标值，达到预期效果</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项目财务管理情况</w:t>
      </w:r>
    </w:p>
    <w:p>
      <w:pPr>
        <w:numPr>
          <w:ilvl w:val="0"/>
          <w:numId w:val="0"/>
        </w:numPr>
        <w:bidi w:val="0"/>
        <w:ind w:left="105" w:leftChars="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单位较好地执行了《行政单位财务规则》和《行政单位会计制度》，制定了《财务管理制度》和《专项资金制度》等内部管理制度，严格按照《县财政专项资金管理办法》（兴财预）【2021】3号使用专项资金，将项目资金纳入单位财务统一管理，对项目专项资金进行专项核算，做到了专款专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960" w:firstLineChars="3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中润公司轻合金项目供水供电及兴县北站供气工程建设预算支出年度绩效目标均已完成。下一步继续加强项目绩效评价工作，提高财政专项资金使用效益，强化支出责任，确保项目专项资金得到合理使用。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七、绩效自评结果应用和公开情况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我中心将对中润公司轻合金项目供水供电及兴县北站供气工程建设绩效自评结果向社会公开，接受社会监督；加强绩效目标编制，实施全过程绩效管理。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兴县项目推进中心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2022年8月15日</w:t>
      </w:r>
    </w:p>
    <w:p>
      <w:pPr>
        <w:numPr>
          <w:ilvl w:val="0"/>
          <w:numId w:val="0"/>
        </w:numPr>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B312C0"/>
    <w:multiLevelType w:val="singleLevel"/>
    <w:tmpl w:val="E1B312C0"/>
    <w:lvl w:ilvl="0" w:tentative="0">
      <w:start w:val="5"/>
      <w:numFmt w:val="chineseCounting"/>
      <w:suff w:val="nothing"/>
      <w:lvlText w:val="%1、"/>
      <w:lvlJc w:val="left"/>
      <w:rPr>
        <w:rFonts w:hint="eastAsia"/>
      </w:rPr>
    </w:lvl>
  </w:abstractNum>
  <w:abstractNum w:abstractNumId="1">
    <w:nsid w:val="1C969970"/>
    <w:multiLevelType w:val="singleLevel"/>
    <w:tmpl w:val="1C969970"/>
    <w:lvl w:ilvl="0" w:tentative="0">
      <w:start w:val="1"/>
      <w:numFmt w:val="decimal"/>
      <w:lvlText w:val="%1."/>
      <w:lvlJc w:val="left"/>
      <w:pPr>
        <w:tabs>
          <w:tab w:val="left" w:pos="312"/>
        </w:tabs>
      </w:pPr>
    </w:lvl>
  </w:abstractNum>
  <w:abstractNum w:abstractNumId="2">
    <w:nsid w:val="6B959695"/>
    <w:multiLevelType w:val="singleLevel"/>
    <w:tmpl w:val="6B959695"/>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mYmE3NGMxNTk1NjRhYjg4MjU0MjhkOWRjZDc2MDUifQ=="/>
  </w:docVars>
  <w:rsids>
    <w:rsidRoot w:val="24B835FA"/>
    <w:rsid w:val="047E3330"/>
    <w:rsid w:val="05671C4A"/>
    <w:rsid w:val="062A0389"/>
    <w:rsid w:val="15855F10"/>
    <w:rsid w:val="1A7D70FD"/>
    <w:rsid w:val="1D34378C"/>
    <w:rsid w:val="1E0873F6"/>
    <w:rsid w:val="1E50038B"/>
    <w:rsid w:val="2199255B"/>
    <w:rsid w:val="231D5A06"/>
    <w:rsid w:val="24B44F43"/>
    <w:rsid w:val="24B835FA"/>
    <w:rsid w:val="36546006"/>
    <w:rsid w:val="37123F26"/>
    <w:rsid w:val="374C4F2B"/>
    <w:rsid w:val="390B4974"/>
    <w:rsid w:val="464751B1"/>
    <w:rsid w:val="4757341F"/>
    <w:rsid w:val="4AD41C7D"/>
    <w:rsid w:val="54A60750"/>
    <w:rsid w:val="569D0B8E"/>
    <w:rsid w:val="5944079F"/>
    <w:rsid w:val="5BE86C79"/>
    <w:rsid w:val="5F1D6728"/>
    <w:rsid w:val="684F47BD"/>
    <w:rsid w:val="744561B9"/>
    <w:rsid w:val="77B238DE"/>
    <w:rsid w:val="7BE57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1482</Words>
  <Characters>1558</Characters>
  <Lines>0</Lines>
  <Paragraphs>0</Paragraphs>
  <TotalTime>51</TotalTime>
  <ScaleCrop>false</ScaleCrop>
  <LinksUpToDate>false</LinksUpToDate>
  <CharactersWithSpaces>1562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2022-08-09T02:14:00Z</dcterms:created>
  <dc:creator>王子</dc:creator>
  <cp:lastModifiedBy>王子</cp:lastModifiedBy>
  <dcterms:modified xsi:type="dcterms:W3CDTF">2022-10-24T08:45:48Z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5E30CABBCC914AE69E23BFF73C310392</vt:lpwstr>
  </property>
</Properties>
</file>