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487"/>
        <w:spacing w:before="140" w:line="216" w:lineRule="auto"/>
        <w:rPr/>
      </w:pPr>
      <w:r>
        <w:rPr>
          <w:spacing w:val="101"/>
        </w:rPr>
        <w:t>兴县电子商务服务中心</w:t>
      </w:r>
    </w:p>
    <w:p>
      <w:pPr>
        <w:spacing w:line="381" w:lineRule="auto"/>
        <w:rPr>
          <w:rFonts w:ascii="Arial"/>
          <w:sz w:val="21"/>
        </w:rPr>
      </w:pPr>
      <w:r/>
    </w:p>
    <w:p>
      <w:pPr>
        <w:pStyle w:val="BodyText"/>
        <w:ind w:left="1294"/>
        <w:spacing w:before="139"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7"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20</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28</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917" w:right="924" w:firstLine="249"/>
        <w:spacing w:before="282" w:line="266" w:lineRule="auto"/>
        <w:rPr>
          <w:rFonts w:ascii="FangSong" w:hAnsi="FangSong" w:eastAsia="FangSong" w:cs="FangSong"/>
          <w:sz w:val="24"/>
          <w:szCs w:val="24"/>
        </w:rPr>
      </w:pPr>
      <w:r>
        <w:rPr>
          <w:rFonts w:ascii="FangSong" w:hAnsi="FangSong" w:eastAsia="FangSong" w:cs="FangSong"/>
          <w:sz w:val="24"/>
          <w:szCs w:val="24"/>
          <w:spacing w:val="-1"/>
        </w:rPr>
        <w:t>1.负责电子商务招商工作，综合统筹电子商务发展工作，制定电子商务发展规划，</w:t>
      </w:r>
      <w:r>
        <w:rPr>
          <w:rFonts w:ascii="FangSong" w:hAnsi="FangSong" w:eastAsia="FangSong" w:cs="FangSong"/>
          <w:sz w:val="24"/>
          <w:szCs w:val="24"/>
          <w:spacing w:val="3"/>
        </w:rPr>
        <w:t xml:space="preserve"> </w:t>
      </w:r>
      <w:r>
        <w:rPr>
          <w:rFonts w:ascii="FangSong" w:hAnsi="FangSong" w:eastAsia="FangSong" w:cs="FangSong"/>
          <w:sz w:val="24"/>
          <w:szCs w:val="24"/>
          <w:spacing w:val="-3"/>
        </w:rPr>
        <w:t>提出电子商务发展的目标、任务和工作重点。</w:t>
      </w:r>
    </w:p>
    <w:p>
      <w:pPr>
        <w:ind w:left="915" w:right="874" w:firstLine="236"/>
        <w:spacing w:before="120" w:line="277" w:lineRule="auto"/>
        <w:rPr>
          <w:rFonts w:ascii="FangSong" w:hAnsi="FangSong" w:eastAsia="FangSong" w:cs="FangSong"/>
          <w:sz w:val="24"/>
          <w:szCs w:val="24"/>
        </w:rPr>
      </w:pPr>
      <w:r>
        <w:rPr>
          <w:rFonts w:ascii="FangSong" w:hAnsi="FangSong" w:eastAsia="FangSong" w:cs="FangSong"/>
          <w:sz w:val="24"/>
          <w:szCs w:val="24"/>
          <w:spacing w:val="1"/>
        </w:rPr>
        <w:t>2.培育重点电子商务企业和平台建设，推动电子商务运营中心建设，</w:t>
      </w:r>
      <w:r>
        <w:rPr>
          <w:rFonts w:ascii="FangSong" w:hAnsi="FangSong" w:eastAsia="FangSong" w:cs="FangSong"/>
          <w:sz w:val="24"/>
          <w:szCs w:val="24"/>
        </w:rPr>
        <w:t>开展电子商务</w:t>
      </w:r>
      <w:r>
        <w:rPr>
          <w:rFonts w:ascii="FangSong" w:hAnsi="FangSong" w:eastAsia="FangSong" w:cs="FangSong"/>
          <w:sz w:val="24"/>
          <w:szCs w:val="24"/>
        </w:rPr>
        <w:t xml:space="preserve"> </w:t>
      </w:r>
      <w:r>
        <w:rPr>
          <w:rFonts w:ascii="FangSong" w:hAnsi="FangSong" w:eastAsia="FangSong" w:cs="FangSong"/>
          <w:sz w:val="24"/>
          <w:szCs w:val="24"/>
          <w:spacing w:val="1"/>
        </w:rPr>
        <w:t>行业统计、监测和分析；推进各行业电子商务应用，做好电子商</w:t>
      </w:r>
      <w:r>
        <w:rPr>
          <w:rFonts w:ascii="FangSong" w:hAnsi="FangSong" w:eastAsia="FangSong" w:cs="FangSong"/>
          <w:sz w:val="24"/>
          <w:szCs w:val="24"/>
        </w:rPr>
        <w:t>务市场监管，协调物</w:t>
      </w:r>
      <w:r>
        <w:rPr>
          <w:rFonts w:ascii="FangSong" w:hAnsi="FangSong" w:eastAsia="FangSong" w:cs="FangSong"/>
          <w:sz w:val="24"/>
          <w:szCs w:val="24"/>
        </w:rPr>
        <w:t xml:space="preserve"> </w:t>
      </w:r>
      <w:r>
        <w:rPr>
          <w:rFonts w:ascii="FangSong" w:hAnsi="FangSong" w:eastAsia="FangSong" w:cs="FangSong"/>
          <w:sz w:val="24"/>
          <w:szCs w:val="24"/>
          <w:spacing w:val="-2"/>
        </w:rPr>
        <w:t>流配送、金融支付、技术认证、电子商务人才培训等配套行业发展。</w:t>
      </w:r>
    </w:p>
    <w:p>
      <w:pPr>
        <w:ind w:left="1153"/>
        <w:spacing w:before="118" w:line="223" w:lineRule="auto"/>
        <w:rPr>
          <w:rFonts w:ascii="FangSong" w:hAnsi="FangSong" w:eastAsia="FangSong" w:cs="FangSong"/>
          <w:sz w:val="24"/>
          <w:szCs w:val="24"/>
        </w:rPr>
      </w:pPr>
      <w:r>
        <w:rPr>
          <w:rFonts w:ascii="FangSong" w:hAnsi="FangSong" w:eastAsia="FangSong" w:cs="FangSong"/>
          <w:sz w:val="24"/>
          <w:szCs w:val="24"/>
          <w:spacing w:val="-3"/>
        </w:rPr>
        <w:t>3.承办县人民政府交办的其它事项。</w:t>
      </w:r>
    </w:p>
    <w:p>
      <w:pPr>
        <w:ind w:left="913"/>
        <w:spacing w:before="279"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23" w:right="874" w:hanging="2"/>
        <w:spacing w:before="118" w:line="313" w:lineRule="auto"/>
        <w:rPr>
          <w:rFonts w:ascii="FangSong" w:hAnsi="FangSong" w:eastAsia="FangSong" w:cs="FangSong"/>
          <w:sz w:val="24"/>
          <w:szCs w:val="24"/>
        </w:rPr>
      </w:pPr>
      <w:r>
        <w:rPr>
          <w:rFonts w:ascii="FangSong" w:hAnsi="FangSong" w:eastAsia="FangSong" w:cs="FangSong"/>
          <w:sz w:val="24"/>
          <w:szCs w:val="24"/>
          <w:spacing w:val="1"/>
        </w:rPr>
        <w:t>兴县电子商务服务中心为工业和信息化局的二级单</w:t>
      </w:r>
      <w:r>
        <w:rPr>
          <w:rFonts w:ascii="FangSong" w:hAnsi="FangSong" w:eastAsia="FangSong" w:cs="FangSong"/>
          <w:sz w:val="24"/>
          <w:szCs w:val="24"/>
        </w:rPr>
        <w:t>位，下设办公室、财务股、业务股</w:t>
      </w:r>
      <w:r>
        <w:rPr>
          <w:rFonts w:ascii="FangSong" w:hAnsi="FangSong" w:eastAsia="FangSong" w:cs="FangSong"/>
          <w:sz w:val="24"/>
          <w:szCs w:val="24"/>
        </w:rPr>
        <w:t xml:space="preserve"> </w:t>
      </w:r>
      <w:r>
        <w:rPr>
          <w:rFonts w:ascii="FangSong" w:hAnsi="FangSong" w:eastAsia="FangSong" w:cs="FangSong"/>
          <w:sz w:val="24"/>
          <w:szCs w:val="24"/>
          <w:spacing w:val="-15"/>
        </w:rPr>
        <w:t>等。</w:t>
      </w:r>
    </w:p>
    <w:p>
      <w:pPr>
        <w:spacing w:line="313" w:lineRule="auto"/>
        <w:sectPr>
          <w:headerReference w:type="default" r:id="rId2"/>
          <w:footerReference w:type="default" r:id="rId3"/>
          <w:pgSz w:w="11900" w:h="16840"/>
          <w:pgMar w:top="642" w:right="600" w:bottom="340" w:left="60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37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单位名称：兴县电子商务服务中心</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243.16</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8.58</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8.58</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ind w:right="22"/>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153"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footerReference w:type="default" r:id="rId4"/>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4" w:lineRule="auto"/>
              <w:rPr>
                <w:sz w:val="15"/>
                <w:szCs w:val="15"/>
              </w:rPr>
            </w:pPr>
            <w:r>
              <w:rPr>
                <w:sz w:val="15"/>
                <w:szCs w:val="15"/>
                <w:color w:val="212529"/>
                <w:spacing w:val="2"/>
              </w:rPr>
              <w:t>243.</w:t>
            </w:r>
            <w:r>
              <w:rPr>
                <w:sz w:val="15"/>
                <w:szCs w:val="15"/>
                <w:color w:val="212529"/>
                <w:spacing w:val="15"/>
                <w:w w:val="101"/>
              </w:rPr>
              <w:t xml:space="preserve"> </w:t>
            </w:r>
            <w:r>
              <w:rPr>
                <w:sz w:val="15"/>
                <w:szCs w:val="15"/>
                <w:color w:val="212529"/>
                <w:spacing w:val="2"/>
              </w:rPr>
              <w:t>16</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4" w:lineRule="auto"/>
              <w:rPr>
                <w:sz w:val="15"/>
                <w:szCs w:val="15"/>
              </w:rPr>
            </w:pPr>
            <w:r>
              <w:rPr>
                <w:sz w:val="15"/>
                <w:szCs w:val="15"/>
                <w:color w:val="212529"/>
                <w:spacing w:val="3"/>
              </w:rPr>
              <w:t>243.</w:t>
            </w:r>
            <w:r>
              <w:rPr>
                <w:sz w:val="15"/>
                <w:szCs w:val="15"/>
                <w:color w:val="212529"/>
                <w:spacing w:val="9"/>
              </w:rPr>
              <w:t xml:space="preserve"> </w:t>
            </w:r>
            <w:r>
              <w:rPr>
                <w:sz w:val="15"/>
                <w:szCs w:val="15"/>
                <w:color w:val="212529"/>
                <w:spacing w:val="3"/>
              </w:rPr>
              <w:t>16</w:t>
            </w:r>
          </w:p>
        </w:tc>
        <w:tc>
          <w:tcPr>
            <w:tcW w:w="1153" w:type="dxa"/>
            <w:vAlign w:val="top"/>
          </w:tcPr>
          <w:p>
            <w:pPr>
              <w:pStyle w:val="TableText"/>
              <w:ind w:left="577"/>
              <w:spacing w:before="186" w:line="184" w:lineRule="auto"/>
              <w:rPr>
                <w:sz w:val="15"/>
                <w:szCs w:val="15"/>
              </w:rPr>
            </w:pPr>
            <w:r>
              <w:rPr>
                <w:sz w:val="15"/>
                <w:szCs w:val="15"/>
                <w:color w:val="212529"/>
                <w:spacing w:val="3"/>
              </w:rPr>
              <w:t>243.</w:t>
            </w:r>
            <w:r>
              <w:rPr>
                <w:sz w:val="15"/>
                <w:szCs w:val="15"/>
                <w:color w:val="212529"/>
                <w:spacing w:val="9"/>
              </w:rPr>
              <w:t xml:space="preserve"> </w:t>
            </w:r>
            <w:r>
              <w:rPr>
                <w:sz w:val="15"/>
                <w:szCs w:val="15"/>
                <w:color w:val="212529"/>
                <w:spacing w:val="3"/>
              </w:rPr>
              <w:t>16</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4" w:lineRule="auto"/>
              <w:rPr>
                <w:sz w:val="15"/>
                <w:szCs w:val="15"/>
              </w:rPr>
            </w:pPr>
            <w:r>
              <w:rPr>
                <w:sz w:val="15"/>
                <w:szCs w:val="15"/>
                <w:color w:val="212529"/>
                <w:spacing w:val="2"/>
              </w:rPr>
              <w:t>243.</w:t>
            </w:r>
            <w:r>
              <w:rPr>
                <w:sz w:val="15"/>
                <w:szCs w:val="15"/>
                <w:color w:val="212529"/>
                <w:spacing w:val="15"/>
                <w:w w:val="101"/>
              </w:rPr>
              <w:t xml:space="preserve"> </w:t>
            </w:r>
            <w:r>
              <w:rPr>
                <w:sz w:val="15"/>
                <w:szCs w:val="15"/>
                <w:color w:val="212529"/>
                <w:spacing w:val="2"/>
              </w:rPr>
              <w:t>16</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4" w:lineRule="auto"/>
              <w:rPr>
                <w:sz w:val="15"/>
                <w:szCs w:val="15"/>
              </w:rPr>
            </w:pPr>
            <w:r>
              <w:rPr>
                <w:sz w:val="15"/>
                <w:szCs w:val="15"/>
                <w:color w:val="212529"/>
                <w:spacing w:val="3"/>
              </w:rPr>
              <w:t>243.</w:t>
            </w:r>
            <w:r>
              <w:rPr>
                <w:sz w:val="15"/>
                <w:szCs w:val="15"/>
                <w:color w:val="212529"/>
                <w:spacing w:val="9"/>
              </w:rPr>
              <w:t xml:space="preserve"> </w:t>
            </w:r>
            <w:r>
              <w:rPr>
                <w:sz w:val="15"/>
                <w:szCs w:val="15"/>
                <w:color w:val="212529"/>
                <w:spacing w:val="3"/>
              </w:rPr>
              <w:t>16</w:t>
            </w:r>
          </w:p>
        </w:tc>
        <w:tc>
          <w:tcPr>
            <w:tcW w:w="1153" w:type="dxa"/>
            <w:vAlign w:val="top"/>
          </w:tcPr>
          <w:p>
            <w:pPr>
              <w:pStyle w:val="TableText"/>
              <w:ind w:left="577"/>
              <w:spacing w:before="188" w:line="184" w:lineRule="auto"/>
              <w:rPr>
                <w:sz w:val="15"/>
                <w:szCs w:val="15"/>
              </w:rPr>
            </w:pPr>
            <w:r>
              <w:rPr>
                <w:sz w:val="15"/>
                <w:szCs w:val="15"/>
                <w:color w:val="212529"/>
                <w:spacing w:val="3"/>
              </w:rPr>
              <w:t>243.</w:t>
            </w:r>
            <w:r>
              <w:rPr>
                <w:sz w:val="15"/>
                <w:szCs w:val="15"/>
                <w:color w:val="212529"/>
                <w:spacing w:val="9"/>
              </w:rPr>
              <w:t xml:space="preserve"> </w:t>
            </w:r>
            <w:r>
              <w:rPr>
                <w:sz w:val="15"/>
                <w:szCs w:val="15"/>
                <w:color w:val="212529"/>
                <w:spacing w:val="3"/>
              </w:rPr>
              <w:t>16</w:t>
            </w:r>
          </w:p>
        </w:tc>
        <w:tc>
          <w:tcPr>
            <w:tcW w:w="831" w:type="dxa"/>
            <w:vAlign w:val="top"/>
          </w:tcPr>
          <w:p>
            <w:pPr>
              <w:pStyle w:val="TableText"/>
              <w:rPr/>
            </w:pPr>
            <w:r/>
          </w:p>
        </w:tc>
      </w:tr>
    </w:tbl>
    <w:p>
      <w:pPr>
        <w:rPr>
          <w:rFonts w:ascii="Arial"/>
          <w:sz w:val="21"/>
        </w:rPr>
      </w:pPr>
      <w:r/>
    </w:p>
    <w:p>
      <w:pPr>
        <w:sectPr>
          <w:footerReference w:type="default" r:id="rId5"/>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单位名称：兴县电子商务服务中心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4" w:lineRule="auto"/>
              <w:rPr>
                <w:sz w:val="15"/>
                <w:szCs w:val="15"/>
              </w:rPr>
            </w:pPr>
            <w:r>
              <w:rPr>
                <w:sz w:val="15"/>
                <w:szCs w:val="15"/>
                <w:color w:val="212529"/>
                <w:spacing w:val="2"/>
              </w:rPr>
              <w:t>243.</w:t>
            </w:r>
            <w:r>
              <w:rPr>
                <w:sz w:val="15"/>
                <w:szCs w:val="15"/>
                <w:color w:val="212529"/>
                <w:spacing w:val="15"/>
                <w:w w:val="101"/>
              </w:rPr>
              <w:t xml:space="preserve"> </w:t>
            </w:r>
            <w:r>
              <w:rPr>
                <w:sz w:val="15"/>
                <w:szCs w:val="15"/>
                <w:color w:val="212529"/>
                <w:spacing w:val="2"/>
              </w:rPr>
              <w:t>16</w:t>
            </w:r>
          </w:p>
        </w:tc>
        <w:tc>
          <w:tcPr>
            <w:tcW w:w="1274" w:type="dxa"/>
            <w:vAlign w:val="top"/>
          </w:tcPr>
          <w:p>
            <w:pPr>
              <w:pStyle w:val="TableText"/>
              <w:ind w:left="702"/>
              <w:spacing w:before="149" w:line="184" w:lineRule="auto"/>
              <w:rPr>
                <w:sz w:val="15"/>
                <w:szCs w:val="15"/>
              </w:rPr>
            </w:pPr>
            <w:r>
              <w:rPr>
                <w:sz w:val="15"/>
                <w:szCs w:val="15"/>
                <w:color w:val="212529"/>
                <w:spacing w:val="3"/>
              </w:rPr>
              <w:t>243.</w:t>
            </w:r>
            <w:r>
              <w:rPr>
                <w:sz w:val="15"/>
                <w:szCs w:val="15"/>
                <w:color w:val="212529"/>
                <w:spacing w:val="9"/>
              </w:rPr>
              <w:t xml:space="preserve"> </w:t>
            </w:r>
            <w:r>
              <w:rPr>
                <w:sz w:val="15"/>
                <w:szCs w:val="15"/>
                <w:color w:val="212529"/>
                <w:spacing w:val="3"/>
              </w:rPr>
              <w:t>16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8.58</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8.58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8.58</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8.58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0.78</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0.78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7.80</w:t>
            </w:r>
          </w:p>
        </w:tc>
        <w:tc>
          <w:tcPr>
            <w:tcW w:w="1274"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7.80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274"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274"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5"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274"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3.20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3"/>
              </w:rPr>
              <w:t>216</w:t>
            </w:r>
          </w:p>
        </w:tc>
        <w:tc>
          <w:tcPr>
            <w:tcW w:w="2997" w:type="dxa"/>
            <w:vAlign w:val="top"/>
          </w:tcPr>
          <w:p>
            <w:pPr>
              <w:ind w:left="7"/>
              <w:spacing w:before="135" w:line="219" w:lineRule="auto"/>
              <w:rPr>
                <w:rFonts w:ascii="SimSun" w:hAnsi="SimSun" w:eastAsia="SimSun" w:cs="SimSun"/>
                <w:sz w:val="18"/>
                <w:szCs w:val="18"/>
              </w:rPr>
            </w:pPr>
            <w:r>
              <w:rPr>
                <w:rFonts w:ascii="SimSun" w:hAnsi="SimSun" w:eastAsia="SimSun" w:cs="SimSun"/>
                <w:sz w:val="18"/>
                <w:szCs w:val="18"/>
                <w:color w:val="212529"/>
                <w:spacing w:val="-2"/>
              </w:rPr>
              <w:t>商业服务业等支出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21602</w:t>
            </w:r>
          </w:p>
        </w:tc>
        <w:tc>
          <w:tcPr>
            <w:tcW w:w="2997" w:type="dxa"/>
            <w:vAlign w:val="top"/>
          </w:tcPr>
          <w:p>
            <w:pPr>
              <w:ind w:left="7"/>
              <w:spacing w:before="136" w:line="219" w:lineRule="auto"/>
              <w:rPr>
                <w:rFonts w:ascii="SimSun" w:hAnsi="SimSun" w:eastAsia="SimSun" w:cs="SimSun"/>
                <w:sz w:val="18"/>
                <w:szCs w:val="18"/>
              </w:rPr>
            </w:pPr>
            <w:r>
              <w:rPr>
                <w:rFonts w:ascii="SimSun" w:hAnsi="SimSun" w:eastAsia="SimSun" w:cs="SimSun"/>
                <w:sz w:val="18"/>
                <w:szCs w:val="18"/>
                <w:color w:val="212529"/>
                <w:spacing w:val="-2"/>
              </w:rPr>
              <w:t>商业流通事务</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2160299</w:t>
            </w:r>
          </w:p>
        </w:tc>
        <w:tc>
          <w:tcPr>
            <w:tcW w:w="2997" w:type="dxa"/>
            <w:vAlign w:val="top"/>
          </w:tcPr>
          <w:p>
            <w:pPr>
              <w:ind w:left="3"/>
              <w:spacing w:before="137" w:line="219" w:lineRule="auto"/>
              <w:rPr>
                <w:rFonts w:ascii="SimSun" w:hAnsi="SimSun" w:eastAsia="SimSun" w:cs="SimSun"/>
                <w:sz w:val="18"/>
                <w:szCs w:val="18"/>
              </w:rPr>
            </w:pPr>
            <w:r>
              <w:rPr>
                <w:rFonts w:ascii="SimSun" w:hAnsi="SimSun" w:eastAsia="SimSun" w:cs="SimSun"/>
                <w:sz w:val="18"/>
                <w:szCs w:val="18"/>
                <w:color w:val="212529"/>
                <w:spacing w:val="-1"/>
              </w:rPr>
              <w:t>其他商业流通事务支出</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225.08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6.31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6"/>
          <w:footerReference w:type="default" r:id="rId7"/>
          <w:pgSz w:w="16840" w:h="1190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326"/>
        <w:gridCol w:w="1404"/>
        <w:gridCol w:w="1307"/>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96"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307"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92" w:type="dxa"/>
            <w:vAlign w:val="top"/>
            <w:gridSpan w:val="2"/>
          </w:tcPr>
          <w:p>
            <w:pPr>
              <w:ind w:left="237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66" w:type="dxa"/>
            <w:vAlign w:val="top"/>
            <w:gridSpan w:val="3"/>
          </w:tcPr>
          <w:p>
            <w:pPr>
              <w:ind w:left="1540"/>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66" w:type="dxa"/>
            <w:vAlign w:val="top"/>
          </w:tcPr>
          <w:p>
            <w:pPr>
              <w:ind w:left="54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4"/>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07" w:type="dxa"/>
            <w:vAlign w:val="top"/>
          </w:tcPr>
          <w:p>
            <w:pPr>
              <w:ind w:left="31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1"/>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92" w:type="dxa"/>
            <w:vAlign w:val="top"/>
            <w:gridSpan w:val="2"/>
          </w:tcPr>
          <w:p>
            <w:pPr>
              <w:ind w:left="2376"/>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243.</w:t>
            </w:r>
            <w:r>
              <w:rPr>
                <w:sz w:val="13"/>
                <w:szCs w:val="13"/>
                <w:color w:val="212529"/>
                <w:spacing w:val="16"/>
                <w:w w:val="101"/>
              </w:rPr>
              <w:t xml:space="preserve"> </w:t>
            </w:r>
            <w:r>
              <w:rPr>
                <w:sz w:val="13"/>
                <w:szCs w:val="13"/>
                <w:color w:val="212529"/>
                <w:spacing w:val="4"/>
              </w:rPr>
              <w:t>16</w:t>
            </w:r>
          </w:p>
        </w:tc>
        <w:tc>
          <w:tcPr>
            <w:tcW w:w="1307" w:type="dxa"/>
            <w:vAlign w:val="top"/>
          </w:tcPr>
          <w:p>
            <w:pPr>
              <w:pStyle w:val="TableText"/>
              <w:ind w:left="876"/>
              <w:spacing w:before="99" w:line="186" w:lineRule="auto"/>
              <w:rPr>
                <w:sz w:val="13"/>
                <w:szCs w:val="13"/>
              </w:rPr>
            </w:pPr>
            <w:r>
              <w:rPr>
                <w:sz w:val="13"/>
                <w:szCs w:val="13"/>
                <w:color w:val="212529"/>
                <w:spacing w:val="4"/>
              </w:rPr>
              <w:t>83.</w:t>
            </w:r>
            <w:r>
              <w:rPr>
                <w:sz w:val="13"/>
                <w:szCs w:val="13"/>
                <w:color w:val="212529"/>
                <w:spacing w:val="12"/>
                <w:w w:val="102"/>
              </w:rPr>
              <w:t xml:space="preserve"> </w:t>
            </w:r>
            <w:r>
              <w:rPr>
                <w:sz w:val="13"/>
                <w:szCs w:val="13"/>
                <w:color w:val="212529"/>
                <w:spacing w:val="4"/>
              </w:rPr>
              <w:t>16</w:t>
            </w:r>
          </w:p>
        </w:tc>
        <w:tc>
          <w:tcPr>
            <w:tcW w:w="1355" w:type="dxa"/>
            <w:vAlign w:val="top"/>
          </w:tcPr>
          <w:p>
            <w:pPr>
              <w:pStyle w:val="TableText"/>
              <w:ind w:left="854"/>
              <w:spacing w:before="99" w:line="186" w:lineRule="auto"/>
              <w:rPr>
                <w:sz w:val="13"/>
                <w:szCs w:val="13"/>
              </w:rPr>
            </w:pPr>
            <w:r>
              <w:rPr>
                <w:sz w:val="13"/>
                <w:szCs w:val="13"/>
                <w:color w:val="212529"/>
                <w:spacing w:val="2"/>
              </w:rPr>
              <w:t>160.</w:t>
            </w:r>
            <w:r>
              <w:rPr>
                <w:sz w:val="13"/>
                <w:szCs w:val="13"/>
                <w:color w:val="212529"/>
                <w:spacing w:val="18"/>
                <w:w w:val="101"/>
              </w:rPr>
              <w:t xml:space="preserve"> </w:t>
            </w:r>
            <w:r>
              <w:rPr>
                <w:sz w:val="13"/>
                <w:szCs w:val="13"/>
                <w:color w:val="212529"/>
                <w:spacing w:val="2"/>
              </w:rPr>
              <w:t>00</w:t>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9"/>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307" w:type="dxa"/>
            <w:vAlign w:val="top"/>
          </w:tcPr>
          <w:p>
            <w:pPr>
              <w:pStyle w:val="TableText"/>
              <w:ind w:left="957"/>
              <w:spacing w:before="99" w:line="186" w:lineRule="auto"/>
              <w:rPr>
                <w:sz w:val="13"/>
                <w:szCs w:val="13"/>
              </w:rPr>
            </w:pPr>
            <w:r>
              <w:rPr>
                <w:sz w:val="13"/>
                <w:szCs w:val="13"/>
                <w:color w:val="212529"/>
                <w:spacing w:val="2"/>
              </w:rPr>
              <w:t>8.</w:t>
            </w:r>
            <w:r>
              <w:rPr>
                <w:sz w:val="13"/>
                <w:szCs w:val="13"/>
                <w:color w:val="212529"/>
                <w:spacing w:val="14"/>
                <w:w w:val="102"/>
              </w:rPr>
              <w:t xml:space="preserve"> </w:t>
            </w:r>
            <w:r>
              <w:rPr>
                <w:sz w:val="13"/>
                <w:szCs w:val="13"/>
                <w:color w:val="212529"/>
                <w:spacing w:val="2"/>
              </w:rPr>
              <w:t>58</w:t>
            </w:r>
          </w:p>
        </w:tc>
        <w:tc>
          <w:tcPr>
            <w:tcW w:w="1355" w:type="dxa"/>
            <w:vAlign w:val="top"/>
          </w:tcPr>
          <w:p>
            <w:pPr>
              <w:pStyle w:val="TableText"/>
              <w:rPr/>
            </w:pPr>
            <w:r/>
          </w:p>
        </w:tc>
      </w:tr>
      <w:tr>
        <w:trPr>
          <w:trHeight w:val="313"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ind w:left="8"/>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307" w:type="dxa"/>
            <w:vAlign w:val="top"/>
          </w:tcPr>
          <w:p>
            <w:pPr>
              <w:pStyle w:val="TableText"/>
              <w:ind w:left="957"/>
              <w:spacing w:before="99" w:line="186" w:lineRule="auto"/>
              <w:rPr>
                <w:sz w:val="13"/>
                <w:szCs w:val="13"/>
              </w:rPr>
            </w:pPr>
            <w:r>
              <w:rPr>
                <w:sz w:val="13"/>
                <w:szCs w:val="13"/>
                <w:color w:val="212529"/>
                <w:spacing w:val="2"/>
              </w:rPr>
              <w:t>8.</w:t>
            </w:r>
            <w:r>
              <w:rPr>
                <w:sz w:val="13"/>
                <w:szCs w:val="13"/>
                <w:color w:val="212529"/>
                <w:spacing w:val="14"/>
                <w:w w:val="102"/>
              </w:rPr>
              <w:t xml:space="preserve"> </w:t>
            </w:r>
            <w:r>
              <w:rPr>
                <w:sz w:val="13"/>
                <w:szCs w:val="13"/>
                <w:color w:val="212529"/>
                <w:spacing w:val="2"/>
              </w:rPr>
              <w:t>58</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26" w:type="dxa"/>
            <w:vAlign w:val="top"/>
          </w:tcPr>
          <w:p>
            <w:pPr>
              <w:ind w:left="9"/>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07"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ind w:left="7"/>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7.80</w:t>
            </w:r>
          </w:p>
        </w:tc>
        <w:tc>
          <w:tcPr>
            <w:tcW w:w="1307"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7.80</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9"/>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07" w:type="dxa"/>
            <w:vAlign w:val="top"/>
          </w:tcPr>
          <w:p>
            <w:pPr>
              <w:pStyle w:val="TableText"/>
              <w:ind w:left="959"/>
              <w:spacing w:before="102"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20</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ind w:left="8"/>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07" w:type="dxa"/>
            <w:vAlign w:val="top"/>
          </w:tcPr>
          <w:p>
            <w:pPr>
              <w:pStyle w:val="TableText"/>
              <w:ind w:left="959"/>
              <w:spacing w:before="102"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20</w:t>
            </w:r>
          </w:p>
        </w:tc>
        <w:tc>
          <w:tcPr>
            <w:tcW w:w="1355" w:type="dxa"/>
            <w:vAlign w:val="top"/>
          </w:tcPr>
          <w:p>
            <w:pPr>
              <w:pStyle w:val="TableText"/>
              <w:rPr/>
            </w:pPr>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9"/>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07" w:type="dxa"/>
            <w:vAlign w:val="top"/>
          </w:tcPr>
          <w:p>
            <w:pPr>
              <w:ind w:right="23"/>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216</w:t>
            </w:r>
          </w:p>
        </w:tc>
        <w:tc>
          <w:tcPr>
            <w:tcW w:w="3326" w:type="dxa"/>
            <w:vAlign w:val="top"/>
          </w:tcPr>
          <w:p>
            <w:pPr>
              <w:ind w:left="11"/>
              <w:spacing w:before="84" w:line="229" w:lineRule="auto"/>
              <w:rPr>
                <w:rFonts w:ascii="SimSun" w:hAnsi="SimSun" w:eastAsia="SimSun" w:cs="SimSun"/>
                <w:sz w:val="15"/>
                <w:szCs w:val="15"/>
              </w:rPr>
            </w:pPr>
            <w:r>
              <w:rPr>
                <w:rFonts w:ascii="SimSun" w:hAnsi="SimSun" w:eastAsia="SimSun" w:cs="SimSun"/>
                <w:sz w:val="15"/>
                <w:szCs w:val="15"/>
                <w:color w:val="212529"/>
                <w:spacing w:val="10"/>
              </w:rPr>
              <w:t>商业服务业等支出</w:t>
            </w:r>
          </w:p>
        </w:tc>
        <w:tc>
          <w:tcPr>
            <w:tcW w:w="1404" w:type="dxa"/>
            <w:vAlign w:val="top"/>
          </w:tcPr>
          <w:p>
            <w:pPr>
              <w:ind w:right="18"/>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307" w:type="dxa"/>
            <w:vAlign w:val="top"/>
          </w:tcPr>
          <w:p>
            <w:pPr>
              <w:pStyle w:val="TableText"/>
              <w:ind w:left="876"/>
              <w:spacing w:before="103" w:line="186" w:lineRule="auto"/>
              <w:rPr>
                <w:sz w:val="13"/>
                <w:szCs w:val="13"/>
              </w:rPr>
            </w:pPr>
            <w:r>
              <w:rPr>
                <w:sz w:val="13"/>
                <w:szCs w:val="13"/>
                <w:color w:val="212529"/>
                <w:spacing w:val="4"/>
              </w:rPr>
              <w:t>65.</w:t>
            </w:r>
            <w:r>
              <w:rPr>
                <w:sz w:val="13"/>
                <w:szCs w:val="13"/>
                <w:color w:val="212529"/>
                <w:spacing w:val="11"/>
              </w:rPr>
              <w:t xml:space="preserve"> </w:t>
            </w:r>
            <w:r>
              <w:rPr>
                <w:sz w:val="13"/>
                <w:szCs w:val="13"/>
                <w:color w:val="212529"/>
                <w:spacing w:val="4"/>
              </w:rPr>
              <w:t>08</w:t>
            </w:r>
          </w:p>
        </w:tc>
        <w:tc>
          <w:tcPr>
            <w:tcW w:w="1355" w:type="dxa"/>
            <w:vAlign w:val="top"/>
          </w:tcPr>
          <w:p>
            <w:pPr>
              <w:pStyle w:val="TableText"/>
              <w:ind w:left="854"/>
              <w:spacing w:before="102" w:line="187" w:lineRule="auto"/>
              <w:rPr>
                <w:sz w:val="13"/>
                <w:szCs w:val="13"/>
              </w:rPr>
            </w:pPr>
            <w:r>
              <w:rPr>
                <w:sz w:val="13"/>
                <w:szCs w:val="13"/>
                <w:color w:val="212529"/>
                <w:spacing w:val="2"/>
              </w:rPr>
              <w:t>160.</w:t>
            </w:r>
            <w:r>
              <w:rPr>
                <w:sz w:val="13"/>
                <w:szCs w:val="13"/>
                <w:color w:val="212529"/>
                <w:spacing w:val="18"/>
                <w:w w:val="101"/>
              </w:rPr>
              <w:t xml:space="preserve"> </w:t>
            </w:r>
            <w:r>
              <w:rPr>
                <w:sz w:val="13"/>
                <w:szCs w:val="13"/>
                <w:color w:val="212529"/>
                <w:spacing w:val="2"/>
              </w:rPr>
              <w:t>00</w:t>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21602</w:t>
            </w:r>
          </w:p>
        </w:tc>
        <w:tc>
          <w:tcPr>
            <w:tcW w:w="3326" w:type="dxa"/>
            <w:vAlign w:val="top"/>
          </w:tcPr>
          <w:p>
            <w:pPr>
              <w:ind w:left="11"/>
              <w:spacing w:before="84" w:line="229" w:lineRule="auto"/>
              <w:rPr>
                <w:rFonts w:ascii="SimSun" w:hAnsi="SimSun" w:eastAsia="SimSun" w:cs="SimSun"/>
                <w:sz w:val="15"/>
                <w:szCs w:val="15"/>
              </w:rPr>
            </w:pPr>
            <w:r>
              <w:rPr>
                <w:rFonts w:ascii="SimSun" w:hAnsi="SimSun" w:eastAsia="SimSun" w:cs="SimSun"/>
                <w:sz w:val="15"/>
                <w:szCs w:val="15"/>
                <w:color w:val="212529"/>
                <w:spacing w:val="10"/>
              </w:rPr>
              <w:t>商业流通事务</w:t>
            </w:r>
          </w:p>
        </w:tc>
        <w:tc>
          <w:tcPr>
            <w:tcW w:w="1404"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307" w:type="dxa"/>
            <w:vAlign w:val="top"/>
          </w:tcPr>
          <w:p>
            <w:pPr>
              <w:pStyle w:val="TableText"/>
              <w:ind w:left="876"/>
              <w:spacing w:before="103" w:line="186" w:lineRule="auto"/>
              <w:rPr>
                <w:sz w:val="13"/>
                <w:szCs w:val="13"/>
              </w:rPr>
            </w:pPr>
            <w:r>
              <w:rPr>
                <w:sz w:val="13"/>
                <w:szCs w:val="13"/>
                <w:color w:val="212529"/>
                <w:spacing w:val="4"/>
              </w:rPr>
              <w:t>65.</w:t>
            </w:r>
            <w:r>
              <w:rPr>
                <w:sz w:val="13"/>
                <w:szCs w:val="13"/>
                <w:color w:val="212529"/>
                <w:spacing w:val="11"/>
              </w:rPr>
              <w:t xml:space="preserve"> </w:t>
            </w:r>
            <w:r>
              <w:rPr>
                <w:sz w:val="13"/>
                <w:szCs w:val="13"/>
                <w:color w:val="212529"/>
                <w:spacing w:val="4"/>
              </w:rPr>
              <w:t>08</w:t>
            </w:r>
          </w:p>
        </w:tc>
        <w:tc>
          <w:tcPr>
            <w:tcW w:w="1355" w:type="dxa"/>
            <w:vAlign w:val="top"/>
          </w:tcPr>
          <w:p>
            <w:pPr>
              <w:pStyle w:val="TableText"/>
              <w:ind w:left="854"/>
              <w:spacing w:before="102" w:line="187" w:lineRule="auto"/>
              <w:rPr>
                <w:sz w:val="13"/>
                <w:szCs w:val="13"/>
              </w:rPr>
            </w:pPr>
            <w:r>
              <w:rPr>
                <w:sz w:val="13"/>
                <w:szCs w:val="13"/>
                <w:color w:val="212529"/>
                <w:spacing w:val="2"/>
              </w:rPr>
              <w:t>160.</w:t>
            </w:r>
            <w:r>
              <w:rPr>
                <w:sz w:val="13"/>
                <w:szCs w:val="13"/>
                <w:color w:val="212529"/>
                <w:spacing w:val="18"/>
                <w:w w:val="101"/>
              </w:rPr>
              <w:t xml:space="preserve"> </w:t>
            </w:r>
            <w:r>
              <w:rPr>
                <w:sz w:val="13"/>
                <w:szCs w:val="13"/>
                <w:color w:val="212529"/>
                <w:spacing w:val="2"/>
              </w:rPr>
              <w:t>00</w:t>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2160299</w:t>
            </w:r>
          </w:p>
        </w:tc>
        <w:tc>
          <w:tcPr>
            <w:tcW w:w="3326" w:type="dxa"/>
            <w:vAlign w:val="top"/>
          </w:tcPr>
          <w:p>
            <w:pPr>
              <w:ind w:left="7"/>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其他商业流通事务支出</w:t>
            </w:r>
          </w:p>
        </w:tc>
        <w:tc>
          <w:tcPr>
            <w:tcW w:w="1404"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307"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65.08</w:t>
            </w:r>
          </w:p>
        </w:tc>
        <w:tc>
          <w:tcPr>
            <w:tcW w:w="135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r>
      <w:tr>
        <w:trPr>
          <w:trHeight w:val="314"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9"/>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8"/>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07" w:type="dxa"/>
            <w:vAlign w:val="top"/>
          </w:tcPr>
          <w:p>
            <w:pPr>
              <w:pStyle w:val="TableText"/>
              <w:ind w:left="957"/>
              <w:spacing w:before="104" w:line="186" w:lineRule="auto"/>
              <w:rPr>
                <w:sz w:val="13"/>
                <w:szCs w:val="13"/>
              </w:rPr>
            </w:pPr>
            <w:r>
              <w:rPr>
                <w:sz w:val="13"/>
                <w:szCs w:val="13"/>
                <w:color w:val="212529"/>
                <w:spacing w:val="3"/>
              </w:rPr>
              <w:t>6.</w:t>
            </w:r>
            <w:r>
              <w:rPr>
                <w:sz w:val="13"/>
                <w:szCs w:val="13"/>
                <w:color w:val="212529"/>
                <w:spacing w:val="3"/>
              </w:rPr>
              <w:t xml:space="preserve"> </w:t>
            </w:r>
            <w:r>
              <w:rPr>
                <w:sz w:val="13"/>
                <w:szCs w:val="13"/>
                <w:color w:val="212529"/>
                <w:spacing w:val="3"/>
              </w:rPr>
              <w:t>31</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9"/>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07" w:type="dxa"/>
            <w:vAlign w:val="top"/>
          </w:tcPr>
          <w:p>
            <w:pPr>
              <w:pStyle w:val="TableText"/>
              <w:ind w:left="957"/>
              <w:spacing w:before="104" w:line="186" w:lineRule="auto"/>
              <w:rPr>
                <w:sz w:val="13"/>
                <w:szCs w:val="13"/>
              </w:rPr>
            </w:pPr>
            <w:r>
              <w:rPr>
                <w:sz w:val="13"/>
                <w:szCs w:val="13"/>
                <w:color w:val="212529"/>
                <w:spacing w:val="3"/>
              </w:rPr>
              <w:t>6.</w:t>
            </w:r>
            <w:r>
              <w:rPr>
                <w:sz w:val="13"/>
                <w:szCs w:val="13"/>
                <w:color w:val="212529"/>
                <w:spacing w:val="3"/>
              </w:rPr>
              <w:t xml:space="preserve"> </w:t>
            </w:r>
            <w:r>
              <w:rPr>
                <w:sz w:val="13"/>
                <w:szCs w:val="13"/>
                <w:color w:val="212529"/>
                <w:spacing w:val="3"/>
              </w:rPr>
              <w:t>31</w:t>
            </w:r>
          </w:p>
        </w:tc>
        <w:tc>
          <w:tcPr>
            <w:tcW w:w="1355" w:type="dxa"/>
            <w:vAlign w:val="top"/>
          </w:tcPr>
          <w:p>
            <w:pPr>
              <w:pStyle w:val="TableText"/>
              <w:rPr/>
            </w:pPr>
            <w:r/>
          </w:p>
        </w:tc>
      </w:tr>
      <w:tr>
        <w:trPr>
          <w:trHeight w:val="319"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9"/>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07" w:type="dxa"/>
            <w:vAlign w:val="top"/>
          </w:tcPr>
          <w:p>
            <w:pPr>
              <w:ind w:right="23"/>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55" w:type="dxa"/>
            <w:vAlign w:val="top"/>
          </w:tcPr>
          <w:p>
            <w:pPr>
              <w:pStyle w:val="TableText"/>
              <w:rPr/>
            </w:pPr>
            <w:r/>
          </w:p>
        </w:tc>
      </w:tr>
    </w:tbl>
    <w:p>
      <w:pPr>
        <w:rPr>
          <w:rFonts w:ascii="Arial"/>
          <w:sz w:val="21"/>
        </w:rPr>
      </w:pPr>
      <w:r/>
    </w:p>
    <w:p>
      <w:pPr>
        <w:sectPr>
          <w:headerReference w:type="default" r:id="rId2"/>
          <w:footerReference w:type="default" r:id="rId8"/>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243.16</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7" w:line="187" w:lineRule="auto"/>
              <w:rPr>
                <w:sz w:val="13"/>
                <w:szCs w:val="13"/>
              </w:rPr>
            </w:pPr>
            <w:r>
              <w:rPr>
                <w:sz w:val="13"/>
                <w:szCs w:val="13"/>
                <w:color w:val="212529"/>
                <w:spacing w:val="2"/>
              </w:rPr>
              <w:t>243.</w:t>
            </w:r>
            <w:r>
              <w:rPr>
                <w:sz w:val="13"/>
                <w:szCs w:val="13"/>
                <w:color w:val="212529"/>
                <w:spacing w:val="28"/>
                <w:w w:val="101"/>
              </w:rPr>
              <w:t xml:space="preserve"> </w:t>
            </w:r>
            <w:r>
              <w:rPr>
                <w:sz w:val="13"/>
                <w:szCs w:val="13"/>
                <w:color w:val="212529"/>
                <w:spacing w:val="2"/>
              </w:rPr>
              <w:t>16</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7" w:line="187" w:lineRule="auto"/>
              <w:rPr>
                <w:sz w:val="13"/>
                <w:szCs w:val="13"/>
              </w:rPr>
            </w:pPr>
            <w:r>
              <w:rPr>
                <w:sz w:val="13"/>
                <w:szCs w:val="13"/>
                <w:color w:val="212529"/>
                <w:spacing w:val="2"/>
              </w:rPr>
              <w:t>243.</w:t>
            </w:r>
            <w:r>
              <w:rPr>
                <w:sz w:val="13"/>
                <w:szCs w:val="13"/>
                <w:color w:val="212529"/>
                <w:spacing w:val="28"/>
                <w:w w:val="101"/>
              </w:rPr>
              <w:t xml:space="preserve"> </w:t>
            </w:r>
            <w:r>
              <w:rPr>
                <w:sz w:val="13"/>
                <w:szCs w:val="13"/>
                <w:color w:val="212529"/>
                <w:spacing w:val="2"/>
              </w:rPr>
              <w:t>16</w:t>
            </w:r>
          </w:p>
        </w:tc>
        <w:tc>
          <w:tcPr>
            <w:tcW w:w="1069" w:type="dxa"/>
            <w:vAlign w:val="top"/>
          </w:tcPr>
          <w:p>
            <w:pPr>
              <w:pStyle w:val="TableText"/>
              <w:ind w:left="286"/>
              <w:spacing w:before="137" w:line="173" w:lineRule="auto"/>
              <w:rPr>
                <w:sz w:val="14"/>
                <w:szCs w:val="14"/>
              </w:rPr>
            </w:pPr>
            <w:r>
              <w:rPr>
                <w:sz w:val="14"/>
                <w:szCs w:val="14"/>
                <w:color w:val="212529"/>
              </w:rPr>
              <w:t>243.</w:t>
            </w:r>
            <w:r>
              <w:rPr>
                <w:sz w:val="14"/>
                <w:szCs w:val="14"/>
                <w:color w:val="212529"/>
                <w:spacing w:val="7"/>
              </w:rPr>
              <w:t xml:space="preserve"> </w:t>
            </w:r>
            <w:r>
              <w:rPr>
                <w:sz w:val="14"/>
                <w:szCs w:val="14"/>
                <w:color w:val="212529"/>
              </w:rPr>
              <w:t>16</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9"/>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5" w:line="187" w:lineRule="auto"/>
              <w:rPr>
                <w:sz w:val="13"/>
                <w:szCs w:val="13"/>
              </w:rPr>
            </w:pPr>
            <w:r>
              <w:rPr>
                <w:sz w:val="13"/>
                <w:szCs w:val="13"/>
                <w:color w:val="212529"/>
                <w:spacing w:val="2"/>
              </w:rPr>
              <w:t>243.</w:t>
            </w:r>
            <w:r>
              <w:rPr>
                <w:sz w:val="13"/>
                <w:szCs w:val="13"/>
                <w:color w:val="212529"/>
                <w:spacing w:val="28"/>
                <w:w w:val="101"/>
              </w:rPr>
              <w:t xml:space="preserve"> </w:t>
            </w:r>
            <w:r>
              <w:rPr>
                <w:sz w:val="13"/>
                <w:szCs w:val="13"/>
                <w:color w:val="212529"/>
                <w:spacing w:val="2"/>
              </w:rPr>
              <w:t>16</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5" w:line="187" w:lineRule="auto"/>
              <w:rPr>
                <w:sz w:val="13"/>
                <w:szCs w:val="13"/>
              </w:rPr>
            </w:pPr>
            <w:r>
              <w:rPr>
                <w:sz w:val="13"/>
                <w:szCs w:val="13"/>
                <w:color w:val="212529"/>
                <w:spacing w:val="2"/>
              </w:rPr>
              <w:t>243.</w:t>
            </w:r>
            <w:r>
              <w:rPr>
                <w:sz w:val="13"/>
                <w:szCs w:val="13"/>
                <w:color w:val="212529"/>
                <w:spacing w:val="28"/>
                <w:w w:val="101"/>
              </w:rPr>
              <w:t xml:space="preserve"> </w:t>
            </w:r>
            <w:r>
              <w:rPr>
                <w:sz w:val="13"/>
                <w:szCs w:val="13"/>
                <w:color w:val="212529"/>
                <w:spacing w:val="2"/>
              </w:rPr>
              <w:t>16</w:t>
            </w:r>
          </w:p>
        </w:tc>
        <w:tc>
          <w:tcPr>
            <w:tcW w:w="1069" w:type="dxa"/>
            <w:vAlign w:val="top"/>
          </w:tcPr>
          <w:p>
            <w:pPr>
              <w:pStyle w:val="TableText"/>
              <w:ind w:left="286"/>
              <w:spacing w:before="135" w:line="173" w:lineRule="auto"/>
              <w:rPr>
                <w:sz w:val="14"/>
                <w:szCs w:val="14"/>
              </w:rPr>
            </w:pPr>
            <w:r>
              <w:rPr>
                <w:sz w:val="14"/>
                <w:szCs w:val="14"/>
                <w:color w:val="212529"/>
              </w:rPr>
              <w:t>243.</w:t>
            </w:r>
            <w:r>
              <w:rPr>
                <w:sz w:val="14"/>
                <w:szCs w:val="14"/>
                <w:color w:val="212529"/>
                <w:spacing w:val="7"/>
              </w:rPr>
              <w:t xml:space="preserve"> </w:t>
            </w:r>
            <w:r>
              <w:rPr>
                <w:sz w:val="14"/>
                <w:szCs w:val="14"/>
                <w:color w:val="212529"/>
              </w:rPr>
              <w:t>16</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10"/>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329"/>
        <w:gridCol w:w="146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9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463" w:type="dxa"/>
            <w:vAlign w:val="top"/>
            <w:tcBorders>
              <w:top w:val="single" w:color="FFFFFF" w:sz="4" w:space="0"/>
              <w:left w:val="single" w:color="FFFFFF" w:sz="2" w:space="0"/>
              <w:right w:val="single" w:color="FFFFFF" w:sz="2" w:space="0"/>
            </w:tcBorders>
          </w:tcPr>
          <w:p>
            <w:pPr>
              <w:ind w:left="79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9" w:type="dxa"/>
            <w:vAlign w:val="top"/>
          </w:tcPr>
          <w:p>
            <w:pPr>
              <w:ind w:left="32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63" w:type="dxa"/>
            <w:vAlign w:val="top"/>
          </w:tcPr>
          <w:p>
            <w:pPr>
              <w:ind w:left="3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5"/>
              <w:spacing w:before="87" w:line="173" w:lineRule="auto"/>
              <w:rPr>
                <w:sz w:val="14"/>
                <w:szCs w:val="14"/>
              </w:rPr>
            </w:pPr>
            <w:r>
              <w:rPr>
                <w:sz w:val="14"/>
                <w:szCs w:val="14"/>
                <w:color w:val="212529"/>
              </w:rPr>
              <w:t>243.</w:t>
            </w:r>
            <w:r>
              <w:rPr>
                <w:sz w:val="14"/>
                <w:szCs w:val="14"/>
                <w:color w:val="212529"/>
                <w:spacing w:val="7"/>
              </w:rPr>
              <w:t xml:space="preserve"> </w:t>
            </w:r>
            <w:r>
              <w:rPr>
                <w:sz w:val="14"/>
                <w:szCs w:val="14"/>
                <w:color w:val="212529"/>
              </w:rPr>
              <w:t>16</w:t>
            </w:r>
          </w:p>
        </w:tc>
        <w:tc>
          <w:tcPr>
            <w:tcW w:w="1329" w:type="dxa"/>
            <w:vAlign w:val="top"/>
          </w:tcPr>
          <w:p>
            <w:pPr>
              <w:pStyle w:val="TableText"/>
              <w:ind w:left="904"/>
              <w:spacing w:before="87" w:line="186" w:lineRule="auto"/>
              <w:rPr>
                <w:sz w:val="13"/>
                <w:szCs w:val="13"/>
              </w:rPr>
            </w:pPr>
            <w:r>
              <w:rPr>
                <w:sz w:val="13"/>
                <w:szCs w:val="13"/>
                <w:color w:val="212529"/>
                <w:spacing w:val="4"/>
              </w:rPr>
              <w:t>83.</w:t>
            </w:r>
            <w:r>
              <w:rPr>
                <w:sz w:val="13"/>
                <w:szCs w:val="13"/>
                <w:color w:val="212529"/>
                <w:spacing w:val="12"/>
                <w:w w:val="102"/>
              </w:rPr>
              <w:t xml:space="preserve"> </w:t>
            </w:r>
            <w:r>
              <w:rPr>
                <w:sz w:val="13"/>
                <w:szCs w:val="13"/>
                <w:color w:val="212529"/>
                <w:spacing w:val="4"/>
              </w:rPr>
              <w:t>16</w:t>
            </w:r>
          </w:p>
        </w:tc>
        <w:tc>
          <w:tcPr>
            <w:tcW w:w="1463" w:type="dxa"/>
            <w:vAlign w:val="top"/>
          </w:tcPr>
          <w:p>
            <w:pPr>
              <w:pStyle w:val="TableText"/>
              <w:ind w:left="962"/>
              <w:spacing w:before="87" w:line="186" w:lineRule="auto"/>
              <w:rPr>
                <w:sz w:val="13"/>
                <w:szCs w:val="13"/>
              </w:rPr>
            </w:pPr>
            <w:r>
              <w:rPr>
                <w:sz w:val="13"/>
                <w:szCs w:val="13"/>
                <w:color w:val="212529"/>
                <w:spacing w:val="2"/>
              </w:rPr>
              <w:t>160.</w:t>
            </w:r>
            <w:r>
              <w:rPr>
                <w:sz w:val="13"/>
                <w:szCs w:val="13"/>
                <w:color w:val="212529"/>
                <w:spacing w:val="18"/>
                <w:w w:val="101"/>
              </w:rPr>
              <w:t xml:space="preserve"> </w:t>
            </w:r>
            <w:r>
              <w:rPr>
                <w:sz w:val="13"/>
                <w:szCs w:val="13"/>
                <w:color w:val="212529"/>
                <w:spacing w:val="2"/>
              </w:rPr>
              <w:t>00</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329"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463"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329"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8.58</w:t>
            </w:r>
          </w:p>
        </w:tc>
        <w:tc>
          <w:tcPr>
            <w:tcW w:w="1463"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329"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463"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7.80</w:t>
            </w:r>
          </w:p>
        </w:tc>
        <w:tc>
          <w:tcPr>
            <w:tcW w:w="1329"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7.80</w:t>
            </w:r>
          </w:p>
        </w:tc>
        <w:tc>
          <w:tcPr>
            <w:tcW w:w="1463"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29"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463" w:type="dxa"/>
            <w:vAlign w:val="top"/>
          </w:tcPr>
          <w:p>
            <w:pPr>
              <w:pStyle w:val="TableText"/>
              <w:rPr/>
            </w:pPr>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43" w:type="dxa"/>
            <w:vAlign w:val="top"/>
          </w:tcPr>
          <w:p>
            <w:pPr>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29"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463" w:type="dxa"/>
            <w:vAlign w:val="top"/>
          </w:tcPr>
          <w:p>
            <w:pPr>
              <w:pStyle w:val="TableText"/>
              <w:rPr/>
            </w:pPr>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329"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w:t>
            </w:r>
          </w:p>
        </w:tc>
        <w:tc>
          <w:tcPr>
            <w:tcW w:w="1463" w:type="dxa"/>
            <w:vAlign w:val="top"/>
          </w:tcPr>
          <w:p>
            <w:pPr>
              <w:pStyle w:val="TableText"/>
              <w:rPr/>
            </w:pPr>
            <w:r/>
          </w:p>
        </w:tc>
      </w:tr>
      <w:tr>
        <w:trPr>
          <w:trHeight w:val="292" w:hRule="atLeast"/>
        </w:trPr>
        <w:tc>
          <w:tcPr>
            <w:tcW w:w="1679"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216</w:t>
            </w:r>
          </w:p>
        </w:tc>
        <w:tc>
          <w:tcPr>
            <w:tcW w:w="3143" w:type="dxa"/>
            <w:vAlign w:val="top"/>
          </w:tcPr>
          <w:p>
            <w:pPr>
              <w:ind w:left="1"/>
              <w:spacing w:before="74" w:line="229" w:lineRule="auto"/>
              <w:rPr>
                <w:rFonts w:ascii="SimSun" w:hAnsi="SimSun" w:eastAsia="SimSun" w:cs="SimSun"/>
                <w:sz w:val="15"/>
                <w:szCs w:val="15"/>
              </w:rPr>
            </w:pPr>
            <w:r>
              <w:rPr>
                <w:rFonts w:ascii="SimSun" w:hAnsi="SimSun" w:eastAsia="SimSun" w:cs="SimSun"/>
                <w:sz w:val="15"/>
                <w:szCs w:val="15"/>
                <w:color w:val="212529"/>
                <w:spacing w:val="10"/>
              </w:rPr>
              <w:t>商业服务业等支出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329"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65.08</w:t>
            </w:r>
          </w:p>
        </w:tc>
        <w:tc>
          <w:tcPr>
            <w:tcW w:w="1463"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21602</w:t>
            </w:r>
          </w:p>
        </w:tc>
        <w:tc>
          <w:tcPr>
            <w:tcW w:w="3143" w:type="dxa"/>
            <w:vAlign w:val="top"/>
          </w:tcPr>
          <w:p>
            <w:pPr>
              <w:ind w:left="1"/>
              <w:spacing w:before="74" w:line="229" w:lineRule="auto"/>
              <w:rPr>
                <w:rFonts w:ascii="SimSun" w:hAnsi="SimSun" w:eastAsia="SimSun" w:cs="SimSun"/>
                <w:sz w:val="15"/>
                <w:szCs w:val="15"/>
              </w:rPr>
            </w:pPr>
            <w:r>
              <w:rPr>
                <w:rFonts w:ascii="SimSun" w:hAnsi="SimSun" w:eastAsia="SimSun" w:cs="SimSun"/>
                <w:sz w:val="15"/>
                <w:szCs w:val="15"/>
                <w:color w:val="212529"/>
                <w:spacing w:val="10"/>
              </w:rPr>
              <w:t>商业流通事务</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329"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65.08</w:t>
            </w:r>
          </w:p>
        </w:tc>
        <w:tc>
          <w:tcPr>
            <w:tcW w:w="146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2160299</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其他商业流通事务支出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225.08</w:t>
            </w:r>
          </w:p>
        </w:tc>
        <w:tc>
          <w:tcPr>
            <w:tcW w:w="1329"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65.08</w:t>
            </w:r>
          </w:p>
        </w:tc>
        <w:tc>
          <w:tcPr>
            <w:tcW w:w="146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29"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463"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29"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463"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329"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463" w:type="dxa"/>
            <w:vAlign w:val="top"/>
          </w:tcPr>
          <w:p>
            <w:pPr>
              <w:pStyle w:val="TableText"/>
              <w:rPr/>
            </w:pPr>
            <w:r/>
          </w:p>
        </w:tc>
      </w:tr>
    </w:tbl>
    <w:p>
      <w:pPr>
        <w:rPr>
          <w:rFonts w:ascii="Arial"/>
          <w:sz w:val="21"/>
        </w:rPr>
      </w:pPr>
      <w:r/>
    </w:p>
    <w:p>
      <w:pPr>
        <w:sectPr>
          <w:footerReference w:type="default" r:id="rId11"/>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09"/>
              <w:spacing w:before="87" w:line="186" w:lineRule="auto"/>
              <w:rPr>
                <w:sz w:val="13"/>
                <w:szCs w:val="13"/>
              </w:rPr>
            </w:pPr>
            <w:r>
              <w:rPr>
                <w:sz w:val="13"/>
                <w:szCs w:val="13"/>
                <w:color w:val="212529"/>
                <w:spacing w:val="1"/>
              </w:rPr>
              <w:t>83.</w:t>
            </w:r>
            <w:r>
              <w:rPr>
                <w:sz w:val="13"/>
                <w:szCs w:val="13"/>
                <w:color w:val="212529"/>
                <w:spacing w:val="27"/>
                <w:w w:val="102"/>
              </w:rPr>
              <w:t xml:space="preserve"> </w:t>
            </w:r>
            <w:r>
              <w:rPr>
                <w:sz w:val="13"/>
                <w:szCs w:val="13"/>
                <w:color w:val="212529"/>
                <w:spacing w:val="1"/>
              </w:rPr>
              <w:t>16</w:t>
            </w:r>
          </w:p>
        </w:tc>
        <w:tc>
          <w:tcPr>
            <w:tcW w:w="1134" w:type="dxa"/>
            <w:vAlign w:val="top"/>
          </w:tcPr>
          <w:p>
            <w:pPr>
              <w:pStyle w:val="TableText"/>
              <w:ind w:left="713"/>
              <w:spacing w:before="87" w:line="186" w:lineRule="auto"/>
              <w:rPr>
                <w:sz w:val="13"/>
                <w:szCs w:val="13"/>
              </w:rPr>
            </w:pPr>
            <w:r>
              <w:rPr>
                <w:sz w:val="13"/>
                <w:szCs w:val="13"/>
                <w:color w:val="212529"/>
                <w:spacing w:val="4"/>
              </w:rPr>
              <w:t>78.</w:t>
            </w:r>
            <w:r>
              <w:rPr>
                <w:sz w:val="13"/>
                <w:szCs w:val="13"/>
                <w:color w:val="212529"/>
                <w:spacing w:val="9"/>
                <w:w w:val="101"/>
              </w:rPr>
              <w:t xml:space="preserve"> </w:t>
            </w:r>
            <w:r>
              <w:rPr>
                <w:sz w:val="13"/>
                <w:szCs w:val="13"/>
                <w:color w:val="212529"/>
                <w:spacing w:val="4"/>
              </w:rPr>
              <w:t>99</w:t>
            </w:r>
          </w:p>
        </w:tc>
        <w:tc>
          <w:tcPr>
            <w:tcW w:w="1064" w:type="dxa"/>
            <w:vAlign w:val="top"/>
          </w:tcPr>
          <w:p>
            <w:pPr>
              <w:pStyle w:val="TableText"/>
              <w:ind w:left="714"/>
              <w:spacing w:before="87" w:line="186" w:lineRule="auto"/>
              <w:rPr>
                <w:sz w:val="13"/>
                <w:szCs w:val="13"/>
              </w:rPr>
            </w:pPr>
            <w:r>
              <w:rPr>
                <w:sz w:val="13"/>
                <w:szCs w:val="13"/>
                <w:color w:val="212529"/>
              </w:rPr>
              <w:t>4.</w:t>
            </w:r>
            <w:r>
              <w:rPr>
                <w:sz w:val="13"/>
                <w:szCs w:val="13"/>
                <w:color w:val="212529"/>
                <w:spacing w:val="24"/>
                <w:w w:val="101"/>
              </w:rPr>
              <w:t xml:space="preserve"> </w:t>
            </w:r>
            <w:r>
              <w:rPr>
                <w:sz w:val="13"/>
                <w:szCs w:val="13"/>
                <w:color w:val="212529"/>
              </w:rPr>
              <w:t>17</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78.22</w:t>
            </w:r>
          </w:p>
        </w:tc>
        <w:tc>
          <w:tcPr>
            <w:tcW w:w="1134" w:type="dxa"/>
            <w:vAlign w:val="top"/>
          </w:tcPr>
          <w:p>
            <w:pPr>
              <w:ind w:right="1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78.22</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28.11</w:t>
            </w:r>
          </w:p>
        </w:tc>
        <w:tc>
          <w:tcPr>
            <w:tcW w:w="1134" w:type="dxa"/>
            <w:vAlign w:val="top"/>
          </w:tcPr>
          <w:p>
            <w:pPr>
              <w:ind w:right="1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28.11</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134" w:type="dxa"/>
            <w:vAlign w:val="top"/>
          </w:tcPr>
          <w:p>
            <w:pPr>
              <w:ind w:right="1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064" w:type="dxa"/>
            <w:vAlign w:val="top"/>
          </w:tcPr>
          <w:p>
            <w:pPr>
              <w:pStyle w:val="TableText"/>
              <w:rPr/>
            </w:pPr>
            <w:r/>
          </w:p>
        </w:tc>
      </w:tr>
      <w:tr>
        <w:trPr>
          <w:trHeight w:val="292" w:hRule="atLeast"/>
        </w:trPr>
        <w:tc>
          <w:tcPr>
            <w:tcW w:w="3407"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19.63</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19.63</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7.80</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7.80</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w:t>
            </w:r>
          </w:p>
        </w:tc>
        <w:tc>
          <w:tcPr>
            <w:tcW w:w="1134" w:type="dxa"/>
            <w:vAlign w:val="top"/>
          </w:tcPr>
          <w:p>
            <w:pPr>
              <w:ind w:right="1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3.17</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0.18</w:t>
            </w:r>
          </w:p>
        </w:tc>
        <w:tc>
          <w:tcPr>
            <w:tcW w:w="1134" w:type="dxa"/>
            <w:vAlign w:val="top"/>
          </w:tcPr>
          <w:p>
            <w:pPr>
              <w:ind w:right="1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0.18</w:t>
            </w:r>
          </w:p>
        </w:tc>
        <w:tc>
          <w:tcPr>
            <w:tcW w:w="1064" w:type="dxa"/>
            <w:vAlign w:val="top"/>
          </w:tcPr>
          <w:p>
            <w:pPr>
              <w:pStyle w:val="TableText"/>
              <w:rPr/>
            </w:pPr>
            <w:r/>
          </w:p>
        </w:tc>
      </w:tr>
      <w:tr>
        <w:trPr>
          <w:trHeight w:val="292" w:hRule="atLeast"/>
        </w:trPr>
        <w:tc>
          <w:tcPr>
            <w:tcW w:w="3407"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134" w:type="dxa"/>
            <w:vAlign w:val="top"/>
          </w:tcPr>
          <w:p>
            <w:pPr>
              <w:ind w:right="1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6.31</w:t>
            </w:r>
          </w:p>
        </w:tc>
        <w:tc>
          <w:tcPr>
            <w:tcW w:w="1064" w:type="dxa"/>
            <w:vAlign w:val="top"/>
          </w:tcPr>
          <w:p>
            <w:pPr>
              <w:pStyle w:val="TableText"/>
              <w:rPr/>
            </w:pPr>
            <w:r/>
          </w:p>
        </w:tc>
      </w:tr>
      <w:tr>
        <w:trPr>
          <w:trHeight w:val="292" w:hRule="atLeast"/>
        </w:trPr>
        <w:tc>
          <w:tcPr>
            <w:tcW w:w="3407"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43"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w:t>
            </w:r>
          </w:p>
        </w:tc>
        <w:tc>
          <w:tcPr>
            <w:tcW w:w="1134" w:type="dxa"/>
            <w:vAlign w:val="top"/>
          </w:tcPr>
          <w:p>
            <w:pPr>
              <w:ind w:right="1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w:t>
            </w:r>
          </w:p>
        </w:tc>
        <w:tc>
          <w:tcPr>
            <w:tcW w:w="1064" w:type="dxa"/>
            <w:vAlign w:val="top"/>
          </w:tcPr>
          <w:p>
            <w:pPr>
              <w:pStyle w:val="TableText"/>
              <w:rPr/>
            </w:pPr>
            <w:r/>
          </w:p>
        </w:tc>
      </w:tr>
      <w:tr>
        <w:trPr>
          <w:trHeight w:val="293" w:hRule="atLeast"/>
        </w:trPr>
        <w:tc>
          <w:tcPr>
            <w:tcW w:w="3407"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4.17</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4.17</w:t>
            </w:r>
          </w:p>
        </w:tc>
      </w:tr>
      <w:tr>
        <w:trPr>
          <w:trHeight w:val="293" w:hRule="atLeast"/>
        </w:trPr>
        <w:tc>
          <w:tcPr>
            <w:tcW w:w="3407"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r>
      <w:tr>
        <w:trPr>
          <w:trHeight w:val="292" w:hRule="atLeast"/>
        </w:trPr>
        <w:tc>
          <w:tcPr>
            <w:tcW w:w="3407" w:type="dxa"/>
            <w:vAlign w:val="top"/>
          </w:tcPr>
          <w:p>
            <w:pPr>
              <w:ind w:left="333"/>
              <w:spacing w:before="74"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43"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0.15</w:t>
            </w:r>
          </w:p>
        </w:tc>
      </w:tr>
      <w:tr>
        <w:trPr>
          <w:trHeight w:val="293" w:hRule="atLeast"/>
        </w:trPr>
        <w:tc>
          <w:tcPr>
            <w:tcW w:w="3407"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r>
      <w:tr>
        <w:trPr>
          <w:trHeight w:val="292"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1.71</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1.71</w:t>
            </w:r>
          </w:p>
        </w:tc>
      </w:tr>
      <w:tr>
        <w:trPr>
          <w:trHeight w:val="293" w:hRule="atLeast"/>
        </w:trPr>
        <w:tc>
          <w:tcPr>
            <w:tcW w:w="3407"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43" w:type="dxa"/>
            <w:vAlign w:val="top"/>
          </w:tcPr>
          <w:p>
            <w:pPr>
              <w:ind w:left="332"/>
              <w:spacing w:before="76"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0.74</w:t>
            </w:r>
          </w:p>
        </w:tc>
        <w:tc>
          <w:tcPr>
            <w:tcW w:w="1134" w:type="dxa"/>
            <w:vAlign w:val="top"/>
          </w:tcPr>
          <w:p>
            <w:pPr>
              <w:pStyle w:val="TableText"/>
              <w:rPr/>
            </w:pPr>
            <w:r/>
          </w:p>
        </w:tc>
        <w:tc>
          <w:tcPr>
            <w:tcW w:w="106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0.74</w:t>
            </w:r>
          </w:p>
        </w:tc>
      </w:tr>
      <w:tr>
        <w:trPr>
          <w:trHeight w:val="293" w:hRule="atLeast"/>
        </w:trPr>
        <w:tc>
          <w:tcPr>
            <w:tcW w:w="3407"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064" w:type="dxa"/>
            <w:vAlign w:val="top"/>
          </w:tcPr>
          <w:p>
            <w:pPr>
              <w:pStyle w:val="TableText"/>
              <w:rPr/>
            </w:pPr>
            <w:r/>
          </w:p>
        </w:tc>
      </w:tr>
      <w:tr>
        <w:trPr>
          <w:trHeight w:val="298" w:hRule="atLeast"/>
        </w:trPr>
        <w:tc>
          <w:tcPr>
            <w:tcW w:w="3407"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0.78</w:t>
            </w:r>
          </w:p>
        </w:tc>
        <w:tc>
          <w:tcPr>
            <w:tcW w:w="1064" w:type="dxa"/>
            <w:vAlign w:val="top"/>
          </w:tcPr>
          <w:p>
            <w:pPr>
              <w:pStyle w:val="TableText"/>
              <w:rPr/>
            </w:pPr>
            <w:r/>
          </w:p>
        </w:tc>
      </w:tr>
    </w:tbl>
    <w:p>
      <w:pPr>
        <w:rPr>
          <w:rFonts w:ascii="Arial"/>
          <w:sz w:val="21"/>
        </w:rPr>
      </w:pPr>
      <w:r/>
    </w:p>
    <w:p>
      <w:pPr>
        <w:sectPr>
          <w:footerReference w:type="default" r:id="rId12"/>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5"/>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05"/>
        <w:gridCol w:w="1177"/>
        <w:gridCol w:w="1188"/>
        <w:gridCol w:w="843"/>
        <w:gridCol w:w="1274"/>
        <w:gridCol w:w="1102"/>
        <w:gridCol w:w="869"/>
      </w:tblGrid>
      <w:tr>
        <w:trPr>
          <w:trHeight w:val="383" w:hRule="atLeast"/>
        </w:trPr>
        <w:tc>
          <w:tcPr>
            <w:tcW w:w="27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ind w:left="116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971" w:type="dxa"/>
            <w:vAlign w:val="top"/>
            <w:gridSpan w:val="2"/>
            <w:tcBorders>
              <w:top w:val="single" w:color="FFFFFF" w:sz="4" w:space="0"/>
              <w:left w:val="single" w:color="FFFFFF" w:sz="2" w:space="0"/>
              <w:right w:val="single" w:color="FFFFFF" w:sz="2" w:space="0"/>
            </w:tcBorders>
          </w:tcPr>
          <w:p>
            <w:pPr>
              <w:ind w:left="1298"/>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05" w:type="dxa"/>
            <w:vAlign w:val="top"/>
            <w:vMerge w:val="restart"/>
            <w:tcBorders>
              <w:bottom w:val="nil"/>
            </w:tcBorders>
          </w:tcPr>
          <w:p>
            <w:pPr>
              <w:ind w:left="1015"/>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77" w:type="dxa"/>
            <w:vAlign w:val="top"/>
            <w:vMerge w:val="restart"/>
            <w:tcBorders>
              <w:bottom w:val="nil"/>
            </w:tcBorders>
          </w:tcPr>
          <w:p>
            <w:pPr>
              <w:ind w:left="41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305" w:type="dxa"/>
            <w:vAlign w:val="top"/>
            <w:gridSpan w:val="3"/>
          </w:tcPr>
          <w:p>
            <w:pPr>
              <w:ind w:left="107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02" w:type="dxa"/>
            <w:vAlign w:val="top"/>
            <w:vMerge w:val="restart"/>
            <w:tcBorders>
              <w:bottom w:val="nil"/>
            </w:tcBorders>
          </w:tcPr>
          <w:p>
            <w:pPr>
              <w:ind w:left="56"/>
              <w:spacing w:before="21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86"/>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69" w:type="dxa"/>
            <w:vAlign w:val="top"/>
            <w:vMerge w:val="restart"/>
            <w:tcBorders>
              <w:bottom w:val="nil"/>
            </w:tcBorders>
          </w:tcPr>
          <w:p>
            <w:pPr>
              <w:ind w:left="98"/>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05" w:type="dxa"/>
            <w:vAlign w:val="top"/>
            <w:vMerge w:val="continue"/>
            <w:tcBorders>
              <w:top w:val="nil"/>
            </w:tcBorders>
          </w:tcPr>
          <w:p>
            <w:pPr>
              <w:pStyle w:val="TableText"/>
              <w:rPr/>
            </w:pPr>
            <w:r/>
          </w:p>
        </w:tc>
        <w:tc>
          <w:tcPr>
            <w:tcW w:w="1177" w:type="dxa"/>
            <w:vAlign w:val="top"/>
            <w:vMerge w:val="continue"/>
            <w:tcBorders>
              <w:top w:val="nil"/>
            </w:tcBorders>
          </w:tcPr>
          <w:p>
            <w:pPr>
              <w:pStyle w:val="TableText"/>
              <w:rPr/>
            </w:pPr>
            <w:r/>
          </w:p>
        </w:tc>
        <w:tc>
          <w:tcPr>
            <w:tcW w:w="1188" w:type="dxa"/>
            <w:vAlign w:val="top"/>
          </w:tcPr>
          <w:p>
            <w:pPr>
              <w:ind w:left="9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3" w:type="dxa"/>
            <w:vAlign w:val="top"/>
          </w:tcPr>
          <w:p>
            <w:pPr>
              <w:ind w:left="164" w:right="104" w:hanging="79"/>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74" w:type="dxa"/>
            <w:vAlign w:val="top"/>
          </w:tcPr>
          <w:p>
            <w:pPr>
              <w:ind w:left="73"/>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40"/>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705" w:type="dxa"/>
            <w:vAlign w:val="top"/>
          </w:tcPr>
          <w:p>
            <w:pPr>
              <w:ind w:left="1313"/>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77" w:type="dxa"/>
            <w:vAlign w:val="top"/>
          </w:tcPr>
          <w:p>
            <w:pPr>
              <w:ind w:left="541"/>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88" w:type="dxa"/>
            <w:vAlign w:val="top"/>
          </w:tcPr>
          <w:p>
            <w:pPr>
              <w:ind w:left="549"/>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43" w:type="dxa"/>
            <w:vAlign w:val="top"/>
          </w:tcPr>
          <w:p>
            <w:pPr>
              <w:ind w:left="369"/>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74" w:type="dxa"/>
            <w:vAlign w:val="top"/>
          </w:tcPr>
          <w:p>
            <w:pPr>
              <w:ind w:left="588"/>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02" w:type="dxa"/>
            <w:vAlign w:val="top"/>
          </w:tcPr>
          <w:p>
            <w:pPr>
              <w:ind w:left="503"/>
              <w:spacing w:before="115"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69" w:type="dxa"/>
            <w:vAlign w:val="top"/>
          </w:tcPr>
          <w:p>
            <w:pPr>
              <w:ind w:left="389"/>
              <w:spacing w:before="115"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705" w:type="dxa"/>
            <w:vAlign w:val="top"/>
          </w:tcPr>
          <w:p>
            <w:pPr>
              <w:ind w:left="91"/>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兴县电子商务服务中心</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c>
          <w:tcPr>
            <w:tcW w:w="118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705" w:type="dxa"/>
            <w:vAlign w:val="top"/>
          </w:tcPr>
          <w:p>
            <w:pPr>
              <w:ind w:left="15" w:right="184" w:firstLine="160"/>
              <w:spacing w:before="31" w:line="207" w:lineRule="auto"/>
              <w:rPr>
                <w:rFonts w:ascii="SimSun" w:hAnsi="SimSun" w:eastAsia="SimSun" w:cs="SimSun"/>
                <w:sz w:val="15"/>
                <w:szCs w:val="15"/>
              </w:rPr>
            </w:pPr>
            <w:r>
              <w:rPr>
                <w:rFonts w:ascii="SimSun" w:hAnsi="SimSun" w:eastAsia="SimSun" w:cs="SimSun"/>
                <w:sz w:val="15"/>
                <w:szCs w:val="15"/>
                <w:color w:val="212529"/>
                <w:spacing w:val="9"/>
              </w:rPr>
              <w:t>乡村e镇公共服务中心2024年租赁</w:t>
            </w:r>
            <w:r>
              <w:rPr>
                <w:rFonts w:ascii="SimSun" w:hAnsi="SimSun" w:eastAsia="SimSun" w:cs="SimSun"/>
                <w:sz w:val="15"/>
                <w:szCs w:val="15"/>
                <w:color w:val="212529"/>
                <w:spacing w:val="5"/>
              </w:rPr>
              <w:t xml:space="preserve"> </w:t>
            </w:r>
            <w:r>
              <w:rPr>
                <w:rFonts w:ascii="SimSun" w:hAnsi="SimSun" w:eastAsia="SimSun" w:cs="SimSun"/>
                <w:sz w:val="15"/>
                <w:szCs w:val="15"/>
                <w:color w:val="212529"/>
              </w:rPr>
              <w:t>费</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18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705" w:type="dxa"/>
            <w:vAlign w:val="top"/>
          </w:tcPr>
          <w:p>
            <w:pPr>
              <w:ind w:left="15" w:right="184" w:firstLine="160"/>
              <w:spacing w:before="32" w:line="210" w:lineRule="auto"/>
              <w:rPr>
                <w:rFonts w:ascii="SimSun" w:hAnsi="SimSun" w:eastAsia="SimSun" w:cs="SimSun"/>
                <w:sz w:val="15"/>
                <w:szCs w:val="15"/>
              </w:rPr>
            </w:pPr>
            <w:r>
              <w:rPr>
                <w:rFonts w:ascii="SimSun" w:hAnsi="SimSun" w:eastAsia="SimSun" w:cs="SimSun"/>
                <w:sz w:val="15"/>
                <w:szCs w:val="15"/>
                <w:color w:val="212529"/>
                <w:spacing w:val="9"/>
              </w:rPr>
              <w:t>乡村e镇公共服务中心2025年租赁</w:t>
            </w:r>
            <w:r>
              <w:rPr>
                <w:rFonts w:ascii="SimSun" w:hAnsi="SimSun" w:eastAsia="SimSun" w:cs="SimSun"/>
                <w:sz w:val="15"/>
                <w:szCs w:val="15"/>
                <w:color w:val="212529"/>
                <w:spacing w:val="5"/>
              </w:rPr>
              <w:t xml:space="preserve"> </w:t>
            </w:r>
            <w:r>
              <w:rPr>
                <w:rFonts w:ascii="SimSun" w:hAnsi="SimSun" w:eastAsia="SimSun" w:cs="SimSun"/>
                <w:sz w:val="15"/>
                <w:szCs w:val="15"/>
                <w:color w:val="212529"/>
              </w:rPr>
              <w:t>费</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188"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rPr>
          <w:rFonts w:ascii="Arial"/>
          <w:sz w:val="21"/>
        </w:rPr>
      </w:pPr>
      <w:r/>
    </w:p>
    <w:p>
      <w:pPr>
        <w:sectPr>
          <w:footerReference w:type="default" r:id="rId17"/>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单位名称：兴县电子商务服务中心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8"/>
          <w:pgSz w:w="11900" w:h="16840"/>
          <w:pgMar w:top="642" w:right="600" w:bottom="340" w:left="60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663" w:right="623" w:firstLine="456"/>
        <w:spacing w:before="187" w:line="323" w:lineRule="auto"/>
        <w:jc w:val="both"/>
        <w:rPr>
          <w:rFonts w:ascii="FangSong" w:hAnsi="FangSong" w:eastAsia="FangSong" w:cs="FangSong"/>
          <w:sz w:val="23"/>
          <w:szCs w:val="23"/>
        </w:rPr>
      </w:pPr>
      <w:r>
        <w:rPr>
          <w:rFonts w:ascii="FangSong" w:hAnsi="FangSong" w:eastAsia="FangSong" w:cs="FangSong"/>
          <w:sz w:val="23"/>
          <w:szCs w:val="23"/>
          <w:spacing w:val="10"/>
        </w:rPr>
        <w:t>2025年度兴县电子商务服务中心预算收入总计243.16万元，其中：本年收入2</w:t>
      </w:r>
      <w:r>
        <w:rPr>
          <w:rFonts w:ascii="FangSong" w:hAnsi="FangSong" w:eastAsia="FangSong" w:cs="FangSong"/>
          <w:sz w:val="23"/>
          <w:szCs w:val="23"/>
          <w:spacing w:val="9"/>
        </w:rPr>
        <w:t>43.16万</w:t>
      </w:r>
      <w:r>
        <w:rPr>
          <w:rFonts w:ascii="FangSong" w:hAnsi="FangSong" w:eastAsia="FangSong" w:cs="FangSong"/>
          <w:sz w:val="23"/>
          <w:szCs w:val="23"/>
        </w:rPr>
        <w:t xml:space="preserve"> </w:t>
      </w:r>
      <w:r>
        <w:rPr>
          <w:rFonts w:ascii="FangSong" w:hAnsi="FangSong" w:eastAsia="FangSong" w:cs="FangSong"/>
          <w:sz w:val="23"/>
          <w:szCs w:val="23"/>
          <w:spacing w:val="2"/>
        </w:rPr>
        <w:t>元，上年结转0万元，比上年减少832.01万元，下降77.38%，主要原因是本年度较上年度项目</w:t>
      </w:r>
      <w:r>
        <w:rPr>
          <w:rFonts w:ascii="FangSong" w:hAnsi="FangSong" w:eastAsia="FangSong" w:cs="FangSong"/>
          <w:sz w:val="23"/>
          <w:szCs w:val="23"/>
          <w:spacing w:val="2"/>
        </w:rPr>
        <w:t xml:space="preserve"> </w:t>
      </w:r>
      <w:r>
        <w:rPr>
          <w:rFonts w:ascii="FangSong" w:hAnsi="FangSong" w:eastAsia="FangSong" w:cs="FangSong"/>
          <w:sz w:val="23"/>
          <w:szCs w:val="23"/>
          <w:spacing w:val="5"/>
        </w:rPr>
        <w:t>支出包括以前年度结转资金较大及本年度安排减少较大，如电商物流费用等，以致上下年对</w:t>
      </w:r>
      <w:r>
        <w:rPr>
          <w:rFonts w:ascii="FangSong" w:hAnsi="FangSong" w:eastAsia="FangSong" w:cs="FangSong"/>
          <w:sz w:val="23"/>
          <w:szCs w:val="23"/>
          <w:spacing w:val="11"/>
        </w:rPr>
        <w:t xml:space="preserve"> </w:t>
      </w:r>
      <w:r>
        <w:rPr>
          <w:rFonts w:ascii="FangSong" w:hAnsi="FangSong" w:eastAsia="FangSong" w:cs="FangSong"/>
          <w:sz w:val="23"/>
          <w:szCs w:val="23"/>
          <w:spacing w:val="5"/>
        </w:rPr>
        <w:t>比变动减少较大。；本年单位预算支出总计243.16万元</w:t>
      </w:r>
      <w:r>
        <w:rPr>
          <w:rFonts w:ascii="FangSong" w:hAnsi="FangSong" w:eastAsia="FangSong" w:cs="FangSong"/>
          <w:sz w:val="23"/>
          <w:szCs w:val="23"/>
          <w:spacing w:val="4"/>
        </w:rPr>
        <w:t>，其中：本年预算安排243.16万元，</w:t>
      </w:r>
      <w:r>
        <w:rPr>
          <w:rFonts w:ascii="FangSong" w:hAnsi="FangSong" w:eastAsia="FangSong" w:cs="FangSong"/>
          <w:sz w:val="23"/>
          <w:szCs w:val="23"/>
        </w:rPr>
        <w:t xml:space="preserve"> </w:t>
      </w:r>
      <w:r>
        <w:rPr>
          <w:rFonts w:ascii="FangSong" w:hAnsi="FangSong" w:eastAsia="FangSong" w:cs="FangSong"/>
          <w:sz w:val="23"/>
          <w:szCs w:val="23"/>
          <w:spacing w:val="2"/>
        </w:rPr>
        <w:t>上年结转0万元，比上年减少832.01万元，下降77.38%，主要原因是本年度较上年度项目支出</w:t>
      </w:r>
      <w:r>
        <w:rPr>
          <w:rFonts w:ascii="FangSong" w:hAnsi="FangSong" w:eastAsia="FangSong" w:cs="FangSong"/>
          <w:sz w:val="23"/>
          <w:szCs w:val="23"/>
          <w:spacing w:val="2"/>
        </w:rPr>
        <w:t xml:space="preserve"> </w:t>
      </w:r>
      <w:r>
        <w:rPr>
          <w:rFonts w:ascii="FangSong" w:hAnsi="FangSong" w:eastAsia="FangSong" w:cs="FangSong"/>
          <w:sz w:val="23"/>
          <w:szCs w:val="23"/>
          <w:spacing w:val="5"/>
        </w:rPr>
        <w:t>包括以前年度结转资金较大及本年度安排减少较大，如电商物流费用等，以致上下年对比变</w:t>
      </w:r>
      <w:r>
        <w:rPr>
          <w:rFonts w:ascii="FangSong" w:hAnsi="FangSong" w:eastAsia="FangSong" w:cs="FangSong"/>
          <w:sz w:val="23"/>
          <w:szCs w:val="23"/>
          <w:spacing w:val="11"/>
        </w:rPr>
        <w:t xml:space="preserve"> </w:t>
      </w:r>
      <w:r>
        <w:rPr>
          <w:rFonts w:ascii="FangSong" w:hAnsi="FangSong" w:eastAsia="FangSong" w:cs="FangSong"/>
          <w:sz w:val="23"/>
          <w:szCs w:val="23"/>
          <w:spacing w:val="-3"/>
        </w:rPr>
        <w:t>动减少较大。</w:t>
      </w:r>
    </w:p>
    <w:p>
      <w:pPr>
        <w:ind w:left="6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659" w:right="623" w:firstLine="461"/>
        <w:spacing w:before="172" w:line="326" w:lineRule="auto"/>
        <w:jc w:val="both"/>
        <w:rPr>
          <w:rFonts w:ascii="FangSong" w:hAnsi="FangSong" w:eastAsia="FangSong" w:cs="FangSong"/>
          <w:sz w:val="23"/>
          <w:szCs w:val="23"/>
        </w:rPr>
      </w:pPr>
      <w:r>
        <w:rPr>
          <w:rFonts w:ascii="FangSong" w:hAnsi="FangSong" w:eastAsia="FangSong" w:cs="FangSong"/>
          <w:sz w:val="23"/>
          <w:szCs w:val="23"/>
          <w:spacing w:val="5"/>
        </w:rPr>
        <w:t>2025年度兴县电子商务服务中心预算收入243.16万元，主要包括一般公共预算拨款收入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243.16万元，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国有资本经营预</w:t>
      </w:r>
      <w:r>
        <w:rPr>
          <w:rFonts w:ascii="FangSong" w:hAnsi="FangSong" w:eastAsia="FangSong" w:cs="FangSong"/>
          <w:sz w:val="23"/>
          <w:szCs w:val="23"/>
        </w:rPr>
        <w:t>算拨款收</w:t>
      </w:r>
      <w:r>
        <w:rPr>
          <w:rFonts w:ascii="FangSong" w:hAnsi="FangSong" w:eastAsia="FangSong" w:cs="FangSong"/>
          <w:sz w:val="23"/>
          <w:szCs w:val="23"/>
        </w:rPr>
        <w:t xml:space="preserve"> </w:t>
      </w:r>
      <w:r>
        <w:rPr>
          <w:rFonts w:ascii="FangSong" w:hAnsi="FangSong" w:eastAsia="FangSong" w:cs="FangSong"/>
          <w:sz w:val="23"/>
          <w:szCs w:val="23"/>
          <w:spacing w:val="1"/>
        </w:rPr>
        <w:t>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占0%；单位资金0万</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占0%；上年结转0万</w:t>
      </w:r>
      <w:r>
        <w:rPr>
          <w:rFonts w:ascii="FangSong" w:hAnsi="FangSong" w:eastAsia="FangSong" w:cs="FangSong"/>
          <w:sz w:val="23"/>
          <w:szCs w:val="23"/>
        </w:rPr>
        <w:t xml:space="preserve"> </w:t>
      </w:r>
      <w:r>
        <w:rPr>
          <w:rFonts w:ascii="FangSong" w:hAnsi="FangSong" w:eastAsia="FangSong" w:cs="FangSong"/>
          <w:sz w:val="23"/>
          <w:szCs w:val="23"/>
          <w:spacing w:val="-11"/>
        </w:rPr>
        <w:t>元，</w:t>
      </w:r>
      <w:r>
        <w:rPr>
          <w:rFonts w:ascii="FangSong" w:hAnsi="FangSong" w:eastAsia="FangSong" w:cs="FangSong"/>
          <w:sz w:val="23"/>
          <w:szCs w:val="23"/>
          <w:spacing w:val="-59"/>
        </w:rPr>
        <w:t xml:space="preserve"> </w:t>
      </w:r>
      <w:r>
        <w:rPr>
          <w:rFonts w:ascii="FangSong" w:hAnsi="FangSong" w:eastAsia="FangSong" w:cs="FangSong"/>
          <w:sz w:val="23"/>
          <w:szCs w:val="23"/>
          <w:spacing w:val="-11"/>
        </w:rPr>
        <w:t>占0%。</w:t>
      </w:r>
    </w:p>
    <w:p>
      <w:pPr>
        <w:spacing w:line="449" w:lineRule="auto"/>
        <w:rPr>
          <w:rFonts w:ascii="Arial"/>
          <w:sz w:val="21"/>
        </w:rPr>
      </w:pPr>
      <w:r/>
    </w:p>
    <w:p>
      <w:pPr>
        <w:ind w:firstLine="2945"/>
        <w:spacing w:before="1" w:line="3117" w:lineRule="exact"/>
        <w:rPr/>
      </w:pPr>
      <w:r>
        <w:rPr>
          <w:position w:val="-62"/>
        </w:rPr>
        <w:drawing>
          <wp:inline distT="0" distB="0" distL="0" distR="0">
            <wp:extent cx="2435202" cy="1979727"/>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435202" cy="1979727"/>
                    </a:xfrm>
                    <a:prstGeom prst="rect">
                      <a:avLst/>
                    </a:prstGeom>
                  </pic:spPr>
                </pic:pic>
              </a:graphicData>
            </a:graphic>
          </wp:inline>
        </w:drawing>
      </w:r>
    </w:p>
    <w:p>
      <w:pPr>
        <w:ind w:left="662"/>
        <w:spacing w:before="317"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661" w:right="623" w:firstLine="459"/>
        <w:spacing w:before="175" w:line="322" w:lineRule="auto"/>
        <w:rPr>
          <w:rFonts w:ascii="FangSong" w:hAnsi="FangSong" w:eastAsia="FangSong" w:cs="FangSong"/>
          <w:sz w:val="23"/>
          <w:szCs w:val="23"/>
        </w:rPr>
      </w:pPr>
      <w:r>
        <w:rPr>
          <w:rFonts w:ascii="FangSong" w:hAnsi="FangSong" w:eastAsia="FangSong" w:cs="FangSong"/>
          <w:sz w:val="23"/>
          <w:szCs w:val="23"/>
          <w:spacing w:val="6"/>
        </w:rPr>
        <w:t>2025年度兴县电子商务服务中心支出预算243.16万元，其中：基本支出83.</w:t>
      </w:r>
      <w:r>
        <w:rPr>
          <w:rFonts w:ascii="FangSong" w:hAnsi="FangSong" w:eastAsia="FangSong" w:cs="FangSong"/>
          <w:sz w:val="23"/>
          <w:szCs w:val="23"/>
          <w:spacing w:val="5"/>
        </w:rPr>
        <w:t>16万元，</w:t>
      </w:r>
      <w:r>
        <w:rPr>
          <w:rFonts w:ascii="FangSong" w:hAnsi="FangSong" w:eastAsia="FangSong" w:cs="FangSong"/>
          <w:sz w:val="23"/>
          <w:szCs w:val="23"/>
          <w:spacing w:val="-50"/>
        </w:rPr>
        <w:t xml:space="preserve"> </w:t>
      </w:r>
      <w:r>
        <w:rPr>
          <w:rFonts w:ascii="FangSong" w:hAnsi="FangSong" w:eastAsia="FangSong" w:cs="FangSong"/>
          <w:sz w:val="23"/>
          <w:szCs w:val="23"/>
          <w:spacing w:val="5"/>
        </w:rPr>
        <w:t>占</w:t>
      </w:r>
      <w:r>
        <w:rPr>
          <w:rFonts w:ascii="FangSong" w:hAnsi="FangSong" w:eastAsia="FangSong" w:cs="FangSong"/>
          <w:sz w:val="23"/>
          <w:szCs w:val="23"/>
        </w:rPr>
        <w:t xml:space="preserve"> </w:t>
      </w:r>
      <w:r>
        <w:rPr>
          <w:rFonts w:ascii="FangSong" w:hAnsi="FangSong" w:eastAsia="FangSong" w:cs="FangSong"/>
          <w:sz w:val="23"/>
          <w:szCs w:val="23"/>
          <w:spacing w:val="-3"/>
        </w:rPr>
        <w:t>34.20%；项目支出160万元，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占65.80%。</w:t>
      </w:r>
    </w:p>
    <w:p>
      <w:pPr>
        <w:ind w:left="671"/>
        <w:spacing w:before="4"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663" w:right="623" w:firstLine="457"/>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2025年度兴县电子商务服务中心财政拨款收支总预算243.16万元。其中：一般公共预算</w:t>
      </w:r>
      <w:r>
        <w:rPr>
          <w:rFonts w:ascii="FangSong" w:hAnsi="FangSong" w:eastAsia="FangSong" w:cs="FangSong"/>
          <w:sz w:val="23"/>
          <w:szCs w:val="23"/>
        </w:rPr>
        <w:t xml:space="preserve"> </w:t>
      </w:r>
      <w:r>
        <w:rPr>
          <w:rFonts w:ascii="FangSong" w:hAnsi="FangSong" w:eastAsia="FangSong" w:cs="FangSong"/>
          <w:sz w:val="23"/>
          <w:szCs w:val="23"/>
          <w:spacing w:val="3"/>
        </w:rPr>
        <w:t>拨款243.16万元，政府性基金预算拨款0万元，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w:t>
      </w:r>
      <w:r>
        <w:rPr>
          <w:rFonts w:ascii="FangSong" w:hAnsi="FangSong" w:eastAsia="FangSong" w:cs="FangSong"/>
          <w:sz w:val="23"/>
          <w:szCs w:val="23"/>
          <w:spacing w:val="2"/>
        </w:rPr>
        <w:t>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w:t>
      </w:r>
      <w:r>
        <w:rPr>
          <w:rFonts w:ascii="FangSong" w:hAnsi="FangSong" w:eastAsia="FangSong" w:cs="FangSong"/>
          <w:sz w:val="23"/>
          <w:szCs w:val="23"/>
        </w:rPr>
        <w:t xml:space="preserve"> </w:t>
      </w:r>
      <w:r>
        <w:rPr>
          <w:rFonts w:ascii="FangSong" w:hAnsi="FangSong" w:eastAsia="FangSong" w:cs="FangSong"/>
          <w:sz w:val="23"/>
          <w:szCs w:val="23"/>
          <w:spacing w:val="2"/>
        </w:rPr>
        <w:t>款收入243.16万元，上年结转收入0万元。支出包括：社会保障和就业支出8.58万元、卫生健</w:t>
      </w:r>
      <w:r>
        <w:rPr>
          <w:rFonts w:ascii="FangSong" w:hAnsi="FangSong" w:eastAsia="FangSong" w:cs="FangSong"/>
          <w:sz w:val="23"/>
          <w:szCs w:val="23"/>
          <w:spacing w:val="5"/>
        </w:rPr>
        <w:t xml:space="preserve"> </w:t>
      </w:r>
      <w:r>
        <w:rPr>
          <w:rFonts w:ascii="FangSong" w:hAnsi="FangSong" w:eastAsia="FangSong" w:cs="FangSong"/>
          <w:sz w:val="23"/>
          <w:szCs w:val="23"/>
        </w:rPr>
        <w:t>康支出3.20万元、商业服务业等支出225.08万元、住房保障支出6.31万元等。</w:t>
      </w:r>
    </w:p>
    <w:p>
      <w:pPr>
        <w:ind w:left="6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1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7" w:right="623" w:firstLine="453"/>
        <w:spacing w:before="124" w:line="322" w:lineRule="auto"/>
        <w:rPr>
          <w:rFonts w:ascii="FangSong" w:hAnsi="FangSong" w:eastAsia="FangSong" w:cs="FangSong"/>
          <w:sz w:val="23"/>
          <w:szCs w:val="23"/>
        </w:rPr>
      </w:pPr>
      <w:r>
        <w:rPr>
          <w:rFonts w:ascii="FangSong" w:hAnsi="FangSong" w:eastAsia="FangSong" w:cs="FangSong"/>
          <w:sz w:val="23"/>
          <w:szCs w:val="23"/>
          <w:spacing w:val="2"/>
        </w:rPr>
        <w:t>2025年度兴县电子商务服务中心一般公共预算当年支出243.16万元,比上年减少404.01万</w:t>
      </w:r>
      <w:r>
        <w:rPr>
          <w:rFonts w:ascii="FangSong" w:hAnsi="FangSong" w:eastAsia="FangSong" w:cs="FangSong"/>
          <w:sz w:val="23"/>
          <w:szCs w:val="23"/>
          <w:spacing w:val="5"/>
        </w:rPr>
        <w:t xml:space="preserve"> </w:t>
      </w:r>
      <w:r>
        <w:rPr>
          <w:rFonts w:ascii="FangSong" w:hAnsi="FangSong" w:eastAsia="FangSong" w:cs="FangSong"/>
          <w:sz w:val="23"/>
          <w:szCs w:val="23"/>
          <w:spacing w:val="-2"/>
        </w:rPr>
        <w:t>元，下降62.43%。</w:t>
      </w:r>
    </w:p>
    <w:p>
      <w:pPr>
        <w:ind w:left="11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19"/>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663" w:right="623" w:firstLine="456"/>
        <w:spacing w:before="75" w:line="326" w:lineRule="auto"/>
        <w:rPr>
          <w:rFonts w:ascii="FangSong" w:hAnsi="FangSong" w:eastAsia="FangSong" w:cs="FangSong"/>
          <w:sz w:val="23"/>
          <w:szCs w:val="23"/>
        </w:rPr>
      </w:pPr>
      <w:bookmarkStart w:name="bookmark48" w:id="39"/>
      <w:bookmarkEnd w:id="39"/>
      <w:r>
        <w:rPr>
          <w:rFonts w:ascii="FangSong" w:hAnsi="FangSong" w:eastAsia="FangSong" w:cs="FangSong"/>
          <w:sz w:val="23"/>
          <w:szCs w:val="23"/>
          <w:spacing w:val="2"/>
        </w:rPr>
        <w:t>2025年度兴县电子商务服务中心一般公共预算当年支出243.16万元,主要用于以下方面：</w:t>
      </w:r>
      <w:r>
        <w:rPr>
          <w:rFonts w:ascii="FangSong" w:hAnsi="FangSong" w:eastAsia="FangSong" w:cs="FangSong"/>
          <w:sz w:val="23"/>
          <w:szCs w:val="23"/>
          <w:spacing w:val="8"/>
        </w:rPr>
        <w:t xml:space="preserve"> </w:t>
      </w:r>
      <w:r>
        <w:rPr>
          <w:rFonts w:ascii="FangSong" w:hAnsi="FangSong" w:eastAsia="FangSong" w:cs="FangSong"/>
          <w:sz w:val="23"/>
          <w:szCs w:val="23"/>
          <w:spacing w:val="2"/>
        </w:rPr>
        <w:t>社会保障和就业支出8.58万元，</w:t>
      </w:r>
      <w:r>
        <w:rPr>
          <w:rFonts w:ascii="FangSong" w:hAnsi="FangSong" w:eastAsia="FangSong" w:cs="FangSong"/>
          <w:sz w:val="23"/>
          <w:szCs w:val="23"/>
          <w:spacing w:val="-54"/>
        </w:rPr>
        <w:t xml:space="preserve"> </w:t>
      </w:r>
      <w:r>
        <w:rPr>
          <w:rFonts w:ascii="FangSong" w:hAnsi="FangSong" w:eastAsia="FangSong" w:cs="FangSong"/>
          <w:sz w:val="23"/>
          <w:szCs w:val="23"/>
          <w:spacing w:val="2"/>
        </w:rPr>
        <w:t>占3.53%；卫生健康支出3.20万元，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占1.</w:t>
      </w:r>
      <w:r>
        <w:rPr>
          <w:rFonts w:ascii="FangSong" w:hAnsi="FangSong" w:eastAsia="FangSong" w:cs="FangSong"/>
          <w:sz w:val="23"/>
          <w:szCs w:val="23"/>
          <w:spacing w:val="1"/>
        </w:rPr>
        <w:t>32%；商业服务业等</w:t>
      </w:r>
      <w:r>
        <w:rPr>
          <w:rFonts w:ascii="FangSong" w:hAnsi="FangSong" w:eastAsia="FangSong" w:cs="FangSong"/>
          <w:sz w:val="23"/>
          <w:szCs w:val="23"/>
        </w:rPr>
        <w:t xml:space="preserve"> </w:t>
      </w:r>
      <w:r>
        <w:rPr>
          <w:rFonts w:ascii="FangSong" w:hAnsi="FangSong" w:eastAsia="FangSong" w:cs="FangSong"/>
          <w:sz w:val="23"/>
          <w:szCs w:val="23"/>
          <w:spacing w:val="-3"/>
        </w:rPr>
        <w:t>支出225.08万元，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占92.56%；住房保障支出6.31万元，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占2.59%等。</w:t>
      </w:r>
    </w:p>
    <w:p>
      <w:pPr>
        <w:spacing w:line="445" w:lineRule="auto"/>
        <w:rPr>
          <w:rFonts w:ascii="Arial"/>
          <w:sz w:val="21"/>
        </w:rPr>
      </w:pPr>
      <w:r/>
    </w:p>
    <w:p>
      <w:pPr>
        <w:ind w:firstLine="3924"/>
        <w:spacing w:line="2448" w:lineRule="exact"/>
        <w:rPr/>
      </w:pPr>
      <w:r>
        <w:rPr>
          <w:position w:val="-48"/>
        </w:rPr>
        <w:drawing>
          <wp:inline distT="0" distB="0" distL="0" distR="0">
            <wp:extent cx="1953235" cy="1554168"/>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1953235" cy="1554168"/>
                    </a:xfrm>
                    <a:prstGeom prst="rect">
                      <a:avLst/>
                    </a:prstGeom>
                  </pic:spPr>
                </pic:pic>
              </a:graphicData>
            </a:graphic>
          </wp:inline>
        </w:drawing>
      </w:r>
    </w:p>
    <w:p>
      <w:pPr>
        <w:spacing w:line="241" w:lineRule="auto"/>
        <w:rPr>
          <w:rFonts w:ascii="Arial"/>
          <w:sz w:val="21"/>
        </w:rPr>
      </w:pPr>
      <w:r/>
    </w:p>
    <w:p>
      <w:pPr>
        <w:ind w:left="662"/>
        <w:spacing w:before="95" w:line="229"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2025年度兴县电子商务服务中心一般公共预算安排基本支出83.16万元，其中：</w:t>
      </w:r>
    </w:p>
    <w:p>
      <w:pPr>
        <w:ind w:left="664" w:right="623" w:firstLine="463"/>
        <w:spacing w:before="135" w:line="321" w:lineRule="auto"/>
        <w:rPr>
          <w:rFonts w:ascii="FangSong" w:hAnsi="FangSong" w:eastAsia="FangSong" w:cs="FangSong"/>
          <w:sz w:val="23"/>
          <w:szCs w:val="23"/>
        </w:rPr>
      </w:pPr>
      <w:r>
        <w:rPr>
          <w:rFonts w:ascii="FangSong" w:hAnsi="FangSong" w:eastAsia="FangSong" w:cs="FangSong"/>
          <w:sz w:val="23"/>
          <w:szCs w:val="23"/>
          <w:spacing w:val="2"/>
        </w:rPr>
        <w:t>人员经费78.99万元，主要包括：其他工资福利支出、其他社会保障缴费、绩效工资、基</w:t>
      </w:r>
      <w:r>
        <w:rPr>
          <w:rFonts w:ascii="FangSong" w:hAnsi="FangSong" w:eastAsia="FangSong" w:cs="FangSong"/>
          <w:sz w:val="23"/>
          <w:szCs w:val="23"/>
          <w:spacing w:val="10"/>
        </w:rPr>
        <w:t xml:space="preserve"> </w:t>
      </w:r>
      <w:r>
        <w:rPr>
          <w:rFonts w:ascii="FangSong" w:hAnsi="FangSong" w:eastAsia="FangSong" w:cs="FangSong"/>
          <w:sz w:val="23"/>
          <w:szCs w:val="23"/>
          <w:spacing w:val="5"/>
        </w:rPr>
        <w:t>本工资、住房公积金、机关事业单位基本养老保险缴费、退休费、职工基本医疗保险缴费、</w:t>
      </w:r>
      <w:r>
        <w:rPr>
          <w:rFonts w:ascii="FangSong" w:hAnsi="FangSong" w:eastAsia="FangSong" w:cs="FangSong"/>
          <w:sz w:val="23"/>
          <w:szCs w:val="23"/>
          <w:spacing w:val="11"/>
        </w:rPr>
        <w:t xml:space="preserve"> </w:t>
      </w:r>
      <w:r>
        <w:rPr>
          <w:rFonts w:ascii="FangSong" w:hAnsi="FangSong" w:eastAsia="FangSong" w:cs="FangSong"/>
          <w:sz w:val="23"/>
          <w:szCs w:val="23"/>
          <w:spacing w:val="-3"/>
        </w:rPr>
        <w:t>津贴补贴等；</w:t>
      </w:r>
    </w:p>
    <w:p>
      <w:pPr>
        <w:ind w:left="663" w:right="623" w:firstLine="465"/>
        <w:spacing w:before="9" w:line="320" w:lineRule="auto"/>
        <w:rPr>
          <w:rFonts w:ascii="FangSong" w:hAnsi="FangSong" w:eastAsia="FangSong" w:cs="FangSong"/>
          <w:sz w:val="23"/>
          <w:szCs w:val="23"/>
        </w:rPr>
      </w:pPr>
      <w:r>
        <w:rPr>
          <w:rFonts w:ascii="FangSong" w:hAnsi="FangSong" w:eastAsia="FangSong" w:cs="FangSong"/>
          <w:sz w:val="23"/>
          <w:szCs w:val="23"/>
          <w:spacing w:val="5"/>
        </w:rPr>
        <w:t>公用经费4.17万元，主要包括：办公费、福利费、其他商品和服务支出、差旅费、工会</w:t>
      </w:r>
      <w:r>
        <w:rPr>
          <w:rFonts w:ascii="FangSong" w:hAnsi="FangSong" w:eastAsia="FangSong" w:cs="FangSong"/>
          <w:sz w:val="23"/>
          <w:szCs w:val="23"/>
          <w:spacing w:val="6"/>
        </w:rPr>
        <w:t xml:space="preserve"> </w:t>
      </w:r>
      <w:r>
        <w:rPr>
          <w:rFonts w:ascii="FangSong" w:hAnsi="FangSong" w:eastAsia="FangSong" w:cs="FangSong"/>
          <w:sz w:val="23"/>
          <w:szCs w:val="23"/>
          <w:spacing w:val="-4"/>
        </w:rPr>
        <w:t>经费等。</w:t>
      </w:r>
    </w:p>
    <w:p>
      <w:pPr>
        <w:ind w:left="655"/>
        <w:spacing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20" w:line="230"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133"/>
        <w:spacing w:before="175" w:line="221" w:lineRule="auto"/>
        <w:rPr>
          <w:rFonts w:ascii="FangSong" w:hAnsi="FangSong" w:eastAsia="FangSong" w:cs="FangSong"/>
          <w:sz w:val="23"/>
          <w:szCs w:val="23"/>
        </w:rPr>
      </w:pPr>
      <w:r>
        <w:rPr>
          <w:rFonts w:ascii="FangSong" w:hAnsi="FangSong" w:eastAsia="FangSong" w:cs="FangSong"/>
          <w:sz w:val="23"/>
          <w:szCs w:val="23"/>
          <w:spacing w:val="-1"/>
        </w:rPr>
        <w:t>我单位为事业单位，无机关运行经费。</w:t>
      </w:r>
    </w:p>
    <w:p>
      <w:pPr>
        <w:ind w:left="658"/>
        <w:spacing w:before="133" w:line="225"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ind w:left="667" w:right="623" w:firstLine="453"/>
        <w:spacing w:before="176" w:line="322" w:lineRule="auto"/>
        <w:rPr>
          <w:rFonts w:ascii="FangSong" w:hAnsi="FangSong" w:eastAsia="FangSong" w:cs="FangSong"/>
          <w:sz w:val="23"/>
          <w:szCs w:val="23"/>
        </w:rPr>
      </w:pPr>
      <w:r>
        <w:rPr>
          <w:rFonts w:ascii="FangSong" w:hAnsi="FangSong" w:eastAsia="FangSong" w:cs="FangSong"/>
          <w:sz w:val="23"/>
          <w:szCs w:val="23"/>
          <w:spacing w:val="11"/>
        </w:rPr>
        <w:t>2025年兴县电子商务服务中心政府采购预算总额0万元。其中：政府采购货物预算0万</w:t>
      </w:r>
      <w:r>
        <w:rPr>
          <w:rFonts w:ascii="FangSong" w:hAnsi="FangSong" w:eastAsia="FangSong" w:cs="FangSong"/>
          <w:sz w:val="23"/>
          <w:szCs w:val="23"/>
          <w:spacing w:val="4"/>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660"/>
        <w:spacing w:before="5"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2" w:line="221" w:lineRule="auto"/>
        <w:rPr>
          <w:rFonts w:ascii="FangSong" w:hAnsi="FangSong" w:eastAsia="FangSong" w:cs="FangSong"/>
          <w:sz w:val="23"/>
          <w:szCs w:val="23"/>
        </w:rPr>
      </w:pPr>
      <w:r>
        <w:rPr>
          <w:rFonts w:ascii="FangSong" w:hAnsi="FangSong" w:eastAsia="FangSong" w:cs="FangSong"/>
          <w:sz w:val="23"/>
          <w:szCs w:val="23"/>
        </w:rPr>
        <w:t>2025年未编报单位整体绩效目标，涉及资金0万元。</w:t>
      </w:r>
    </w:p>
    <w:p>
      <w:pPr>
        <w:ind w:left="11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3" w:right="623" w:firstLine="456"/>
        <w:spacing w:before="120" w:line="325" w:lineRule="auto"/>
        <w:rPr>
          <w:rFonts w:ascii="FangSong" w:hAnsi="FangSong" w:eastAsia="FangSong" w:cs="FangSong"/>
          <w:sz w:val="23"/>
          <w:szCs w:val="23"/>
        </w:rPr>
      </w:pPr>
      <w:r>
        <w:rPr>
          <w:rFonts w:ascii="FangSong" w:hAnsi="FangSong" w:eastAsia="FangSong" w:cs="FangSong"/>
          <w:sz w:val="23"/>
          <w:szCs w:val="23"/>
          <w:spacing w:val="5"/>
        </w:rPr>
        <w:t>2025年兴县电子商务服务中心纳入绩效目标管理的2级项目2个，共计金额160.</w:t>
      </w:r>
      <w:r>
        <w:rPr>
          <w:rFonts w:ascii="FangSong" w:hAnsi="FangSong" w:eastAsia="FangSong" w:cs="FangSong"/>
          <w:sz w:val="23"/>
          <w:szCs w:val="23"/>
          <w:spacing w:val="4"/>
        </w:rPr>
        <w:t>00万元。</w:t>
      </w:r>
      <w:r>
        <w:rPr>
          <w:rFonts w:ascii="FangSong" w:hAnsi="FangSong" w:eastAsia="FangSong" w:cs="FangSong"/>
          <w:sz w:val="23"/>
          <w:szCs w:val="23"/>
        </w:rPr>
        <w:t xml:space="preserve"> </w:t>
      </w:r>
      <w:r>
        <w:rPr>
          <w:rFonts w:ascii="FangSong" w:hAnsi="FangSong" w:eastAsia="FangSong" w:cs="FangSong"/>
          <w:sz w:val="23"/>
          <w:szCs w:val="23"/>
          <w:spacing w:val="2"/>
        </w:rPr>
        <w:t>其中：其他运转类项目0个，涉及金额0万元；特定目标类项目2个，涉及金额160.00万元。公</w:t>
      </w:r>
      <w:r>
        <w:rPr>
          <w:rFonts w:ascii="FangSong" w:hAnsi="FangSong" w:eastAsia="FangSong" w:cs="FangSong"/>
          <w:sz w:val="23"/>
          <w:szCs w:val="23"/>
          <w:spacing w:val="6"/>
        </w:rPr>
        <w:t xml:space="preserve"> </w:t>
      </w:r>
      <w:r>
        <w:rPr>
          <w:rFonts w:ascii="FangSong" w:hAnsi="FangSong" w:eastAsia="FangSong" w:cs="FangSong"/>
          <w:sz w:val="23"/>
          <w:szCs w:val="23"/>
          <w:spacing w:val="6"/>
        </w:rPr>
        <w:t>开项目绩效目标2个，涉及项目金额160.00万元，</w:t>
      </w:r>
      <w:r>
        <w:rPr>
          <w:rFonts w:ascii="FangSong" w:hAnsi="FangSong" w:eastAsia="FangSong" w:cs="FangSong"/>
          <w:sz w:val="23"/>
          <w:szCs w:val="23"/>
          <w:spacing w:val="-51"/>
        </w:rPr>
        <w:t xml:space="preserve"> </w:t>
      </w:r>
      <w:r>
        <w:rPr>
          <w:rFonts w:ascii="FangSong" w:hAnsi="FangSong" w:eastAsia="FangSong" w:cs="FangSong"/>
          <w:sz w:val="23"/>
          <w:szCs w:val="23"/>
          <w:spacing w:val="6"/>
        </w:rPr>
        <w:t>占部门（单位）项目支出总</w:t>
      </w:r>
      <w:r>
        <w:rPr>
          <w:rFonts w:ascii="FangSong" w:hAnsi="FangSong" w:eastAsia="FangSong" w:cs="FangSong"/>
          <w:sz w:val="23"/>
          <w:szCs w:val="23"/>
          <w:spacing w:val="5"/>
        </w:rPr>
        <w:t>额的100%。其</w:t>
      </w:r>
      <w:r>
        <w:rPr>
          <w:rFonts w:ascii="FangSong" w:hAnsi="FangSong" w:eastAsia="FangSong" w:cs="FangSong"/>
          <w:sz w:val="23"/>
          <w:szCs w:val="23"/>
        </w:rPr>
        <w:t xml:space="preserve"> </w:t>
      </w:r>
      <w:r>
        <w:rPr>
          <w:rFonts w:ascii="FangSong" w:hAnsi="FangSong" w:eastAsia="FangSong" w:cs="FangSong"/>
          <w:sz w:val="23"/>
          <w:szCs w:val="23"/>
          <w:spacing w:val="2"/>
        </w:rPr>
        <w:t>中：其他运转类项目0个，涉及项目金额0万元；特定目标类项目2个，涉及项目金额160.00万</w:t>
      </w:r>
      <w:r>
        <w:rPr>
          <w:rFonts w:ascii="FangSong" w:hAnsi="FangSong" w:eastAsia="FangSong" w:cs="FangSong"/>
          <w:sz w:val="23"/>
          <w:szCs w:val="23"/>
          <w:spacing w:val="6"/>
        </w:rPr>
        <w:t xml:space="preserve"> </w:t>
      </w:r>
      <w:r>
        <w:rPr>
          <w:rFonts w:ascii="FangSong" w:hAnsi="FangSong" w:eastAsia="FangSong" w:cs="FangSong"/>
          <w:sz w:val="23"/>
          <w:szCs w:val="23"/>
          <w:spacing w:val="-8"/>
        </w:rPr>
        <w:t>元。</w:t>
      </w:r>
    </w:p>
    <w:p>
      <w:pPr>
        <w:ind w:left="664"/>
        <w:spacing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1"/>
          <w:pgSz w:w="11900" w:h="16840"/>
          <w:pgMar w:top="642" w:right="600" w:bottom="340" w:left="60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42" w:right="600" w:bottom="340" w:left="600" w:header="326" w:footer="111" w:gutter="0"/>
        </w:sectPr>
        <w:rPr/>
      </w:pPr>
    </w:p>
    <w:p>
      <w:pPr>
        <w:spacing w:line="271" w:lineRule="auto"/>
        <w:rPr>
          <w:rFonts w:ascii="Arial"/>
          <w:sz w:val="21"/>
        </w:rPr>
      </w:pPr>
      <w:r/>
    </w:p>
    <w:p>
      <w:pPr>
        <w:spacing w:line="271"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日，兴县电子商务服务中心共有公务用车编制0辆，实有0辆，其中：领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导用车0辆，机要通信用车0辆，应急保障用车0辆，执法执勤用车0辆，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日，兴县电子商务服务</w:t>
      </w:r>
      <w:r>
        <w:rPr>
          <w:rFonts w:ascii="FangSong" w:hAnsi="FangSong" w:eastAsia="FangSong" w:cs="FangSong"/>
          <w:sz w:val="23"/>
          <w:szCs w:val="23"/>
          <w:spacing w:val="-2"/>
        </w:rPr>
        <w:t>中心使用的办公用房建筑总面积48平方米。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日，兴县电子商务服务中心占有使用价值50万元（原值）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9"/>
        </w:rPr>
        <w:t>备0台（套</w:t>
      </w:r>
      <w:r>
        <w:rPr>
          <w:rFonts w:ascii="FangSong" w:hAnsi="FangSong" w:eastAsia="FangSong" w:cs="FangSong"/>
          <w:sz w:val="23"/>
          <w:szCs w:val="23"/>
          <w:spacing w:val="3"/>
        </w:rPr>
        <w:t>）</w:t>
      </w:r>
      <w:r>
        <w:rPr>
          <w:rFonts w:ascii="FangSong" w:hAnsi="FangSong" w:eastAsia="FangSong" w:cs="FangSong"/>
          <w:sz w:val="23"/>
          <w:szCs w:val="23"/>
          <w:spacing w:val="-54"/>
        </w:rPr>
        <w:t xml:space="preserve"> </w:t>
      </w:r>
      <w:r>
        <w:rPr>
          <w:rFonts w:ascii="FangSong" w:hAnsi="FangSong" w:eastAsia="FangSong" w:cs="FangSong"/>
          <w:sz w:val="23"/>
          <w:szCs w:val="23"/>
          <w:spacing w:val="3"/>
        </w:rPr>
        <w:t>；</w:t>
      </w:r>
      <w:r>
        <w:rPr>
          <w:rFonts w:ascii="FangSong" w:hAnsi="FangSong" w:eastAsia="FangSong" w:cs="FangSong"/>
          <w:sz w:val="23"/>
          <w:szCs w:val="23"/>
          <w:spacing w:val="9"/>
        </w:rPr>
        <w:t>兴县电子商务服务中心</w:t>
      </w:r>
      <w:r>
        <w:rPr>
          <w:rFonts w:ascii="FangSong" w:hAnsi="FangSong" w:eastAsia="FangSong" w:cs="FangSong"/>
          <w:sz w:val="23"/>
          <w:szCs w:val="23"/>
          <w:spacing w:val="-46"/>
        </w:rPr>
        <w:t xml:space="preserve"> </w:t>
      </w:r>
      <w:r>
        <w:rPr>
          <w:rFonts w:ascii="FangSong" w:hAnsi="FangSong" w:eastAsia="FangSong" w:cs="FangSong"/>
          <w:sz w:val="23"/>
          <w:szCs w:val="23"/>
          <w:spacing w:val="9"/>
        </w:rPr>
        <w:t>占有使用价值100万元（原值）</w:t>
      </w:r>
      <w:r>
        <w:rPr>
          <w:rFonts w:ascii="FangSong" w:hAnsi="FangSong" w:eastAsia="FangSong" w:cs="FangSong"/>
          <w:sz w:val="23"/>
          <w:szCs w:val="23"/>
          <w:spacing w:val="-46"/>
        </w:rPr>
        <w:t xml:space="preserve"> </w:t>
      </w:r>
      <w:r>
        <w:rPr>
          <w:rFonts w:ascii="FangSong" w:hAnsi="FangSong" w:eastAsia="FangSong" w:cs="FangSong"/>
          <w:sz w:val="23"/>
          <w:szCs w:val="23"/>
          <w:spacing w:val="9"/>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6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1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1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7"/>
          <w:pgSz w:w="11900" w:h="16840"/>
          <w:pgMar w:top="642" w:right="600" w:bottom="340" w:left="60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2" name="IM 12"/>
            <wp:cNvGraphicFramePr/>
            <a:graphic>
              <a:graphicData uri="http://schemas.openxmlformats.org/drawingml/2006/picture">
                <pic:pic>
                  <pic:nvPicPr>
                    <pic:cNvPr id="12" name="IM 12"/>
                    <pic:cNvPicPr/>
                  </pic:nvPicPr>
                  <pic:blipFill>
                    <a:blip r:embed="rId29"/>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28"/>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0"/>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4"/>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6"/>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8"/>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0"/>
          <w:pgSz w:w="11900" w:h="16840"/>
          <w:pgMar w:top="642" w:right="600" w:bottom="340" w:left="600" w:header="326" w:footer="111" w:gutter="0"/>
        </w:sectPr>
        <w:rPr/>
      </w:pPr>
    </w:p>
    <w:p>
      <w:pPr>
        <w:spacing w:line="269" w:lineRule="auto"/>
        <w:rPr>
          <w:rFonts w:ascii="Arial"/>
          <w:sz w:val="21"/>
        </w:rPr>
      </w:pPr>
      <w:r/>
    </w:p>
    <w:p>
      <w:pPr>
        <w:spacing w:line="270"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2"/>
      <w:pgSz w:w="11900" w:h="16840"/>
      <w:pgMar w:top="642" w:right="600" w:bottom="340" w:left="60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bookmarkStart w:name="bookmark49" w:id="49"/>
    <w:bookmarkEnd w:id="49"/>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兴县电子商务服务中心2025年单位预算公开报告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sz w:val="16"/>
        <w:szCs w:val="16"/>
        <w:spacing w:val="-2"/>
        <w:position w:val="1"/>
      </w:rPr>
      <w:t>兴县电子商务服务中心2025年单位预算公开报告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styles" Target="styles.xml"/><Relationship Id="rId43" Type="http://schemas.openxmlformats.org/officeDocument/2006/relationships/settings" Target="settings.xml"/><Relationship Id="rId42" Type="http://schemas.openxmlformats.org/officeDocument/2006/relationships/footer" Target="footer28.xml"/><Relationship Id="rId41" Type="http://schemas.openxmlformats.org/officeDocument/2006/relationships/image" Target="media/image12.png"/><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2025-05-10T12:00:44Z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2025-09-26T10:26:54</vt:filetime>
  </property>
</Properties>
</file>