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520" w:lineRule="exact"/>
        <w:jc w:val="center"/>
        <w:textAlignment w:val="auto"/>
        <w:rPr>
          <w:rFonts w:hint="eastAsia" w:ascii="黑体" w:hAnsi="黑体" w:eastAsia="黑体" w:cs="黑体"/>
          <w:b w:val="0"/>
          <w:bCs w:val="0"/>
          <w:sz w:val="36"/>
          <w:szCs w:val="28"/>
          <w:lang w:val="en-US" w:eastAsia="zh-CN"/>
        </w:rPr>
      </w:pPr>
      <w:r>
        <w:rPr>
          <w:rFonts w:hint="eastAsia" w:ascii="黑体" w:hAnsi="黑体" w:eastAsia="黑体" w:cs="黑体"/>
          <w:b w:val="0"/>
          <w:bCs w:val="0"/>
          <w:sz w:val="36"/>
          <w:szCs w:val="28"/>
          <w:lang w:val="en-US" w:eastAsia="zh-CN"/>
        </w:rPr>
        <w:t>兴县财政局部门整体支出</w:t>
      </w:r>
    </w:p>
    <w:p>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520" w:lineRule="exact"/>
        <w:jc w:val="center"/>
        <w:textAlignment w:val="auto"/>
        <w:rPr>
          <w:rFonts w:hint="eastAsia" w:ascii="黑体" w:hAnsi="黑体" w:eastAsia="黑体" w:cs="黑体"/>
          <w:b w:val="0"/>
          <w:bCs w:val="0"/>
          <w:sz w:val="36"/>
          <w:szCs w:val="28"/>
          <w:lang w:val="en-US" w:eastAsia="zh-CN"/>
        </w:rPr>
      </w:pPr>
      <w:r>
        <w:rPr>
          <w:rFonts w:hint="eastAsia" w:ascii="黑体" w:hAnsi="黑体" w:eastAsia="黑体" w:cs="黑体"/>
          <w:b w:val="0"/>
          <w:bCs w:val="0"/>
          <w:sz w:val="36"/>
          <w:szCs w:val="28"/>
          <w:lang w:val="en-US" w:eastAsia="zh-CN"/>
        </w:rPr>
        <w:t>绩效自评报告</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兴县财政局《关于开展2021年度预算项目支出绩效评价和部门整体支出绩效评价工作的通知》（兴财绩〔2021〕1122号）要求，结合兴县财政局实际情况，我局认真开展了2021年部门整体支出绩效管理自检自查工作，现将本项目绩效自评情况说明如下：</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一、部门概况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（一）部门主要职责职能</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贯彻执行国家财政、税收、宏观经济等各项方针政策，拟定和执行全县财政、税收发展战略、中长期规划、改革方案及其他有关政策，参与制定全县各项宏观经济政策，提出运用财税政策实施宏观调控和综合平衡社会财力的建议。</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2.贯彻执行国家及省市财政财务、会计管理等法律、法规及各项方针政策，拟定全县财政、财务、会计管理的具体规定和办法等。</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3.负责全县财政总预算和总决算工作，编制年度全县预决算草案并组织执行。受县政府委托向县人大报告全县财政预算及其执行情况，管理县级各项财政收入、预算外资金和财政专户，管理有关政府性基金。</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4.贯彻执行国家有关政府采购的政策，负责管理和监督政府荼。</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5.贯彻执行国家各项收费政策，监督管理行政事业单位预算内外收费工作，查处乱收费行为。</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6.负责各项专项资金的管理、拨付工作，负责项目审查，资金使用事前、带中、事后监督工作。</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7.负责民政优抚、社会救济、救灾、社会保障、粮食直补、家电下乡及三农等资金的管理拨付工作。</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8.负责资金调度工作。</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9.负责各类财政性有偿资金的回收工作。</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10.负责排污费、水资源费和各类基金、罚没收入的征收入库工作。</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11.负责制定各类财务制度，管理监督检查行政、事业单位遵守财经纪律，执行财务制度情况，对违反财经制度问题作出处罚。</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12.监督金融机构的全部财务活动。</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13.负责制定企业财务制度，管理监督工商业等企业财务收支活动情况，处罚违纪违规行为。</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14.负责全县会计人员的管理工作。</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15.负责乡财县管工作。</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16.承担县委、县政府交办的随机性工作。</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（二）组织架构、人员及资产情况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_GB2312" w:hAnsi="仿宋_GB2312" w:cs="仿宋_GB2312"/>
          <w:b w:val="0"/>
          <w:bCs w:val="0"/>
          <w:sz w:val="32"/>
          <w:szCs w:val="24"/>
          <w:lang w:val="en-US" w:eastAsia="zh-CN"/>
        </w:rPr>
      </w:pPr>
      <w:r>
        <w:rPr>
          <w:rFonts w:hint="eastAsia" w:ascii="仿宋" w:hAnsi="仿宋" w:eastAsia="仿宋" w:cs="仿宋"/>
          <w:b/>
          <w:bCs/>
          <w:sz w:val="32"/>
          <w:szCs w:val="24"/>
          <w:lang w:val="en-US" w:eastAsia="zh-CN"/>
        </w:rPr>
        <w:t>1.组织架构</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从部门预算构成看，兴县财政局预算主要包括局机关预算、局属事业单位预算。包括兴县财政局、兴县会计核算中心。内设办公室、预算股、行政政法股、社保股、经建股、农财股、预算服务中心、国库支付中心。</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_GB2312" w:hAnsi="仿宋_GB2312" w:cs="仿宋_GB2312"/>
          <w:b w:val="0"/>
          <w:bCs w:val="0"/>
          <w:sz w:val="32"/>
          <w:szCs w:val="24"/>
          <w:lang w:val="en-US" w:eastAsia="zh-CN"/>
        </w:rPr>
      </w:pPr>
      <w:r>
        <w:rPr>
          <w:rFonts w:hint="eastAsia" w:ascii="仿宋" w:hAnsi="仿宋" w:eastAsia="仿宋" w:cs="仿宋"/>
          <w:b/>
          <w:bCs/>
          <w:sz w:val="32"/>
          <w:szCs w:val="24"/>
          <w:lang w:val="en-US" w:eastAsia="zh-CN"/>
        </w:rPr>
        <w:t>2.人员构成</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领导班子现有成员四名： 财政局行政编制9名。设局长1名，副局长2名；科级领导职数1正2副。机关现有干部职工48人，其中15名公务员、3名机关工人、25名事业人员、5名行政人员。</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仿宋" w:hAnsi="仿宋" w:eastAsia="仿宋" w:cs="仿宋"/>
          <w:b/>
          <w:bCs/>
          <w:sz w:val="32"/>
          <w:szCs w:val="24"/>
          <w:lang w:val="en-US" w:eastAsia="zh-CN"/>
        </w:rPr>
        <w:t>3.资产情况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（1）车辆情况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我单位预算编制车1辆，公务用车晋JSA157。</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（2）房屋情况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行政单位办公用房、其他用房及职工宿舍，未超党政机关办公用房标准。</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（3）本单位2020年12月底国有资产总额576.15万元，其中固定资产843.3万元。包括土地、房屋及构筑物169.2万元、通用设备642.53万元、图书档案0.28万元、家具用具装具及动植物31.29万元。</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楷体" w:hAnsi="楷体" w:eastAsia="楷体" w:cs="楷体"/>
          <w:b/>
          <w:bCs/>
          <w:sz w:val="32"/>
          <w:szCs w:val="24"/>
          <w:lang w:val="en-US" w:eastAsia="zh-CN"/>
        </w:rPr>
      </w:pPr>
      <w:r>
        <w:rPr>
          <w:rFonts w:hint="eastAsia" w:ascii="楷体" w:hAnsi="楷体" w:eastAsia="楷体" w:cs="楷体"/>
          <w:b/>
          <w:bCs/>
          <w:sz w:val="32"/>
          <w:szCs w:val="24"/>
          <w:lang w:val="en-US" w:eastAsia="zh-CN"/>
        </w:rPr>
        <w:t>（三）当年部门履职总体目标、工作任务</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1.强化收入抓征管</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2.优化支出提效益</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3.争取资金保重点</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4.多举措并强监管</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5.健全机制控风险</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6.加快推进现代国库制度建设</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7.深化改革促发展</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8.以“六权治本”为手段，切实规范财政管理。</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（四）当年部门年度整体支出绩效目标</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2021年本单位涉及绩效管理的项目共16个，共涉及资金3777.61万元。实行绩效管理的项目都已设定绩效目标，并填写《项目绩效目标申报表》随同预算上报，待项目完成后再进行项目支出绩效评价。</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楷体" w:hAnsi="楷体" w:eastAsia="楷体" w:cs="楷体"/>
          <w:b/>
          <w:bCs/>
          <w:sz w:val="32"/>
          <w:szCs w:val="24"/>
          <w:lang w:val="en-US" w:eastAsia="zh-CN"/>
        </w:rPr>
      </w:pP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（五）部门预算</w:t>
      </w:r>
      <w:bookmarkStart w:id="0" w:name="_GoBack"/>
      <w:bookmarkEnd w:id="0"/>
      <w:r>
        <w:rPr>
          <w:rFonts w:hint="eastAsia" w:ascii="楷体" w:hAnsi="楷体" w:eastAsia="楷体" w:cs="楷体"/>
          <w:b/>
          <w:bCs/>
          <w:sz w:val="32"/>
          <w:szCs w:val="24"/>
          <w:lang w:val="en-US" w:eastAsia="zh-CN"/>
        </w:rPr>
        <w:t>绩效管理开展情况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根据预算批复文件精神，市财政局2021年涉及预算绩效的项目有：农村财会人员培训、预算一体化培训、2020年预算评审费、2021年工勤人员、2018年《财政志》编撰费、办公费、办公设备购置、惠民惠农财政补贴一卡通监管平台建设费、网络安全威胁分析设备、委托业务费、信息化建设、兴县发展融资担保公司注册资本金、资金检查费等项目。</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（六）当年部门预算及执行情况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_GB2312" w:hAnsi="仿宋_GB2312" w:cs="仿宋_GB2312"/>
          <w:b w:val="0"/>
          <w:bCs w:val="0"/>
          <w:sz w:val="32"/>
          <w:szCs w:val="24"/>
          <w:lang w:val="en-US" w:eastAsia="zh-CN"/>
        </w:rPr>
      </w:pPr>
      <w:r>
        <w:rPr>
          <w:rFonts w:hint="eastAsia" w:ascii="仿宋" w:hAnsi="仿宋" w:eastAsia="仿宋" w:cs="仿宋"/>
          <w:b/>
          <w:bCs/>
          <w:sz w:val="32"/>
          <w:szCs w:val="24"/>
          <w:lang w:val="en-US" w:eastAsia="zh-CN"/>
        </w:rPr>
        <w:t>1.收入预算总体安排情况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兴县财政局2021年收入预算4395万元，全部为财政拨款。相比2020年收入预算2808.78万元增加了69%。增加预算主要原因2021年兴县发展融资担保公司注册资本金增加了2000万元等成为预算收入增加的主要原因。</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仿宋" w:hAnsi="仿宋" w:eastAsia="仿宋" w:cs="仿宋"/>
          <w:b/>
          <w:bCs/>
          <w:sz w:val="32"/>
          <w:szCs w:val="24"/>
          <w:lang w:val="en-US" w:eastAsia="zh-CN"/>
        </w:rPr>
        <w:t>2.</w:t>
      </w:r>
      <w:r>
        <w:rPr>
          <w:rFonts w:hint="default" w:ascii="仿宋" w:hAnsi="仿宋" w:eastAsia="仿宋" w:cs="仿宋"/>
          <w:b/>
          <w:bCs/>
          <w:sz w:val="32"/>
          <w:szCs w:val="24"/>
          <w:lang w:val="en-US" w:eastAsia="zh-CN"/>
        </w:rPr>
        <w:t>支出预算总体安排情况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基本支出617.39万元，按支出经济分类包括工资福利支出556.79万元，相比2020年工资福利支出527.01万元增加了5.7%，增加原因为财政在预算审核时统筹考虑等；商品和服务支出51.21万元，相比2020年商品服务支出46.46万元，增加了10.22%，各单位股室厉行勤俭节约，反对浪费为主要原因；对个人和家庭的补助支出9.39万元，相比2020年个人和家庭的补助支出10.93万元，减少了14.09%，增加原因为财政在预算审核时统筹考虑。</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项目支出3777.61万元，相比2020年项目支出2224.38万元，增加了69.8%，主要预算评审费，2021年兴县发展融资担保公司注册资本金增加了2000万元等成为预算收入增加的主要原因。</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仿宋" w:hAnsi="仿宋" w:eastAsia="仿宋" w:cs="仿宋"/>
          <w:b/>
          <w:bCs/>
          <w:sz w:val="32"/>
          <w:szCs w:val="24"/>
          <w:lang w:val="en-US" w:eastAsia="zh-CN"/>
        </w:rPr>
        <w:t>3.机关运行经费</w:t>
      </w:r>
      <w:r>
        <w:rPr>
          <w:rFonts w:hint="default" w:ascii="仿宋" w:hAnsi="仿宋" w:eastAsia="仿宋" w:cs="仿宋"/>
          <w:b/>
          <w:bCs/>
          <w:sz w:val="32"/>
          <w:szCs w:val="24"/>
          <w:lang w:val="en-US" w:eastAsia="zh-CN"/>
        </w:rPr>
        <w:t>情况</w:t>
      </w:r>
    </w:p>
    <w:p>
      <w:pPr>
        <w:keepNext/>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我单位2021年机关运行经费财政拨款预算51.21万元，包括定员定额经费15.36万元、工会经费6.38万元、福利费11.17万元、公务用车运行费2.5万元、其他交通补贴13.14万元，其他商品服务支出2.66万元，相比2020年机关运行经费46.46万元增加了10.22%。增加的主要原因是人员退休工会经费增加。</w:t>
      </w:r>
    </w:p>
    <w:p>
      <w:pPr>
        <w:keepNext/>
        <w:keepLines w:val="0"/>
        <w:pageBreakBefore w:val="0"/>
        <w:widowControl w:val="0"/>
        <w:numPr>
          <w:ilvl w:val="0"/>
          <w:numId w:val="1"/>
        </w:numPr>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default" w:ascii="仿宋" w:hAnsi="仿宋" w:eastAsia="仿宋" w:cs="仿宋"/>
          <w:b/>
          <w:bCs/>
          <w:sz w:val="32"/>
          <w:szCs w:val="24"/>
          <w:lang w:val="en-US" w:eastAsia="zh-CN"/>
        </w:rPr>
      </w:pPr>
      <w:r>
        <w:rPr>
          <w:rFonts w:hint="eastAsia" w:ascii="仿宋" w:hAnsi="仿宋" w:eastAsia="仿宋" w:cs="仿宋"/>
          <w:b/>
          <w:bCs/>
          <w:sz w:val="32"/>
          <w:szCs w:val="24"/>
          <w:lang w:val="en-US" w:eastAsia="zh-CN"/>
        </w:rPr>
        <w:t>政府采购</w:t>
      </w:r>
      <w:r>
        <w:rPr>
          <w:rFonts w:hint="default" w:ascii="仿宋" w:hAnsi="仿宋" w:eastAsia="仿宋" w:cs="仿宋"/>
          <w:b/>
          <w:bCs/>
          <w:sz w:val="32"/>
          <w:szCs w:val="24"/>
          <w:lang w:val="en-US" w:eastAsia="zh-CN"/>
        </w:rPr>
        <w:t>情况</w:t>
      </w:r>
    </w:p>
    <w:p>
      <w:pPr>
        <w:keepNext/>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2021年财政局政府采购预算总额116.9万元</w:t>
      </w: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比2020年120万元减少2.5%</w:t>
      </w: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减少的主要原因是财政在预算采购时统筹考虑及我单位</w:t>
      </w:r>
      <w:r>
        <w:rPr>
          <w:rFonts w:hint="eastAsia" w:ascii="仿宋_GB2312" w:hAnsi="仿宋_GB2312" w:cs="仿宋_GB2312"/>
          <w:b w:val="0"/>
          <w:bCs w:val="0"/>
          <w:sz w:val="32"/>
          <w:szCs w:val="24"/>
          <w:lang w:val="en-US" w:eastAsia="zh-CN"/>
        </w:rPr>
        <w:t>厉行勤俭节约</w:t>
      </w:r>
      <w:r>
        <w:rPr>
          <w:rFonts w:hint="default" w:ascii="仿宋_GB2312" w:hAnsi="仿宋_GB2312" w:cs="仿宋_GB2312"/>
          <w:b w:val="0"/>
          <w:bCs w:val="0"/>
          <w:sz w:val="32"/>
          <w:szCs w:val="24"/>
          <w:lang w:val="en-US" w:eastAsia="zh-CN"/>
        </w:rPr>
        <w:t>的优良传统。</w:t>
      </w:r>
    </w:p>
    <w:p>
      <w:pPr>
        <w:keepNext/>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highlight w:val="none"/>
          <w:lang w:val="en-US" w:eastAsia="zh-CN"/>
        </w:rPr>
      </w:pPr>
      <w:r>
        <w:rPr>
          <w:rFonts w:hint="eastAsia" w:ascii="黑体" w:hAnsi="黑体" w:eastAsia="黑体" w:cs="黑体"/>
          <w:b w:val="0"/>
          <w:bCs w:val="0"/>
          <w:sz w:val="32"/>
          <w:szCs w:val="24"/>
          <w:highlight w:val="none"/>
          <w:lang w:val="en-US" w:eastAsia="zh-CN"/>
        </w:rPr>
        <w:t>二、部门整体支出绩效实现情况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（一）履职完成情况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1.科学理财，财政收入平稳增长</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eastAsia="仿宋_GB2312" w:cs="仿宋_GB2312"/>
          <w:snapToGrid w:val="0"/>
          <w:sz w:val="32"/>
          <w:szCs w:val="32"/>
          <w:lang w:val="en-US" w:eastAsia="zh-CN"/>
        </w:rPr>
      </w:pPr>
      <w:r>
        <w:rPr>
          <w:rFonts w:hint="eastAsia" w:ascii="仿宋_GB2312" w:hAnsi="仿宋_GB2312" w:eastAsia="仿宋_GB2312" w:cs="仿宋_GB2312"/>
          <w:snapToGrid w:val="0"/>
          <w:sz w:val="32"/>
          <w:szCs w:val="32"/>
          <w:lang w:val="en-US" w:eastAsia="zh-CN"/>
        </w:rPr>
        <w:t>一是以组织财政收入为中心，加强与税务部门的联系和协调，积极谋划综合治税各项管理制度，充分挖掘财政增收潜力，加大对重点领域、重点行业、重点税源的调控，做到应收尽收；二是严格执行“收支两条线”，加大非税收入征缴力度，确保非税收入应收尽收；三是紧抓国家应对疫情出台的一系列政策机遇，把争资争项作为财政工作头等大事，今年我县争取上级各类转移支付资金18.96亿元，同比增长5.32%；争取各类债券资金4.13亿元。</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2.民生导向，“三保”底线兜牢兜实</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eastAsia="仿宋_GB2312" w:cs="仿宋_GB2312"/>
          <w:snapToGrid w:val="0"/>
          <w:sz w:val="32"/>
          <w:szCs w:val="32"/>
          <w:lang w:val="en-US" w:eastAsia="zh-CN"/>
        </w:rPr>
      </w:pPr>
      <w:r>
        <w:rPr>
          <w:rFonts w:hint="eastAsia" w:ascii="仿宋_GB2312" w:hAnsi="仿宋_GB2312" w:eastAsia="仿宋_GB2312" w:cs="仿宋_GB2312"/>
          <w:snapToGrid w:val="0"/>
          <w:sz w:val="32"/>
          <w:szCs w:val="32"/>
          <w:lang w:val="en-US" w:eastAsia="zh-CN"/>
        </w:rPr>
        <w:t>一是坚守三保支出底线。充分发挥公共财政职能，合理安排支出，科学调度资金，坚持保压结合，优化支出结构，切实保障民生工程等重点支出需要。全县教育、医疗、卫生、社保、农林水等民生投入达到25.04亿元，占一般公共预算支出的比重达到75.97%。二是严控一般消费性支出。在严格预算管理，硬化预算约束，从严控制预算追加的同时，大力压减一般性支出，严控“三公”经费，坚决反对铺张浪费，切实提高财政资金的使用效益，将节省下来的资金优先用于“三保”及重点领域支出，各项民生领域支出得到了较好保障。三是投资评审、政府采购纵深推进。全年共完成评审项目42个，送审金额18.89亿元，审定金额17.61亿元，核减金额1.28亿元，综合核减率6.78%；全年政府采购预算14505.3万元，实际支出14217.6万元，节约资金287.7万元，节约率1.98%。各项相关支出得到有效控制，“三保”支出得到了进一步保障。</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3.严格履职，打好三大攻坚战</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eastAsia="仿宋_GB2312" w:cs="仿宋_GB2312"/>
          <w:snapToGrid w:val="0"/>
          <w:sz w:val="32"/>
          <w:szCs w:val="32"/>
          <w:lang w:val="en-US" w:eastAsia="zh-CN"/>
        </w:rPr>
      </w:pPr>
      <w:r>
        <w:rPr>
          <w:rFonts w:hint="eastAsia" w:ascii="仿宋_GB2312" w:hAnsi="仿宋_GB2312" w:eastAsia="仿宋_GB2312" w:cs="仿宋_GB2312"/>
          <w:snapToGrid w:val="0"/>
          <w:sz w:val="32"/>
          <w:szCs w:val="32"/>
          <w:lang w:val="en-US" w:eastAsia="zh-CN"/>
        </w:rPr>
        <w:t>一是扎实巩固脱贫攻坚成果。及时足额安排乡村振兴衔接资金31934.16万元，有力保障巩固脱贫攻坚成果与乡村振兴的有效衔接，有效推动扶贫资金动态监控落到实处，确保扶贫资金专款专用。二是全力化解债务风险。我县通过隐性债务监测平台对全县200多个单位部门的隐性债务进行动态监测，督促债务化解，有效防范债务风险</w:t>
      </w:r>
      <w:r>
        <w:rPr>
          <w:rFonts w:hint="eastAsia" w:ascii="仿宋_GB2312" w:hAnsi="仿宋_GB2312" w:cs="仿宋_GB2312"/>
          <w:snapToGrid w:val="0"/>
          <w:sz w:val="32"/>
          <w:szCs w:val="32"/>
          <w:lang w:val="en-US" w:eastAsia="zh-CN"/>
        </w:rPr>
        <w:t>，</w:t>
      </w:r>
      <w:r>
        <w:rPr>
          <w:rFonts w:hint="eastAsia" w:ascii="仿宋_GB2312" w:hAnsi="仿宋_GB2312" w:eastAsia="仿宋_GB2312" w:cs="仿宋_GB2312"/>
          <w:snapToGrid w:val="0"/>
          <w:sz w:val="32"/>
          <w:szCs w:val="32"/>
          <w:lang w:val="en-US" w:eastAsia="zh-CN"/>
        </w:rPr>
        <w:t>已圆满完成全年的债务化解任务。三是强力推进污染防治。今年在财政支出压力较大的情况下，我县在大力推进主要污染物总量减排，加强农村环境污染治理，强化大气、水、土壤污染治理能力，提升环境监测水平和监察执法能力等方面持续发力。2021年以来，共安排生态环保资金36861.845万元。其中：上级专项资金19492.098万元，县级财政资金17369.747万元。为全县生态环境保护工作提供了强有力的资金保障。</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4.优化管理，财政运行明显提升</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eastAsia="仿宋_GB2312" w:cs="仿宋_GB2312"/>
          <w:snapToGrid w:val="0"/>
          <w:sz w:val="32"/>
          <w:szCs w:val="32"/>
          <w:lang w:val="en-US" w:eastAsia="zh-CN"/>
        </w:rPr>
      </w:pPr>
      <w:r>
        <w:rPr>
          <w:rFonts w:hint="eastAsia" w:ascii="仿宋_GB2312" w:hAnsi="仿宋_GB2312" w:eastAsia="仿宋_GB2312" w:cs="仿宋_GB2312"/>
          <w:snapToGrid w:val="0"/>
          <w:sz w:val="32"/>
          <w:szCs w:val="32"/>
          <w:lang w:val="en-US" w:eastAsia="zh-CN"/>
        </w:rPr>
        <w:t>一是切实加强财政预算一体化建设。以预算管理一体化平台为技术依托，强化对预算单位预算执行全过程的监督，提高预算执行分析的及时性、准确性、针对性，确保财政资金运行更加安全、高效，促进各项支出管理不断规范；二是持续深化放管服改革。严格落实上级出台的各项政策，清理涉企收费。对国家明令取消、停征、免征的收费基金项目，督促收费单位必须严格执行到位。三是继续深化国库集中支付制度改革。按照全口径、标准化的电子化流程实现了财政直接支付业务，预算单位授权支付业务及财政专户实拨等业务电子化管理。四是建立健全存量资金定期清理制度。以存量资金审计为契机，加大对结余资金收回力度，定期对存量资金进行清理。全年回收各类存量资金20458万元，统筹用于乡村振兴和“三保”等急需支出。五是进一步加强会计管理。认真抓好会计继续教育工作，开展了农村会计人员培训，全县483人完成了继续教育，持续、有效提升了会计从业人员业务素质和会计工作基础。六是充分利用直达资金缓解我县财政压力。为缓解我县财政困难、保障财政供养人员工资和各项基本民生支出、支持公益项目建设及保市场主体、保财政平稳运行起到重要作用。</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5.夯实保障，公共服务水平持续提高</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eastAsia="仿宋_GB2312" w:cs="仿宋_GB2312"/>
          <w:snapToGrid w:val="0"/>
          <w:sz w:val="32"/>
          <w:szCs w:val="32"/>
          <w:lang w:val="en-US" w:eastAsia="zh-CN"/>
        </w:rPr>
      </w:pPr>
      <w:r>
        <w:rPr>
          <w:rFonts w:hint="eastAsia" w:ascii="仿宋_GB2312" w:hAnsi="仿宋_GB2312" w:eastAsia="仿宋_GB2312" w:cs="仿宋_GB2312"/>
          <w:snapToGrid w:val="0"/>
          <w:sz w:val="32"/>
          <w:szCs w:val="32"/>
          <w:lang w:val="en-US" w:eastAsia="zh-CN"/>
        </w:rPr>
        <w:t>一是持续加大教育事业投入。严格对照年初工作部署，加强预算执行管理，加快资金支出进度。今年累计拨付教师生活补助2230万元，真正实现了义务教育教师平均工资收入水平不低于当地公务员平均工资收入水平。教育事业支出60854万元，全力保障了中小学正常公用经费，切实增强办学能力，统筹推进各类校建项目，全力促进我县教育、科技、文化、旅游等高质量发展。二是全力做好公共卫生资金保障。目前全县共拨付477万元用于疫情防控等各项公共卫生支出，有效保证了各项民生卫生工程资金需要，保护了我县人民群众的生命财产安全；三是大力推进平安建设。今年以来，除保障公检法司等部门的正常运转经费外，县财政充分发挥财政职能作用，共安排了专项经费2999万元用于平安建设工作，其中雪亮工程903万元，禁毒工作经费24万元，为保障全县的社会稳定提供了坚实的物质保证。</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6.重点倾斜，农村投入稳定增长</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eastAsia="仿宋_GB2312" w:cs="仿宋_GB2312"/>
          <w:snapToGrid w:val="0"/>
          <w:sz w:val="32"/>
          <w:szCs w:val="32"/>
          <w:lang w:val="en-US" w:eastAsia="zh-CN"/>
        </w:rPr>
      </w:pPr>
      <w:r>
        <w:rPr>
          <w:rFonts w:hint="eastAsia" w:ascii="仿宋_GB2312" w:hAnsi="仿宋_GB2312" w:eastAsia="仿宋_GB2312" w:cs="仿宋_GB2312"/>
          <w:snapToGrid w:val="0"/>
          <w:sz w:val="32"/>
          <w:szCs w:val="32"/>
          <w:lang w:val="en-US" w:eastAsia="zh-CN"/>
        </w:rPr>
        <w:t>一是建立健全农业投入稳定增长机制。实现了公共财政向农村倾斜，基础设施向农村延伸，社会保障向农村覆盖，有效支持乡村振兴战略，切实发挥了财政职能作用；二是扎实落实各项惠农政策。今年通过“一卡通”惠民惠农补贴发放管理系统累计发放各类补贴资金13942.25万元，认真做好公示公开，诚恳接受群众监督，有效提高政策透明度，切实减轻农民负担。</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7.增质提效，机关作风不断加强</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eastAsia="仿宋_GB2312" w:cs="仿宋_GB2312"/>
          <w:snapToGrid w:val="0"/>
          <w:sz w:val="32"/>
          <w:szCs w:val="32"/>
          <w:lang w:val="en-US" w:eastAsia="zh-CN"/>
        </w:rPr>
      </w:pPr>
      <w:r>
        <w:rPr>
          <w:rFonts w:hint="eastAsia" w:ascii="仿宋_GB2312" w:hAnsi="仿宋_GB2312" w:eastAsia="仿宋_GB2312" w:cs="仿宋_GB2312"/>
          <w:snapToGrid w:val="0"/>
          <w:sz w:val="32"/>
          <w:szCs w:val="32"/>
          <w:lang w:val="en-US" w:eastAsia="zh-CN"/>
        </w:rPr>
        <w:t>以学为本，通过严格落实学习制度、学习计划，组织开展领导班子专题学习、干部职工集中学习，深入学习贯彻党的十九届六中全会精神：严格遵守党风廉政建设的有关规定，不断加强思想政治教育；认真开展</w:t>
      </w:r>
      <w:r>
        <w:rPr>
          <w:rFonts w:hint="eastAsia" w:ascii="仿宋_GB2312" w:hAnsi="仿宋_GB2312" w:cs="仿宋_GB2312"/>
          <w:snapToGrid w:val="0"/>
          <w:sz w:val="32"/>
          <w:szCs w:val="32"/>
          <w:lang w:val="en-US" w:eastAsia="zh-CN"/>
        </w:rPr>
        <w:t>党史学习教育</w:t>
      </w:r>
      <w:r>
        <w:rPr>
          <w:rFonts w:hint="eastAsia" w:ascii="仿宋_GB2312" w:hAnsi="仿宋_GB2312" w:eastAsia="仿宋_GB2312" w:cs="仿宋_GB2312"/>
          <w:snapToGrid w:val="0"/>
          <w:sz w:val="32"/>
          <w:szCs w:val="32"/>
          <w:lang w:val="en-US" w:eastAsia="zh-CN"/>
        </w:rPr>
        <w:t>，加强对干部职工的警示教育，加强机关效能建设，促进工作提质提速，增强对外宣传能力，严格执行岗位责任制、机关考核制度、学习制度等，切实做到用制度管人管事。　　</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楷体" w:hAnsi="楷体" w:eastAsia="楷体" w:cs="楷体"/>
          <w:b/>
          <w:bCs/>
          <w:sz w:val="32"/>
          <w:szCs w:val="24"/>
          <w:lang w:val="en-US" w:eastAsia="zh-CN"/>
        </w:rPr>
      </w:pP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（二）履职效果情况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eastAsia="仿宋_GB2312" w:cs="仿宋_GB2312"/>
          <w:snapToGrid w:val="0"/>
          <w:sz w:val="32"/>
          <w:szCs w:val="32"/>
          <w:lang w:val="en-US" w:eastAsia="zh-CN"/>
        </w:rPr>
      </w:pPr>
      <w:r>
        <w:rPr>
          <w:rFonts w:hint="eastAsia" w:ascii="仿宋_GB2312" w:hAnsi="仿宋_GB2312" w:eastAsia="仿宋_GB2312" w:cs="仿宋_GB2312"/>
          <w:snapToGrid w:val="0"/>
          <w:sz w:val="32"/>
          <w:szCs w:val="32"/>
          <w:lang w:val="en-US" w:eastAsia="zh-CN"/>
        </w:rPr>
        <w:t>2021年，兴县财政局在县委、县政府坚强领导下，在上级财政部门的精心指导下，稳增长、调结构、促改革、惠民生、防风险，积极提升财政政策效能，扎实做好“六稳”、“六保”工作，公共财政运行总体平稳，收入稳中有升，较好地完成了全年各项工作目标任务。</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（三）社会满意度</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2021年设定社会公众或部门（单位）的服务对象对部门履职效果的满意程度指标，指标值为“≥95%”，全年完成值为95%，社会公众满意度高。</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highlight w:val="none"/>
          <w:lang w:val="en-US" w:eastAsia="zh-CN"/>
        </w:rPr>
      </w:pPr>
      <w:r>
        <w:rPr>
          <w:rFonts w:hint="eastAsia" w:ascii="黑体" w:hAnsi="黑体" w:eastAsia="黑体" w:cs="黑体"/>
          <w:b w:val="0"/>
          <w:bCs w:val="0"/>
          <w:sz w:val="32"/>
          <w:szCs w:val="24"/>
          <w:highlight w:val="none"/>
          <w:lang w:val="en-US" w:eastAsia="zh-CN"/>
        </w:rPr>
        <w:t>三、部门整体支出绩效中存在问题及改进措施</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eastAsia"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（一）主要问题及原因分析</w:t>
      </w:r>
      <w:r>
        <w:rPr>
          <w:rFonts w:hint="eastAsia" w:ascii="仿宋_GB2312" w:hAnsi="仿宋_GB2312" w:cs="仿宋_GB2312"/>
          <w:b w:val="0"/>
          <w:bCs w:val="0"/>
          <w:sz w:val="32"/>
          <w:szCs w:val="24"/>
          <w:lang w:val="en-US" w:eastAsia="zh-CN"/>
        </w:rPr>
        <w:t xml:space="preserve"> 　　</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1.制度机制建设有待进一步完善加强。</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2.应对疫情消极影响，相关管理措施落实不到位。　　</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3.地方财源建设有待加强，相关成本管控有待深化。</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4.监管协调和统筹防范风险能力有待进一步强化。</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3" w:firstLineChars="200"/>
        <w:jc w:val="both"/>
        <w:textAlignment w:val="auto"/>
        <w:rPr>
          <w:rFonts w:hint="default" w:ascii="仿宋_GB2312" w:hAnsi="仿宋_GB2312" w:cs="仿宋_GB2312"/>
          <w:b w:val="0"/>
          <w:bCs w:val="0"/>
          <w:sz w:val="32"/>
          <w:szCs w:val="24"/>
          <w:lang w:val="en-US" w:eastAsia="zh-CN"/>
        </w:rPr>
      </w:pPr>
      <w:r>
        <w:rPr>
          <w:rFonts w:hint="eastAsia" w:ascii="楷体" w:hAnsi="楷体" w:eastAsia="楷体" w:cs="楷体"/>
          <w:b/>
          <w:bCs/>
          <w:sz w:val="32"/>
          <w:szCs w:val="24"/>
          <w:lang w:val="en-US" w:eastAsia="zh-CN"/>
        </w:rPr>
        <w:t>（二）改进的方向和措施</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不断建立健全制度机制，以预算管理一体化为契机，进一步推进部门零基预算，铺开预算绩效管理，狠抓国库管理改革，深化非税收缴电子化改革，健全国有资产管理机制，完善乡镇财政体制，以更强管理、更全制度、更优服务持续推动兴县高质量跨越式发展。</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2.积极有序应对疫情对经济的影响，应对不利形势采取相应措施，以稳求进、以进促稳，加大援企助企力度，支持企业复工复产，切实稳定县域经济增长潜力，确保实现量的合理增长和质的稳步提升。 　　</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3.坚持“项目为王”，注重“点面结合”抓好项目投资，释放政策红利。坚持“同步发力”促进企业转型升级，切实把特色优势转化为发展优势、竞争优势，不断在“产业兴县、工业强县”上求得新突破。</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推动实现财政资金监管常态化。重点加强扶贫涉农、医疗保障、义务教育、生态环保等领域的专项检查，让财经纪律成为“高压线”、“防火墙”；有效防范化解政府债务风险。落实政府债务限额管理和预算约束，健全政府债务风险防控机制，细化实化债务台账，加强政府债务统计监测和风险预警，切实防控和稳妥化解政府债务风险。</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四、绩效自评结果应用和公开情况</w:t>
      </w:r>
    </w:p>
    <w:p>
      <w:pPr>
        <w:keepNext/>
        <w:keepLines w:val="0"/>
        <w:pageBreakBefore w:val="0"/>
        <w:widowControl w:val="0"/>
        <w:shd w:val="clear" w:color="auto" w:fill="auto"/>
        <w:kinsoku/>
        <w:wordWrap/>
        <w:overflowPunct/>
        <w:topLinePunct w:val="0"/>
        <w:autoSpaceDE/>
        <w:autoSpaceDN/>
        <w:bidi w:val="0"/>
        <w:adjustRightInd/>
        <w:snapToGrid/>
        <w:spacing w:before="0" w:after="0"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我</w:t>
      </w:r>
      <w:r>
        <w:rPr>
          <w:rFonts w:hint="eastAsia" w:ascii="仿宋_GB2312" w:hAnsi="仿宋_GB2312" w:cs="仿宋_GB2312"/>
          <w:b w:val="0"/>
          <w:bCs w:val="0"/>
          <w:sz w:val="32"/>
          <w:szCs w:val="24"/>
          <w:lang w:val="en-US" w:eastAsia="zh-CN"/>
        </w:rPr>
        <w:t>局将对兴县财政局部门整体支出绩效自评结果向社会公开，接受社会监督；加强绩效目标编制，实施全过程绩效管理。</w:t>
      </w:r>
    </w:p>
    <w:p/>
    <w:p>
      <w:pPr>
        <w:rPr>
          <w:rFonts w:hint="eastAsia"/>
          <w:lang w:val="en-US" w:eastAsia="zh-CN"/>
        </w:rPr>
      </w:pPr>
    </w:p>
    <w:p>
      <w:pPr>
        <w:jc w:val="right"/>
        <w:rPr>
          <w:rFonts w:hint="eastAsia"/>
          <w:lang w:val="en-US" w:eastAsia="zh-CN"/>
        </w:rPr>
      </w:pPr>
      <w:r>
        <w:rPr>
          <w:rFonts w:hint="eastAsia"/>
          <w:lang w:val="en-US" w:eastAsia="zh-CN"/>
        </w:rPr>
        <w:t>兴县财政局</w:t>
      </w:r>
    </w:p>
    <w:p>
      <w:pPr>
        <w:jc w:val="right"/>
        <w:rPr>
          <w:rFonts w:hint="default"/>
          <w:lang w:val="en-US" w:eastAsia="zh-CN"/>
        </w:rPr>
      </w:pPr>
      <w:r>
        <w:rPr>
          <w:rFonts w:hint="eastAsia"/>
          <w:lang w:val="en-US" w:eastAsia="zh-CN"/>
        </w:rPr>
        <w:t>2022年8月15日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88989B"/>
    <w:multiLevelType w:val="singleLevel"/>
    <w:tmpl w:val="6188989B"/>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3OTVhNmZiYzQ0YWU5NjMzOGU1N2E4MmJlNGE3ZGQifQ=="/>
  </w:docVars>
  <w:rsids>
    <w:rsidRoot w:val="00000000"/>
    <w:rsid w:val="0D397632"/>
    <w:rsid w:val="14AD1958"/>
    <w:rsid w:val="1DE033AC"/>
    <w:rsid w:val="34E31F80"/>
    <w:rsid w:val="42F73EAD"/>
    <w:rsid w:val="4D617F0A"/>
    <w:rsid w:val="4F821988"/>
    <w:rsid w:val="51E67B7C"/>
    <w:rsid w:val="5A7F67C4"/>
    <w:rsid w:val="626F5370"/>
    <w:rsid w:val="7D621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仿宋_GB2312" w:cs="Times New Roman"/>
      <w:color w:val="000000"/>
      <w:spacing w:val="0"/>
      <w:w w:val="100"/>
      <w:position w:val="0"/>
      <w:sz w:val="32"/>
      <w:szCs w:val="24"/>
      <w:shd w:val="clear" w:color="auto" w:fill="auto"/>
      <w:lang w:val="en-US" w:eastAsia="en-US" w:bidi="en-U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5016</Words>
  <Characters>5427</Characters>
  <Lines>0</Lines>
  <Paragraphs>0</Paragraphs>
  <TotalTime>5</TotalTime>
  <ScaleCrop>false</ScaleCrop>
  <LinksUpToDate>false</LinksUpToDate>
  <CharactersWithSpaces>5438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2022-08-17T08:32:00Z</dcterms:created>
  <dc:creator>icesx</dc:creator>
  <cp:lastModifiedBy>尚超</cp:lastModifiedBy>
  <dcterms:modified xsi:type="dcterms:W3CDTF">2022-08-29T14:04:16Z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18C0B6712EB140CCB76C53FDF2166732</vt:lpwstr>
  </property>
</Properties>
</file>