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1294" w:right="1012" w:hanging="346"/>
        <w:spacing w:before="140" w:line="350" w:lineRule="auto"/>
        <w:outlineLvl w:val="0"/>
        <w:rPr/>
      </w:pPr>
      <w:r>
        <w:rPr>
          <w:spacing w:val="100"/>
        </w:rPr>
        <w:t>兴县教育科技局教学研究室</w:t>
      </w:r>
      <w:r>
        <w:rPr>
          <w:spacing w:val="7"/>
        </w:rPr>
        <w:t xml:space="preserve"> </w:t>
      </w:r>
      <w:r>
        <w:rPr>
          <w:spacing w:val="7"/>
        </w:rPr>
        <w:t>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pPr>
        <w:spacing w:line="350" w:lineRule="auto"/>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40" w:line="222" w:lineRule="auto"/>
            <w:tabs>
              <w:tab w:val="right" w:leader="dot" w:pos="9235"/>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6" w:line="219" w:lineRule="auto"/>
            <w:tabs>
              <w:tab w:val="right" w:leader="dot" w:pos="9235"/>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6" w:line="222" w:lineRule="auto"/>
            <w:tabs>
              <w:tab w:val="right" w:leader="dot" w:pos="9235"/>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6" w:line="222" w:lineRule="auto"/>
            <w:tabs>
              <w:tab w:val="right" w:leader="dot" w:pos="9235"/>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3" w:line="221" w:lineRule="auto"/>
            <w:tabs>
              <w:tab w:val="right" w:leader="dot" w:pos="9235"/>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20</w:t>
            </w:r>
          </w:hyperlink>
        </w:p>
        <w:p>
          <w:pPr>
            <w:ind w:left="635"/>
            <w:spacing w:before="113" w:line="222" w:lineRule="auto"/>
            <w:tabs>
              <w:tab w:val="right" w:leader="dot" w:pos="9225"/>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1266"/>
            <w:spacing w:before="116" w:line="220" w:lineRule="auto"/>
            <w:tabs>
              <w:tab w:val="right" w:leader="dot" w:pos="9225"/>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1266"/>
            <w:spacing w:before="117" w:line="222" w:lineRule="auto"/>
            <w:tabs>
              <w:tab w:val="right" w:leader="dot" w:pos="9225"/>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spacing w:before="116" w:line="222" w:lineRule="auto"/>
            <w:tabs>
              <w:tab w:val="right" w:leader="dot" w:pos="9225"/>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25</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82" w:lineRule="auto"/>
        <w:rPr>
          <w:rFonts w:ascii="Arial"/>
          <w:sz w:val="21"/>
        </w:rPr>
      </w:pPr>
      <w:r/>
    </w:p>
    <w:p>
      <w:pPr>
        <w:spacing w:line="282" w:lineRule="auto"/>
        <w:rPr>
          <w:rFonts w:ascii="Arial"/>
          <w:sz w:val="21"/>
        </w:rPr>
      </w:pPr>
      <w:r/>
    </w:p>
    <w:p>
      <w:pPr>
        <w:ind w:left="4587"/>
        <w:spacing w:before="99" w:line="239" w:lineRule="exact"/>
        <w:outlineLvl w:val="0"/>
        <w:rPr>
          <w:rFonts w:ascii="Microsoft YaHei" w:hAnsi="Microsoft YaHei" w:eastAsia="Microsoft YaHei" w:cs="Microsoft YaHei"/>
          <w:sz w:val="23"/>
          <w:szCs w:val="23"/>
        </w:rPr>
      </w:pPr>
      <w:bookmarkStart w:name="bookmark35" w:id="35"/>
      <w:bookmarkEnd w:id="35"/>
      <w:bookmarkStart w:name="bookmark2" w:id="36"/>
      <w:bookmarkEnd w:id="36"/>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7"/>
      <w:bookmarkEnd w:id="37"/>
      <w:r>
        <w:rPr>
          <w:rFonts w:ascii="SimHei" w:hAnsi="SimHei" w:eastAsia="SimHei" w:cs="SimHei"/>
          <w:sz w:val="24"/>
          <w:szCs w:val="24"/>
          <w:spacing w:val="-4"/>
        </w:rPr>
        <w:t>一、本单位职责</w:t>
      </w:r>
    </w:p>
    <w:p>
      <w:pPr>
        <w:ind w:left="926"/>
        <w:spacing w:before="283" w:line="220" w:lineRule="auto"/>
        <w:rPr>
          <w:rFonts w:ascii="FangSong" w:hAnsi="FangSong" w:eastAsia="FangSong" w:cs="FangSong"/>
          <w:sz w:val="24"/>
          <w:szCs w:val="24"/>
        </w:rPr>
      </w:pPr>
      <w:r>
        <w:rPr>
          <w:rFonts w:ascii="FangSong" w:hAnsi="FangSong" w:eastAsia="FangSong" w:cs="FangSong"/>
          <w:sz w:val="24"/>
          <w:szCs w:val="24"/>
          <w:spacing w:val="-2"/>
        </w:rPr>
        <w:t>1.深入学习和研究现代教育教学思想和理论，用以指导教学研究工作。</w:t>
      </w:r>
    </w:p>
    <w:p>
      <w:pPr>
        <w:ind w:left="915" w:right="874" w:hanging="4"/>
        <w:spacing w:before="118" w:line="296" w:lineRule="auto"/>
        <w:jc w:val="both"/>
        <w:rPr>
          <w:rFonts w:ascii="FangSong" w:hAnsi="FangSong" w:eastAsia="FangSong" w:cs="FangSong"/>
          <w:sz w:val="24"/>
          <w:szCs w:val="24"/>
        </w:rPr>
      </w:pPr>
      <w:r>
        <w:rPr>
          <w:rFonts w:ascii="FangSong" w:hAnsi="FangSong" w:eastAsia="FangSong" w:cs="FangSong"/>
          <w:sz w:val="24"/>
          <w:szCs w:val="24"/>
          <w:spacing w:val="1"/>
        </w:rPr>
        <w:t>2.围绕教育教学中心工作和教育决策有关的重大问题及热点、难点问题</w:t>
      </w:r>
      <w:r>
        <w:rPr>
          <w:rFonts w:ascii="FangSong" w:hAnsi="FangSong" w:eastAsia="FangSong" w:cs="FangSong"/>
          <w:sz w:val="24"/>
          <w:szCs w:val="24"/>
        </w:rPr>
        <w:t>开展科学研究</w:t>
      </w:r>
      <w:r>
        <w:rPr>
          <w:rFonts w:ascii="FangSong" w:hAnsi="FangSong" w:eastAsia="FangSong" w:cs="FangSong"/>
          <w:sz w:val="24"/>
          <w:szCs w:val="24"/>
        </w:rPr>
        <w:t xml:space="preserve"> </w:t>
      </w:r>
      <w:r>
        <w:rPr>
          <w:rFonts w:ascii="FangSong" w:hAnsi="FangSong" w:eastAsia="FangSong" w:cs="FangSong"/>
          <w:sz w:val="24"/>
          <w:szCs w:val="24"/>
          <w:spacing w:val="1"/>
        </w:rPr>
        <w:t>和工作调研，及时为教育行政部门提供有学术价值和使用价值的</w:t>
      </w:r>
      <w:r>
        <w:rPr>
          <w:rFonts w:ascii="FangSong" w:hAnsi="FangSong" w:eastAsia="FangSong" w:cs="FangSong"/>
          <w:sz w:val="24"/>
          <w:szCs w:val="24"/>
        </w:rPr>
        <w:t>建议和方案，为领导</w:t>
      </w:r>
      <w:r>
        <w:rPr>
          <w:rFonts w:ascii="FangSong" w:hAnsi="FangSong" w:eastAsia="FangSong" w:cs="FangSong"/>
          <w:sz w:val="24"/>
          <w:szCs w:val="24"/>
        </w:rPr>
        <w:t xml:space="preserve"> </w:t>
      </w:r>
      <w:r>
        <w:rPr>
          <w:rFonts w:ascii="FangSong" w:hAnsi="FangSong" w:eastAsia="FangSong" w:cs="FangSong"/>
          <w:sz w:val="24"/>
          <w:szCs w:val="24"/>
          <w:spacing w:val="-5"/>
        </w:rPr>
        <w:t>决策提供咨询服务。</w:t>
      </w:r>
    </w:p>
    <w:p>
      <w:pPr>
        <w:ind w:left="917" w:right="874" w:hanging="4"/>
        <w:spacing w:before="47" w:line="295" w:lineRule="auto"/>
        <w:jc w:val="both"/>
        <w:rPr>
          <w:rFonts w:ascii="FangSong" w:hAnsi="FangSong" w:eastAsia="FangSong" w:cs="FangSong"/>
          <w:sz w:val="24"/>
          <w:szCs w:val="24"/>
        </w:rPr>
      </w:pPr>
      <w:r>
        <w:rPr>
          <w:rFonts w:ascii="FangSong" w:hAnsi="FangSong" w:eastAsia="FangSong" w:cs="FangSong"/>
          <w:sz w:val="24"/>
          <w:szCs w:val="24"/>
          <w:spacing w:val="7"/>
        </w:rPr>
        <w:t>3.从教育教学实际出发，开展教育思想、教学理论、课程结构、教学内容、教学过</w:t>
      </w:r>
      <w:r>
        <w:rPr>
          <w:rFonts w:ascii="FangSong" w:hAnsi="FangSong" w:eastAsia="FangSong" w:cs="FangSong"/>
          <w:sz w:val="24"/>
          <w:szCs w:val="24"/>
          <w:spacing w:val="11"/>
        </w:rPr>
        <w:t xml:space="preserve"> </w:t>
      </w:r>
      <w:r>
        <w:rPr>
          <w:rFonts w:ascii="FangSong" w:hAnsi="FangSong" w:eastAsia="FangSong" w:cs="FangSong"/>
          <w:sz w:val="24"/>
          <w:szCs w:val="24"/>
          <w:spacing w:val="1"/>
        </w:rPr>
        <w:t>程、教学方法、教学评价等方面的应用研究，努力体现中小</w:t>
      </w:r>
      <w:r>
        <w:rPr>
          <w:rFonts w:ascii="FangSong" w:hAnsi="FangSong" w:eastAsia="FangSong" w:cs="FangSong"/>
          <w:sz w:val="24"/>
          <w:szCs w:val="24"/>
        </w:rPr>
        <w:t>学教育教学规律，促进所</w:t>
      </w:r>
      <w:r>
        <w:rPr>
          <w:rFonts w:ascii="FangSong" w:hAnsi="FangSong" w:eastAsia="FangSong" w:cs="FangSong"/>
          <w:sz w:val="24"/>
          <w:szCs w:val="24"/>
        </w:rPr>
        <w:t xml:space="preserve"> </w:t>
      </w:r>
      <w:r>
        <w:rPr>
          <w:rFonts w:ascii="FangSong" w:hAnsi="FangSong" w:eastAsia="FangSong" w:cs="FangSong"/>
          <w:sz w:val="24"/>
          <w:szCs w:val="24"/>
          <w:spacing w:val="-4"/>
        </w:rPr>
        <w:t>管辖区内的教育教学质量。</w:t>
      </w:r>
    </w:p>
    <w:p>
      <w:pPr>
        <w:ind w:left="918" w:right="874" w:hanging="11"/>
        <w:spacing w:before="47" w:line="297" w:lineRule="auto"/>
        <w:rPr>
          <w:rFonts w:ascii="FangSong" w:hAnsi="FangSong" w:eastAsia="FangSong" w:cs="FangSong"/>
          <w:sz w:val="24"/>
          <w:szCs w:val="24"/>
        </w:rPr>
      </w:pPr>
      <w:r>
        <w:rPr>
          <w:rFonts w:ascii="FangSong" w:hAnsi="FangSong" w:eastAsia="FangSong" w:cs="FangSong"/>
          <w:sz w:val="24"/>
          <w:szCs w:val="24"/>
          <w:spacing w:val="1"/>
        </w:rPr>
        <w:t>4.组织评审优秀教学成果，组织学生参加学科竞赛和科技活动。组织开展教育教</w:t>
      </w:r>
      <w:r>
        <w:rPr>
          <w:rFonts w:ascii="FangSong" w:hAnsi="FangSong" w:eastAsia="FangSong" w:cs="FangSong"/>
          <w:sz w:val="24"/>
          <w:szCs w:val="24"/>
        </w:rPr>
        <w:t>学改</w:t>
      </w:r>
      <w:r>
        <w:rPr>
          <w:rFonts w:ascii="FangSong" w:hAnsi="FangSong" w:eastAsia="FangSong" w:cs="FangSong"/>
          <w:sz w:val="24"/>
          <w:szCs w:val="24"/>
        </w:rPr>
        <w:t xml:space="preserve"> </w:t>
      </w:r>
      <w:r>
        <w:rPr>
          <w:rFonts w:ascii="FangSong" w:hAnsi="FangSong" w:eastAsia="FangSong" w:cs="FangSong"/>
          <w:sz w:val="24"/>
          <w:szCs w:val="24"/>
          <w:spacing w:val="-2"/>
        </w:rPr>
        <w:t>革实验，推广教育教学经验，探索教育规律，推动教学改革提高教学质量。</w:t>
      </w:r>
    </w:p>
    <w:p>
      <w:pPr>
        <w:ind w:left="916" w:right="874" w:hanging="3"/>
        <w:spacing w:before="23" w:line="301" w:lineRule="auto"/>
        <w:jc w:val="both"/>
        <w:rPr>
          <w:rFonts w:ascii="FangSong" w:hAnsi="FangSong" w:eastAsia="FangSong" w:cs="FangSong"/>
          <w:sz w:val="24"/>
          <w:szCs w:val="24"/>
        </w:rPr>
      </w:pPr>
      <w:r>
        <w:rPr>
          <w:rFonts w:ascii="FangSong" w:hAnsi="FangSong" w:eastAsia="FangSong" w:cs="FangSong"/>
          <w:sz w:val="24"/>
          <w:szCs w:val="24"/>
          <w:spacing w:val="7"/>
        </w:rPr>
        <w:t>5.监控学校的教学质量，对教学工作的全过程实施有效的指导和管理。进行教学视</w:t>
      </w:r>
      <w:r>
        <w:rPr>
          <w:rFonts w:ascii="FangSong" w:hAnsi="FangSong" w:eastAsia="FangSong" w:cs="FangSong"/>
          <w:sz w:val="24"/>
          <w:szCs w:val="24"/>
          <w:spacing w:val="11"/>
        </w:rPr>
        <w:t xml:space="preserve"> </w:t>
      </w:r>
      <w:r>
        <w:rPr>
          <w:rFonts w:ascii="FangSong" w:hAnsi="FangSong" w:eastAsia="FangSong" w:cs="FangSong"/>
          <w:sz w:val="24"/>
          <w:szCs w:val="24"/>
          <w:spacing w:val="1"/>
        </w:rPr>
        <w:t>导，检查教学工作及教学研究工作，对教学质量进行评估。研</w:t>
      </w:r>
      <w:r>
        <w:rPr>
          <w:rFonts w:ascii="FangSong" w:hAnsi="FangSong" w:eastAsia="FangSong" w:cs="FangSong"/>
          <w:sz w:val="24"/>
          <w:szCs w:val="24"/>
        </w:rPr>
        <w:t>究考试方法的改革和对</w:t>
      </w:r>
      <w:r>
        <w:rPr>
          <w:rFonts w:ascii="FangSong" w:hAnsi="FangSong" w:eastAsia="FangSong" w:cs="FangSong"/>
          <w:sz w:val="24"/>
          <w:szCs w:val="24"/>
        </w:rPr>
        <w:t xml:space="preserve"> </w:t>
      </w:r>
      <w:r>
        <w:rPr>
          <w:rFonts w:ascii="FangSong" w:hAnsi="FangSong" w:eastAsia="FangSong" w:cs="FangSong"/>
          <w:sz w:val="24"/>
          <w:szCs w:val="24"/>
          <w:spacing w:val="-1"/>
        </w:rPr>
        <w:t>考试命题进行指导和规范，承担考试命题工作，</w:t>
      </w:r>
      <w:r>
        <w:rPr>
          <w:rFonts w:ascii="FangSong" w:hAnsi="FangSong" w:eastAsia="FangSong" w:cs="FangSong"/>
          <w:sz w:val="24"/>
          <w:szCs w:val="24"/>
          <w:spacing w:val="-2"/>
        </w:rPr>
        <w:t>参与考试评卷和进行质量分析。</w:t>
      </w:r>
    </w:p>
    <w:p>
      <w:pPr>
        <w:ind w:left="910"/>
        <w:spacing w:before="25" w:line="222" w:lineRule="auto"/>
        <w:rPr>
          <w:rFonts w:ascii="FangSong" w:hAnsi="FangSong" w:eastAsia="FangSong" w:cs="FangSong"/>
          <w:sz w:val="24"/>
          <w:szCs w:val="24"/>
        </w:rPr>
      </w:pPr>
      <w:r>
        <w:rPr>
          <w:rFonts w:ascii="FangSong" w:hAnsi="FangSong" w:eastAsia="FangSong" w:cs="FangSong"/>
          <w:sz w:val="24"/>
          <w:szCs w:val="24"/>
          <w:spacing w:val="-2"/>
        </w:rPr>
        <w:t>6.教学计划研讨、制定，教学业绩考核等。</w:t>
      </w:r>
    </w:p>
    <w:p>
      <w:pPr>
        <w:ind w:left="913"/>
        <w:spacing w:before="296" w:line="222" w:lineRule="auto"/>
        <w:outlineLvl w:val="1"/>
        <w:rPr>
          <w:rFonts w:ascii="SimHei" w:hAnsi="SimHei" w:eastAsia="SimHei" w:cs="SimHei"/>
          <w:sz w:val="24"/>
          <w:szCs w:val="24"/>
        </w:rPr>
      </w:pPr>
      <w:bookmarkStart w:name="bookmark4" w:id="38"/>
      <w:bookmarkEnd w:id="38"/>
      <w:r>
        <w:rPr>
          <w:rFonts w:ascii="SimHei" w:hAnsi="SimHei" w:eastAsia="SimHei" w:cs="SimHei"/>
          <w:sz w:val="24"/>
          <w:szCs w:val="24"/>
          <w:spacing w:val="-2"/>
        </w:rPr>
        <w:t>二、机构设置情况</w:t>
      </w:r>
    </w:p>
    <w:p>
      <w:pPr>
        <w:ind w:left="915" w:right="874" w:firstLine="8"/>
        <w:spacing w:before="118" w:line="285" w:lineRule="auto"/>
        <w:rPr>
          <w:rFonts w:ascii="FangSong" w:hAnsi="FangSong" w:eastAsia="FangSong" w:cs="FangSong"/>
          <w:sz w:val="24"/>
          <w:szCs w:val="24"/>
        </w:rPr>
      </w:pPr>
      <w:r>
        <w:rPr>
          <w:rFonts w:ascii="FangSong" w:hAnsi="FangSong" w:eastAsia="FangSong" w:cs="FangSong"/>
          <w:sz w:val="24"/>
          <w:szCs w:val="24"/>
          <w:spacing w:val="1"/>
        </w:rPr>
        <w:t>我单位是兴县教育科技局所属二级预算单位</w:t>
      </w:r>
      <w:r>
        <w:rPr>
          <w:rFonts w:ascii="FangSong" w:hAnsi="FangSong" w:eastAsia="FangSong" w:cs="FangSong"/>
          <w:sz w:val="24"/>
          <w:szCs w:val="24"/>
        </w:rPr>
        <w:t>，为全额事业单位，执行政府会计准则制</w:t>
      </w:r>
      <w:r>
        <w:rPr>
          <w:rFonts w:ascii="FangSong" w:hAnsi="FangSong" w:eastAsia="FangSong" w:cs="FangSong"/>
          <w:sz w:val="24"/>
          <w:szCs w:val="24"/>
        </w:rPr>
        <w:t xml:space="preserve"> </w:t>
      </w:r>
      <w:r>
        <w:rPr>
          <w:rFonts w:ascii="FangSong" w:hAnsi="FangSong" w:eastAsia="FangSong" w:cs="FangSong"/>
          <w:sz w:val="24"/>
          <w:szCs w:val="24"/>
          <w:spacing w:val="-4"/>
        </w:rPr>
        <w:t>度。内设办公室、财务室等。</w:t>
      </w:r>
    </w:p>
    <w:p>
      <w:pPr>
        <w:spacing w:line="285" w:lineRule="auto"/>
        <w:sectPr>
          <w:headerReference w:type="default" r:id="rId2"/>
          <w:footerReference w:type="default" r:id="rId3"/>
          <w:pgSz w:w="11900" w:h="16840"/>
          <w:pgMar w:top="610" w:right="600" w:bottom="312" w:left="600" w:header="357" w:footer="153" w:gutter="0"/>
        </w:sectPr>
        <w:rPr>
          <w:rFonts w:ascii="FangSong" w:hAnsi="FangSong" w:eastAsia="FangSong" w:cs="FangSong"/>
          <w:sz w:val="24"/>
          <w:szCs w:val="24"/>
        </w:rPr>
      </w:pPr>
    </w:p>
    <w:p>
      <w:pPr>
        <w:spacing w:line="319" w:lineRule="auto"/>
        <w:rPr>
          <w:rFonts w:ascii="Arial"/>
          <w:sz w:val="21"/>
        </w:rPr>
      </w:pPr>
      <w:r/>
    </w:p>
    <w:p>
      <w:pPr>
        <w:spacing w:line="319" w:lineRule="auto"/>
        <w:rPr>
          <w:rFonts w:ascii="Arial"/>
          <w:sz w:val="21"/>
        </w:rPr>
      </w:pPr>
      <w:r/>
    </w:p>
    <w:p>
      <w:pPr>
        <w:ind w:left="3747"/>
        <w:spacing w:before="99" w:line="237" w:lineRule="exact"/>
        <w:outlineLvl w:val="0"/>
        <w:rPr>
          <w:rFonts w:ascii="Microsoft YaHei" w:hAnsi="Microsoft YaHei" w:eastAsia="Microsoft YaHei" w:cs="Microsoft YaHei"/>
          <w:sz w:val="23"/>
          <w:szCs w:val="23"/>
        </w:rPr>
      </w:pPr>
      <w:r>
        <w:pict>
          <v:shape id="_x0000_s2" style="position:absolute;margin-left:53.486pt;margin-top:32.1324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bookmarkStart w:name="bookmark36" w:id="39"/>
      <w:bookmarkEnd w:id="39"/>
      <w:bookmarkStart w:name="bookmark5" w:id="40"/>
      <w:bookmarkEnd w:id="40"/>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413"/>
        <w:gridCol w:w="3136"/>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left="3184"/>
              <w:spacing w:before="147" w:line="238" w:lineRule="exact"/>
              <w:outlineLvl w:val="1"/>
              <w:rPr>
                <w:rFonts w:ascii="Microsoft YaHei" w:hAnsi="Microsoft YaHei" w:eastAsia="Microsoft YaHei" w:cs="Microsoft YaHei"/>
                <w:sz w:val="23"/>
                <w:szCs w:val="23"/>
              </w:rPr>
            </w:pPr>
            <w:bookmarkStart w:name="bookmark6" w:id="41"/>
            <w:bookmarkEnd w:id="41"/>
            <w:r>
              <w:rPr>
                <w:rFonts w:ascii="Microsoft YaHei" w:hAnsi="Microsoft YaHei" w:eastAsia="Microsoft YaHei" w:cs="Microsoft YaHei"/>
                <w:sz w:val="23"/>
                <w:szCs w:val="23"/>
                <w:color w:val="212529"/>
                <w:position w:val="-1"/>
              </w:rPr>
              <w:t>2025年预算收支总表</w:t>
            </w:r>
          </w:p>
        </w:tc>
      </w:tr>
      <w:tr>
        <w:trPr>
          <w:trHeight w:val="535" w:hRule="atLeast"/>
        </w:trPr>
        <w:tc>
          <w:tcPr>
            <w:tcW w:w="5413" w:type="dxa"/>
            <w:vAlign w:val="top"/>
            <w:tcBorders>
              <w:top w:val="single" w:color="FFFFFF" w:sz="4" w:space="0"/>
              <w:bottom w:val="nil"/>
            </w:tcBorders>
          </w:tcPr>
          <w:p>
            <w:pPr>
              <w:ind w:left="8"/>
              <w:spacing w:before="172" w:line="218" w:lineRule="auto"/>
              <w:rPr>
                <w:rFonts w:ascii="SimSun" w:hAnsi="SimSun" w:eastAsia="SimSun" w:cs="SimSun"/>
                <w:sz w:val="18"/>
                <w:szCs w:val="18"/>
              </w:rPr>
            </w:pPr>
            <w:r>
              <w:rPr>
                <w:rFonts w:ascii="SimSun" w:hAnsi="SimSun" w:eastAsia="SimSun" w:cs="SimSun"/>
                <w:sz w:val="18"/>
                <w:szCs w:val="18"/>
                <w:color w:val="212529"/>
                <w:spacing w:val="-1"/>
              </w:rPr>
              <w:t>单位名称：兴县教育科技局教学研究室</w:t>
            </w:r>
          </w:p>
        </w:tc>
        <w:tc>
          <w:tcPr>
            <w:tcW w:w="3136"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3241" w:type="dxa"/>
            <w:vAlign w:val="top"/>
            <w:gridSpan w:val="2"/>
          </w:tcPr>
          <w:p>
            <w:pPr>
              <w:ind w:left="1427"/>
              <w:spacing w:before="165"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6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5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5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59"/>
              <w:spacing w:before="191" w:line="183" w:lineRule="auto"/>
              <w:rPr>
                <w:rFonts w:ascii="SimSun" w:hAnsi="SimSun" w:eastAsia="SimSun" w:cs="SimSun"/>
                <w:sz w:val="18"/>
                <w:szCs w:val="18"/>
              </w:rPr>
            </w:pPr>
            <w:r>
              <w:rPr>
                <w:rFonts w:ascii="SimSun" w:hAnsi="SimSun" w:eastAsia="SimSun" w:cs="SimSun"/>
                <w:sz w:val="18"/>
                <w:szCs w:val="18"/>
                <w:color w:val="212529"/>
                <w:spacing w:val="-2"/>
              </w:rPr>
              <w:t>506.28</w:t>
            </w:r>
          </w:p>
        </w:tc>
        <w:tc>
          <w:tcPr>
            <w:tcW w:w="2171" w:type="dxa"/>
            <w:vAlign w:val="top"/>
          </w:tcPr>
          <w:p>
            <w:pPr>
              <w:ind w:left="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ind w:right="21"/>
              <w:spacing w:before="195" w:line="183" w:lineRule="auto"/>
              <w:jc w:val="right"/>
              <w:rPr>
                <w:rFonts w:ascii="SimSun" w:hAnsi="SimSun" w:eastAsia="SimSun" w:cs="SimSun"/>
                <w:sz w:val="18"/>
                <w:szCs w:val="18"/>
              </w:rPr>
            </w:pPr>
            <w:r>
              <w:rPr>
                <w:rFonts w:ascii="SimSun" w:hAnsi="SimSun" w:eastAsia="SimSun" w:cs="SimSun"/>
                <w:sz w:val="18"/>
                <w:szCs w:val="18"/>
                <w:color w:val="212529"/>
                <w:spacing w:val="-2"/>
              </w:rPr>
              <w:t>366.54</w:t>
            </w:r>
          </w:p>
        </w:tc>
        <w:tc>
          <w:tcPr>
            <w:tcW w:w="1153" w:type="dxa"/>
            <w:vAlign w:val="top"/>
          </w:tcPr>
          <w:p>
            <w:pPr>
              <w:ind w:left="579"/>
              <w:spacing w:before="195" w:line="183" w:lineRule="auto"/>
              <w:rPr>
                <w:rFonts w:ascii="SimSun" w:hAnsi="SimSun" w:eastAsia="SimSun" w:cs="SimSun"/>
                <w:sz w:val="18"/>
                <w:szCs w:val="18"/>
              </w:rPr>
            </w:pPr>
            <w:r>
              <w:rPr>
                <w:rFonts w:ascii="SimSun" w:hAnsi="SimSun" w:eastAsia="SimSun" w:cs="SimSun"/>
                <w:sz w:val="18"/>
                <w:szCs w:val="18"/>
                <w:color w:val="212529"/>
                <w:spacing w:val="-2"/>
              </w:rPr>
              <w:t>366.54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2"/>
              <w:spacing w:before="198" w:line="183" w:lineRule="auto"/>
              <w:jc w:val="right"/>
              <w:rPr>
                <w:rFonts w:ascii="SimSun" w:hAnsi="SimSun" w:eastAsia="SimSun" w:cs="SimSun"/>
                <w:sz w:val="18"/>
                <w:szCs w:val="18"/>
              </w:rPr>
            </w:pPr>
            <w:r>
              <w:rPr>
                <w:rFonts w:ascii="SimSun" w:hAnsi="SimSun" w:eastAsia="SimSun" w:cs="SimSun"/>
                <w:sz w:val="18"/>
                <w:szCs w:val="18"/>
                <w:color w:val="212529"/>
                <w:spacing w:val="-2"/>
              </w:rPr>
              <w:t>88.04</w:t>
            </w:r>
          </w:p>
        </w:tc>
        <w:tc>
          <w:tcPr>
            <w:tcW w:w="1153" w:type="dxa"/>
            <w:vAlign w:val="top"/>
          </w:tcPr>
          <w:p>
            <w:pPr>
              <w:ind w:left="666"/>
              <w:spacing w:before="198" w:line="183" w:lineRule="auto"/>
              <w:rPr>
                <w:rFonts w:ascii="SimSun" w:hAnsi="SimSun" w:eastAsia="SimSun" w:cs="SimSun"/>
                <w:sz w:val="18"/>
                <w:szCs w:val="18"/>
              </w:rPr>
            </w:pPr>
            <w:r>
              <w:rPr>
                <w:rFonts w:ascii="SimSun" w:hAnsi="SimSun" w:eastAsia="SimSun" w:cs="SimSun"/>
                <w:sz w:val="18"/>
                <w:szCs w:val="18"/>
                <w:color w:val="212529"/>
                <w:spacing w:val="-2"/>
              </w:rPr>
              <w:t>88.04</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153" w:type="dxa"/>
            <w:vAlign w:val="top"/>
          </w:tcPr>
          <w:p>
            <w:pPr>
              <w:ind w:right="25"/>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210"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153" w:type="dxa"/>
            <w:vAlign w:val="top"/>
          </w:tcPr>
          <w:p>
            <w:pPr>
              <w:ind w:left="669"/>
              <w:spacing w:before="210" w:line="183" w:lineRule="auto"/>
              <w:rPr>
                <w:rFonts w:ascii="SimSun" w:hAnsi="SimSun" w:eastAsia="SimSun" w:cs="SimSun"/>
                <w:sz w:val="18"/>
                <w:szCs w:val="18"/>
              </w:rPr>
            </w:pPr>
            <w:r>
              <w:rPr>
                <w:rFonts w:ascii="SimSun" w:hAnsi="SimSun" w:eastAsia="SimSun" w:cs="SimSun"/>
                <w:sz w:val="18"/>
                <w:szCs w:val="18"/>
                <w:color w:val="212529"/>
                <w:spacing w:val="-2"/>
              </w:rPr>
              <w:t>34.82</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footerReference w:type="default" r:id="rId4"/>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9"/>
              <w:spacing w:before="186" w:line="183" w:lineRule="auto"/>
              <w:rPr>
                <w:sz w:val="15"/>
                <w:szCs w:val="15"/>
              </w:rPr>
            </w:pPr>
            <w:r>
              <w:rPr>
                <w:sz w:val="15"/>
                <w:szCs w:val="15"/>
                <w:color w:val="212529"/>
                <w:spacing w:val="2"/>
              </w:rPr>
              <w:t>506.</w:t>
            </w:r>
            <w:r>
              <w:rPr>
                <w:sz w:val="15"/>
                <w:szCs w:val="15"/>
                <w:color w:val="212529"/>
                <w:spacing w:val="12"/>
                <w:w w:val="102"/>
              </w:rPr>
              <w:t xml:space="preserve"> </w:t>
            </w:r>
            <w:r>
              <w:rPr>
                <w:sz w:val="15"/>
                <w:szCs w:val="15"/>
                <w:color w:val="212529"/>
                <w:spacing w:val="2"/>
              </w:rPr>
              <w:t>28</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4"/>
              <w:spacing w:before="186" w:line="183" w:lineRule="auto"/>
              <w:rPr>
                <w:sz w:val="15"/>
                <w:szCs w:val="15"/>
              </w:rPr>
            </w:pPr>
            <w:r>
              <w:rPr>
                <w:sz w:val="15"/>
                <w:szCs w:val="15"/>
                <w:color w:val="212529"/>
                <w:spacing w:val="1"/>
              </w:rPr>
              <w:t>506.</w:t>
            </w:r>
            <w:r>
              <w:rPr>
                <w:sz w:val="15"/>
                <w:szCs w:val="15"/>
                <w:color w:val="212529"/>
                <w:spacing w:val="18"/>
                <w:w w:val="102"/>
              </w:rPr>
              <w:t xml:space="preserve"> </w:t>
            </w:r>
            <w:r>
              <w:rPr>
                <w:sz w:val="15"/>
                <w:szCs w:val="15"/>
                <w:color w:val="212529"/>
                <w:spacing w:val="1"/>
              </w:rPr>
              <w:t>28</w:t>
            </w:r>
          </w:p>
        </w:tc>
        <w:tc>
          <w:tcPr>
            <w:tcW w:w="1153" w:type="dxa"/>
            <w:vAlign w:val="top"/>
          </w:tcPr>
          <w:p>
            <w:pPr>
              <w:pStyle w:val="TableText"/>
              <w:ind w:left="578"/>
              <w:spacing w:before="186" w:line="183" w:lineRule="auto"/>
              <w:rPr>
                <w:sz w:val="15"/>
                <w:szCs w:val="15"/>
              </w:rPr>
            </w:pPr>
            <w:r>
              <w:rPr>
                <w:sz w:val="15"/>
                <w:szCs w:val="15"/>
                <w:color w:val="212529"/>
                <w:spacing w:val="1"/>
              </w:rPr>
              <w:t>506.</w:t>
            </w:r>
            <w:r>
              <w:rPr>
                <w:sz w:val="15"/>
                <w:szCs w:val="15"/>
                <w:color w:val="212529"/>
                <w:spacing w:val="18"/>
                <w:w w:val="102"/>
              </w:rPr>
              <w:t xml:space="preserve"> </w:t>
            </w:r>
            <w:r>
              <w:rPr>
                <w:sz w:val="15"/>
                <w:szCs w:val="15"/>
                <w:color w:val="212529"/>
                <w:spacing w:val="1"/>
              </w:rPr>
              <w:t>28</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9"/>
              <w:spacing w:before="188" w:line="183" w:lineRule="auto"/>
              <w:rPr>
                <w:sz w:val="15"/>
                <w:szCs w:val="15"/>
              </w:rPr>
            </w:pPr>
            <w:r>
              <w:rPr>
                <w:sz w:val="15"/>
                <w:szCs w:val="15"/>
                <w:color w:val="212529"/>
                <w:spacing w:val="2"/>
              </w:rPr>
              <w:t>506.</w:t>
            </w:r>
            <w:r>
              <w:rPr>
                <w:sz w:val="15"/>
                <w:szCs w:val="15"/>
                <w:color w:val="212529"/>
                <w:spacing w:val="12"/>
                <w:w w:val="102"/>
              </w:rPr>
              <w:t xml:space="preserve"> </w:t>
            </w:r>
            <w:r>
              <w:rPr>
                <w:sz w:val="15"/>
                <w:szCs w:val="15"/>
                <w:color w:val="212529"/>
                <w:spacing w:val="2"/>
              </w:rPr>
              <w:t>28</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4"/>
              <w:spacing w:before="188" w:line="183" w:lineRule="auto"/>
              <w:rPr>
                <w:sz w:val="15"/>
                <w:szCs w:val="15"/>
              </w:rPr>
            </w:pPr>
            <w:r>
              <w:rPr>
                <w:sz w:val="15"/>
                <w:szCs w:val="15"/>
                <w:color w:val="212529"/>
                <w:spacing w:val="1"/>
              </w:rPr>
              <w:t>506.</w:t>
            </w:r>
            <w:r>
              <w:rPr>
                <w:sz w:val="15"/>
                <w:szCs w:val="15"/>
                <w:color w:val="212529"/>
                <w:spacing w:val="18"/>
                <w:w w:val="102"/>
              </w:rPr>
              <w:t xml:space="preserve"> </w:t>
            </w:r>
            <w:r>
              <w:rPr>
                <w:sz w:val="15"/>
                <w:szCs w:val="15"/>
                <w:color w:val="212529"/>
                <w:spacing w:val="1"/>
              </w:rPr>
              <w:t>28</w:t>
            </w:r>
          </w:p>
        </w:tc>
        <w:tc>
          <w:tcPr>
            <w:tcW w:w="1153" w:type="dxa"/>
            <w:vAlign w:val="top"/>
          </w:tcPr>
          <w:p>
            <w:pPr>
              <w:pStyle w:val="TableText"/>
              <w:ind w:left="578"/>
              <w:spacing w:before="188" w:line="183" w:lineRule="auto"/>
              <w:rPr>
                <w:sz w:val="15"/>
                <w:szCs w:val="15"/>
              </w:rPr>
            </w:pPr>
            <w:r>
              <w:rPr>
                <w:sz w:val="15"/>
                <w:szCs w:val="15"/>
                <w:color w:val="212529"/>
                <w:spacing w:val="1"/>
              </w:rPr>
              <w:t>506.</w:t>
            </w:r>
            <w:r>
              <w:rPr>
                <w:sz w:val="15"/>
                <w:szCs w:val="15"/>
                <w:color w:val="212529"/>
                <w:spacing w:val="18"/>
                <w:w w:val="102"/>
              </w:rPr>
              <w:t xml:space="preserve"> </w:t>
            </w:r>
            <w:r>
              <w:rPr>
                <w:sz w:val="15"/>
                <w:szCs w:val="15"/>
                <w:color w:val="212529"/>
                <w:spacing w:val="1"/>
              </w:rPr>
              <w:t>28</w:t>
            </w:r>
          </w:p>
        </w:tc>
        <w:tc>
          <w:tcPr>
            <w:tcW w:w="831" w:type="dxa"/>
            <w:vAlign w:val="top"/>
          </w:tcPr>
          <w:p>
            <w:pPr>
              <w:pStyle w:val="TableText"/>
              <w:rPr/>
            </w:pPr>
            <w:r/>
          </w:p>
        </w:tc>
      </w:tr>
    </w:tbl>
    <w:p>
      <w:pPr>
        <w:rPr>
          <w:rFonts w:ascii="Arial"/>
          <w:sz w:val="21"/>
        </w:rPr>
      </w:pPr>
      <w:r/>
    </w:p>
    <w:p>
      <w:pPr>
        <w:sectPr>
          <w:footerReference w:type="default" r:id="rId5"/>
          <w:pgSz w:w="11900" w:h="16840"/>
          <w:pgMar w:top="610" w:right="600" w:bottom="312" w:left="600" w:header="357" w:footer="153" w:gutter="0"/>
        </w:sectPr>
        <w:rPr>
          <w:rFonts w:ascii="Arial" w:hAnsi="Arial" w:eastAsia="Arial" w:cs="Arial"/>
          <w:sz w:val="21"/>
          <w:szCs w:val="21"/>
        </w:rPr>
      </w:pPr>
    </w:p>
    <w:p>
      <w:pPr>
        <w:spacing w:before="9"/>
        <w:rPr/>
      </w:pPr>
      <w:r>
        <w:pict>
          <v:shape id="_x0000_s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ind w:left="20"/>
                    <w:spacing w:before="20" w:line="245" w:lineRule="exact"/>
                    <w:rPr>
                      <w:rFonts w:ascii="Arial" w:hAnsi="Arial" w:eastAsia="Arial" w:cs="Arial"/>
                      <w:sz w:val="18"/>
                      <w:szCs w:val="18"/>
                    </w:rPr>
                  </w:pPr>
                  <w:r>
                    <w:rPr>
                      <w:rFonts w:ascii="Arial" w:hAnsi="Arial" w:eastAsia="Arial" w:cs="Arial"/>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43"/>
            <w:bookmarkEnd w:id="43"/>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单位名称：兴县教育科技局教学研究室</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7"/>
              <w:spacing w:before="149" w:line="183" w:lineRule="auto"/>
              <w:rPr>
                <w:sz w:val="15"/>
                <w:szCs w:val="15"/>
              </w:rPr>
            </w:pPr>
            <w:r>
              <w:rPr>
                <w:sz w:val="15"/>
                <w:szCs w:val="15"/>
                <w:color w:val="212529"/>
                <w:spacing w:val="1"/>
              </w:rPr>
              <w:t>506.</w:t>
            </w:r>
            <w:r>
              <w:rPr>
                <w:sz w:val="15"/>
                <w:szCs w:val="15"/>
                <w:color w:val="212529"/>
                <w:spacing w:val="18"/>
                <w:w w:val="102"/>
              </w:rPr>
              <w:t xml:space="preserve"> </w:t>
            </w:r>
            <w:r>
              <w:rPr>
                <w:sz w:val="15"/>
                <w:szCs w:val="15"/>
                <w:color w:val="212529"/>
                <w:spacing w:val="1"/>
              </w:rPr>
              <w:t>28</w:t>
            </w:r>
          </w:p>
        </w:tc>
        <w:tc>
          <w:tcPr>
            <w:tcW w:w="1274" w:type="dxa"/>
            <w:vAlign w:val="top"/>
          </w:tcPr>
          <w:p>
            <w:pPr>
              <w:pStyle w:val="TableText"/>
              <w:ind w:left="704"/>
              <w:spacing w:before="149" w:line="183" w:lineRule="auto"/>
              <w:rPr>
                <w:sz w:val="15"/>
                <w:szCs w:val="15"/>
              </w:rPr>
            </w:pPr>
            <w:r>
              <w:rPr>
                <w:sz w:val="15"/>
                <w:szCs w:val="15"/>
                <w:color w:val="212529"/>
                <w:spacing w:val="2"/>
              </w:rPr>
              <w:t>506.</w:t>
            </w:r>
            <w:r>
              <w:rPr>
                <w:sz w:val="15"/>
                <w:szCs w:val="15"/>
                <w:color w:val="212529"/>
                <w:spacing w:val="12"/>
                <w:w w:val="102"/>
              </w:rPr>
              <w:t xml:space="preserve"> </w:t>
            </w:r>
            <w:r>
              <w:rPr>
                <w:sz w:val="15"/>
                <w:szCs w:val="15"/>
                <w:color w:val="212529"/>
                <w:spacing w:val="2"/>
              </w:rPr>
              <w:t>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38" w:type="dxa"/>
            <w:vAlign w:val="top"/>
          </w:tcPr>
          <w:p>
            <w:pPr>
              <w:ind w:right="24"/>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366.54</w:t>
            </w:r>
          </w:p>
        </w:tc>
        <w:tc>
          <w:tcPr>
            <w:tcW w:w="1274" w:type="dxa"/>
            <w:vAlign w:val="top"/>
          </w:tcPr>
          <w:p>
            <w:pPr>
              <w:ind w:right="23"/>
              <w:spacing w:before="156" w:line="183" w:lineRule="auto"/>
              <w:jc w:val="right"/>
              <w:rPr>
                <w:rFonts w:ascii="SimSun" w:hAnsi="SimSun" w:eastAsia="SimSun" w:cs="SimSun"/>
                <w:sz w:val="18"/>
                <w:szCs w:val="18"/>
              </w:rPr>
            </w:pPr>
            <w:r>
              <w:rPr>
                <w:rFonts w:ascii="SimSun" w:hAnsi="SimSun" w:eastAsia="SimSun" w:cs="SimSun"/>
                <w:sz w:val="18"/>
                <w:szCs w:val="18"/>
                <w:color w:val="212529"/>
                <w:spacing w:val="-2"/>
              </w:rPr>
              <w:t>366.54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97"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38" w:type="dxa"/>
            <w:vAlign w:val="top"/>
          </w:tcPr>
          <w:p>
            <w:pPr>
              <w:ind w:right="22"/>
              <w:spacing w:before="156" w:line="184" w:lineRule="auto"/>
              <w:jc w:val="right"/>
              <w:rPr>
                <w:rFonts w:ascii="SimSun" w:hAnsi="SimSun" w:eastAsia="SimSun" w:cs="SimSun"/>
                <w:sz w:val="18"/>
                <w:szCs w:val="18"/>
              </w:rPr>
            </w:pPr>
            <w:r>
              <w:rPr>
                <w:rFonts w:ascii="SimSun" w:hAnsi="SimSun" w:eastAsia="SimSun" w:cs="SimSun"/>
                <w:sz w:val="18"/>
                <w:szCs w:val="18"/>
                <w:color w:val="212529"/>
                <w:spacing w:val="-4"/>
              </w:rPr>
              <w:t>18.98</w:t>
            </w:r>
          </w:p>
        </w:tc>
        <w:tc>
          <w:tcPr>
            <w:tcW w:w="1274" w:type="dxa"/>
            <w:vAlign w:val="top"/>
          </w:tcPr>
          <w:p>
            <w:pPr>
              <w:ind w:right="21"/>
              <w:spacing w:before="156" w:line="184" w:lineRule="auto"/>
              <w:jc w:val="right"/>
              <w:rPr>
                <w:rFonts w:ascii="SimSun" w:hAnsi="SimSun" w:eastAsia="SimSun" w:cs="SimSun"/>
                <w:sz w:val="18"/>
                <w:szCs w:val="18"/>
              </w:rPr>
            </w:pPr>
            <w:r>
              <w:rPr>
                <w:rFonts w:ascii="SimSun" w:hAnsi="SimSun" w:eastAsia="SimSun" w:cs="SimSun"/>
                <w:sz w:val="18"/>
                <w:szCs w:val="18"/>
                <w:color w:val="212529"/>
                <w:spacing w:val="-4"/>
              </w:rPr>
              <w:t>18.98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3" w:lineRule="auto"/>
              <w:rPr>
                <w:rFonts w:ascii="SimSun" w:hAnsi="SimSun" w:eastAsia="SimSun" w:cs="SimSun"/>
                <w:sz w:val="18"/>
                <w:szCs w:val="18"/>
              </w:rPr>
            </w:pPr>
            <w:r>
              <w:rPr>
                <w:rFonts w:ascii="SimSun" w:hAnsi="SimSun" w:eastAsia="SimSun" w:cs="SimSun"/>
                <w:sz w:val="18"/>
                <w:szCs w:val="18"/>
                <w:color w:val="212529"/>
                <w:spacing w:val="-2"/>
              </w:rPr>
              <w:t>2050299</w:t>
            </w:r>
          </w:p>
        </w:tc>
        <w:tc>
          <w:tcPr>
            <w:tcW w:w="2997" w:type="dxa"/>
            <w:vAlign w:val="top"/>
          </w:tcPr>
          <w:p>
            <w:pPr>
              <w:ind w:left="3"/>
              <w:spacing w:before="130" w:line="219" w:lineRule="auto"/>
              <w:rPr>
                <w:rFonts w:ascii="SimSun" w:hAnsi="SimSun" w:eastAsia="SimSun" w:cs="SimSun"/>
                <w:sz w:val="18"/>
                <w:szCs w:val="18"/>
              </w:rPr>
            </w:pPr>
            <w:r>
              <w:rPr>
                <w:rFonts w:ascii="SimSun" w:hAnsi="SimSun" w:eastAsia="SimSun" w:cs="SimSun"/>
                <w:sz w:val="18"/>
                <w:szCs w:val="18"/>
                <w:color w:val="212529"/>
                <w:spacing w:val="-1"/>
              </w:rPr>
              <w:t>其他普通教育支出</w:t>
            </w:r>
          </w:p>
        </w:tc>
        <w:tc>
          <w:tcPr>
            <w:tcW w:w="1438" w:type="dxa"/>
            <w:vAlign w:val="top"/>
          </w:tcPr>
          <w:p>
            <w:pPr>
              <w:ind w:right="22"/>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4"/>
              </w:rPr>
              <w:t>18.98</w:t>
            </w:r>
          </w:p>
        </w:tc>
        <w:tc>
          <w:tcPr>
            <w:tcW w:w="1274" w:type="dxa"/>
            <w:vAlign w:val="top"/>
          </w:tcPr>
          <w:p>
            <w:pPr>
              <w:ind w:right="21"/>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4"/>
              </w:rPr>
              <w:t>18.98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3" w:lineRule="auto"/>
              <w:rPr>
                <w:rFonts w:ascii="SimSun" w:hAnsi="SimSun" w:eastAsia="SimSun" w:cs="SimSun"/>
                <w:sz w:val="18"/>
                <w:szCs w:val="18"/>
              </w:rPr>
            </w:pPr>
            <w:r>
              <w:rPr>
                <w:rFonts w:ascii="SimSun" w:hAnsi="SimSun" w:eastAsia="SimSun" w:cs="SimSun"/>
                <w:sz w:val="18"/>
                <w:szCs w:val="18"/>
                <w:color w:val="212529"/>
                <w:spacing w:val="-2"/>
              </w:rPr>
              <w:t>20508</w:t>
            </w:r>
          </w:p>
        </w:tc>
        <w:tc>
          <w:tcPr>
            <w:tcW w:w="2997" w:type="dxa"/>
            <w:vAlign w:val="top"/>
          </w:tcPr>
          <w:p>
            <w:pPr>
              <w:ind w:left="3"/>
              <w:spacing w:before="131" w:line="219" w:lineRule="auto"/>
              <w:rPr>
                <w:rFonts w:ascii="SimSun" w:hAnsi="SimSun" w:eastAsia="SimSun" w:cs="SimSun"/>
                <w:sz w:val="18"/>
                <w:szCs w:val="18"/>
              </w:rPr>
            </w:pPr>
            <w:r>
              <w:rPr>
                <w:rFonts w:ascii="SimSun" w:hAnsi="SimSun" w:eastAsia="SimSun" w:cs="SimSun"/>
                <w:sz w:val="18"/>
                <w:szCs w:val="18"/>
                <w:color w:val="212529"/>
                <w:spacing w:val="-1"/>
              </w:rPr>
              <w:t>进修及培训</w:t>
            </w:r>
          </w:p>
        </w:tc>
        <w:tc>
          <w:tcPr>
            <w:tcW w:w="1438" w:type="dxa"/>
            <w:vAlign w:val="top"/>
          </w:tcPr>
          <w:p>
            <w:pPr>
              <w:ind w:right="24"/>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347.56</w:t>
            </w:r>
          </w:p>
        </w:tc>
        <w:tc>
          <w:tcPr>
            <w:tcW w:w="1274" w:type="dxa"/>
            <w:vAlign w:val="top"/>
          </w:tcPr>
          <w:p>
            <w:pPr>
              <w:ind w:right="23"/>
              <w:spacing w:before="159" w:line="183" w:lineRule="auto"/>
              <w:jc w:val="right"/>
              <w:rPr>
                <w:rFonts w:ascii="SimSun" w:hAnsi="SimSun" w:eastAsia="SimSun" w:cs="SimSun"/>
                <w:sz w:val="18"/>
                <w:szCs w:val="18"/>
              </w:rPr>
            </w:pPr>
            <w:r>
              <w:rPr>
                <w:rFonts w:ascii="SimSun" w:hAnsi="SimSun" w:eastAsia="SimSun" w:cs="SimSun"/>
                <w:sz w:val="18"/>
                <w:szCs w:val="18"/>
                <w:color w:val="212529"/>
                <w:spacing w:val="-2"/>
              </w:rPr>
              <w:t>347.56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2050801</w:t>
            </w:r>
          </w:p>
        </w:tc>
        <w:tc>
          <w:tcPr>
            <w:tcW w:w="2997" w:type="dxa"/>
            <w:vAlign w:val="top"/>
          </w:tcPr>
          <w:p>
            <w:pPr>
              <w:ind w:left="6"/>
              <w:spacing w:before="132" w:line="219" w:lineRule="auto"/>
              <w:rPr>
                <w:rFonts w:ascii="SimSun" w:hAnsi="SimSun" w:eastAsia="SimSun" w:cs="SimSun"/>
                <w:sz w:val="18"/>
                <w:szCs w:val="18"/>
              </w:rPr>
            </w:pPr>
            <w:r>
              <w:rPr>
                <w:rFonts w:ascii="SimSun" w:hAnsi="SimSun" w:eastAsia="SimSun" w:cs="SimSun"/>
                <w:sz w:val="18"/>
                <w:szCs w:val="18"/>
                <w:color w:val="212529"/>
                <w:spacing w:val="-2"/>
              </w:rPr>
              <w:t>教师进修</w:t>
            </w:r>
          </w:p>
        </w:tc>
        <w:tc>
          <w:tcPr>
            <w:tcW w:w="1438" w:type="dxa"/>
            <w:vAlign w:val="top"/>
          </w:tcPr>
          <w:p>
            <w:pPr>
              <w:ind w:right="24"/>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347.56</w:t>
            </w:r>
          </w:p>
        </w:tc>
        <w:tc>
          <w:tcPr>
            <w:tcW w:w="1274" w:type="dxa"/>
            <w:vAlign w:val="top"/>
          </w:tcPr>
          <w:p>
            <w:pPr>
              <w:ind w:right="23"/>
              <w:spacing w:before="160" w:line="183" w:lineRule="auto"/>
              <w:jc w:val="right"/>
              <w:rPr>
                <w:rFonts w:ascii="SimSun" w:hAnsi="SimSun" w:eastAsia="SimSun" w:cs="SimSun"/>
                <w:sz w:val="18"/>
                <w:szCs w:val="18"/>
              </w:rPr>
            </w:pPr>
            <w:r>
              <w:rPr>
                <w:rFonts w:ascii="SimSun" w:hAnsi="SimSun" w:eastAsia="SimSun" w:cs="SimSun"/>
                <w:sz w:val="18"/>
                <w:szCs w:val="18"/>
                <w:color w:val="212529"/>
                <w:spacing w:val="-2"/>
              </w:rPr>
              <w:t>347.56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3"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88.04</w:t>
            </w:r>
          </w:p>
        </w:tc>
        <w:tc>
          <w:tcPr>
            <w:tcW w:w="1274" w:type="dxa"/>
            <w:vAlign w:val="top"/>
          </w:tcPr>
          <w:p>
            <w:pPr>
              <w:ind w:right="23"/>
              <w:spacing w:before="161" w:line="183" w:lineRule="auto"/>
              <w:jc w:val="right"/>
              <w:rPr>
                <w:rFonts w:ascii="SimSun" w:hAnsi="SimSun" w:eastAsia="SimSun" w:cs="SimSun"/>
                <w:sz w:val="18"/>
                <w:szCs w:val="18"/>
              </w:rPr>
            </w:pPr>
            <w:r>
              <w:rPr>
                <w:rFonts w:ascii="SimSun" w:hAnsi="SimSun" w:eastAsia="SimSun" w:cs="SimSun"/>
                <w:sz w:val="18"/>
                <w:szCs w:val="18"/>
                <w:color w:val="212529"/>
                <w:spacing w:val="-2"/>
              </w:rPr>
              <w:t>88.04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88.04</w:t>
            </w:r>
          </w:p>
        </w:tc>
        <w:tc>
          <w:tcPr>
            <w:tcW w:w="1274" w:type="dxa"/>
            <w:vAlign w:val="top"/>
          </w:tcPr>
          <w:p>
            <w:pPr>
              <w:ind w:right="23"/>
              <w:spacing w:before="162" w:line="183" w:lineRule="auto"/>
              <w:jc w:val="right"/>
              <w:rPr>
                <w:rFonts w:ascii="SimSun" w:hAnsi="SimSun" w:eastAsia="SimSun" w:cs="SimSun"/>
                <w:sz w:val="18"/>
                <w:szCs w:val="18"/>
              </w:rPr>
            </w:pPr>
            <w:r>
              <w:rPr>
                <w:rFonts w:ascii="SimSun" w:hAnsi="SimSun" w:eastAsia="SimSun" w:cs="SimSun"/>
                <w:sz w:val="18"/>
                <w:szCs w:val="18"/>
                <w:color w:val="212529"/>
                <w:spacing w:val="-2"/>
              </w:rPr>
              <w:t>88.04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3"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5"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5"/>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47.35</w:t>
            </w:r>
          </w:p>
        </w:tc>
        <w:tc>
          <w:tcPr>
            <w:tcW w:w="1274" w:type="dxa"/>
            <w:vAlign w:val="top"/>
          </w:tcPr>
          <w:p>
            <w:pPr>
              <w:ind w:right="24"/>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47.35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6"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5"/>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40.69</w:t>
            </w:r>
          </w:p>
        </w:tc>
        <w:tc>
          <w:tcPr>
            <w:tcW w:w="1274" w:type="dxa"/>
            <w:vAlign w:val="top"/>
          </w:tcPr>
          <w:p>
            <w:pPr>
              <w:ind w:right="24"/>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40.69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274" w:type="dxa"/>
            <w:vAlign w:val="top"/>
          </w:tcPr>
          <w:p>
            <w:pPr>
              <w:ind w:right="21"/>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16.88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274" w:type="dxa"/>
            <w:vAlign w:val="top"/>
          </w:tcPr>
          <w:p>
            <w:pPr>
              <w:ind w:right="23"/>
              <w:spacing w:before="166" w:line="183" w:lineRule="auto"/>
              <w:jc w:val="right"/>
              <w:rPr>
                <w:rFonts w:ascii="SimSun" w:hAnsi="SimSun" w:eastAsia="SimSun" w:cs="SimSun"/>
                <w:sz w:val="18"/>
                <w:szCs w:val="18"/>
              </w:rPr>
            </w:pPr>
            <w:r>
              <w:rPr>
                <w:rFonts w:ascii="SimSun" w:hAnsi="SimSun" w:eastAsia="SimSun" w:cs="SimSun"/>
                <w:sz w:val="18"/>
                <w:szCs w:val="18"/>
                <w:color w:val="212529"/>
                <w:spacing w:val="-2"/>
              </w:rPr>
              <w:t>34.82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6"/>
          <w:footerReference w:type="default" r:id="rId7"/>
          <w:pgSz w:w="16840" w:h="11900"/>
          <w:pgMar w:top="610" w:right="600" w:bottom="312" w:left="600" w:header="357" w:footer="153" w:gutter="0"/>
        </w:sectPr>
        <w:rPr>
          <w:rFonts w:ascii="Arial" w:hAnsi="Arial" w:eastAsia="Arial" w:cs="Arial"/>
          <w:sz w:val="21"/>
          <w:szCs w:val="21"/>
        </w:rPr>
      </w:pPr>
    </w:p>
    <w:p>
      <w:pPr>
        <w:spacing w:before="119"/>
        <w:rPr/>
      </w:pPr>
      <w:r>
        <w:pict>
          <v:shape id="_x0000_s6" style="position:absolute;margin-left:68.2717pt;margin-top:58.2865pt;mso-position-vertical-relative:page;mso-position-horizontal-relative:page;width:128.4pt;height:10.85pt;z-index:25166131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8" w:id="44"/>
                  <w:bookmarkEnd w:id="44"/>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45"/>
            <w:bookmarkEnd w:id="45"/>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506.</w:t>
            </w:r>
            <w:r>
              <w:rPr>
                <w:sz w:val="13"/>
                <w:szCs w:val="13"/>
                <w:color w:val="212529"/>
                <w:spacing w:val="14"/>
              </w:rPr>
              <w:t xml:space="preserve"> </w:t>
            </w:r>
            <w:r>
              <w:rPr>
                <w:sz w:val="13"/>
                <w:szCs w:val="13"/>
                <w:color w:val="212529"/>
                <w:spacing w:val="4"/>
              </w:rPr>
              <w:t>28</w:t>
            </w:r>
          </w:p>
        </w:tc>
        <w:tc>
          <w:tcPr>
            <w:tcW w:w="1361" w:type="dxa"/>
            <w:vAlign w:val="top"/>
          </w:tcPr>
          <w:p>
            <w:pPr>
              <w:pStyle w:val="TableText"/>
              <w:ind w:left="849"/>
              <w:spacing w:before="99" w:line="173" w:lineRule="auto"/>
              <w:rPr>
                <w:sz w:val="14"/>
                <w:szCs w:val="14"/>
              </w:rPr>
            </w:pPr>
            <w:r>
              <w:rPr>
                <w:sz w:val="14"/>
                <w:szCs w:val="14"/>
                <w:color w:val="212529"/>
              </w:rPr>
              <w:t>487.</w:t>
            </w:r>
            <w:r>
              <w:rPr>
                <w:sz w:val="14"/>
                <w:szCs w:val="14"/>
                <w:color w:val="212529"/>
              </w:rPr>
              <w:t xml:space="preserve"> </w:t>
            </w:r>
            <w:r>
              <w:rPr>
                <w:sz w:val="14"/>
                <w:szCs w:val="14"/>
                <w:color w:val="212529"/>
              </w:rPr>
              <w:t>31</w:t>
            </w:r>
          </w:p>
        </w:tc>
        <w:tc>
          <w:tcPr>
            <w:tcW w:w="1280" w:type="dxa"/>
            <w:vAlign w:val="top"/>
          </w:tcPr>
          <w:p>
            <w:pPr>
              <w:pStyle w:val="TableText"/>
              <w:ind w:left="860"/>
              <w:spacing w:before="99" w:line="186" w:lineRule="auto"/>
              <w:rPr>
                <w:sz w:val="13"/>
                <w:szCs w:val="13"/>
              </w:rPr>
            </w:pPr>
            <w:r>
              <w:rPr>
                <w:sz w:val="13"/>
                <w:szCs w:val="13"/>
                <w:color w:val="212529"/>
                <w:spacing w:val="1"/>
              </w:rPr>
              <w:t>18.</w:t>
            </w:r>
            <w:r>
              <w:rPr>
                <w:sz w:val="13"/>
                <w:szCs w:val="13"/>
                <w:color w:val="212529"/>
                <w:spacing w:val="15"/>
                <w:w w:val="101"/>
              </w:rPr>
              <w:t xml:space="preserve"> </w:t>
            </w:r>
            <w:r>
              <w:rPr>
                <w:sz w:val="13"/>
                <w:szCs w:val="13"/>
                <w:color w:val="212529"/>
                <w:spacing w:val="1"/>
              </w:rPr>
              <w:t>98</w:t>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337" w:type="dxa"/>
            <w:vAlign w:val="top"/>
          </w:tcPr>
          <w:p>
            <w:pPr>
              <w:ind w:left="5"/>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04" w:type="dxa"/>
            <w:vAlign w:val="top"/>
          </w:tcPr>
          <w:p>
            <w:pPr>
              <w:ind w:right="19"/>
              <w:spacing w:before="105" w:line="190" w:lineRule="auto"/>
              <w:jc w:val="right"/>
              <w:rPr>
                <w:rFonts w:ascii="SimSun" w:hAnsi="SimSun" w:eastAsia="SimSun" w:cs="SimSun"/>
                <w:sz w:val="15"/>
                <w:szCs w:val="15"/>
              </w:rPr>
            </w:pPr>
            <w:r>
              <w:rPr>
                <w:rFonts w:ascii="SimSun" w:hAnsi="SimSun" w:eastAsia="SimSun" w:cs="SimSun"/>
                <w:sz w:val="15"/>
                <w:szCs w:val="15"/>
                <w:color w:val="212529"/>
                <w:spacing w:val="4"/>
              </w:rPr>
              <w:t>366.54</w:t>
            </w:r>
          </w:p>
        </w:tc>
        <w:tc>
          <w:tcPr>
            <w:tcW w:w="1361" w:type="dxa"/>
            <w:vAlign w:val="top"/>
          </w:tcPr>
          <w:p>
            <w:pPr>
              <w:pStyle w:val="TableText"/>
              <w:ind w:left="852"/>
              <w:spacing w:before="100" w:line="172" w:lineRule="auto"/>
              <w:rPr>
                <w:sz w:val="14"/>
                <w:szCs w:val="14"/>
              </w:rPr>
            </w:pPr>
            <w:r>
              <w:rPr>
                <w:sz w:val="14"/>
                <w:szCs w:val="14"/>
                <w:color w:val="212529"/>
              </w:rPr>
              <w:t>347.</w:t>
            </w:r>
            <w:r>
              <w:rPr>
                <w:sz w:val="14"/>
                <w:szCs w:val="14"/>
                <w:color w:val="212529"/>
                <w:spacing w:val="6"/>
              </w:rPr>
              <w:t xml:space="preserve"> </w:t>
            </w:r>
            <w:r>
              <w:rPr>
                <w:sz w:val="14"/>
                <w:szCs w:val="14"/>
                <w:color w:val="212529"/>
              </w:rPr>
              <w:t>56</w:t>
            </w:r>
          </w:p>
        </w:tc>
        <w:tc>
          <w:tcPr>
            <w:tcW w:w="1280" w:type="dxa"/>
            <w:vAlign w:val="top"/>
          </w:tcPr>
          <w:p>
            <w:pPr>
              <w:pStyle w:val="TableText"/>
              <w:ind w:left="860"/>
              <w:spacing w:before="99" w:line="162" w:lineRule="auto"/>
              <w:rPr>
                <w:sz w:val="15"/>
                <w:szCs w:val="15"/>
              </w:rPr>
            </w:pPr>
            <w:r>
              <w:rPr>
                <w:sz w:val="15"/>
                <w:szCs w:val="15"/>
                <w:color w:val="212529"/>
                <w:spacing w:val="1"/>
              </w:rPr>
              <w:t>18.98</w:t>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337"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04" w:type="dxa"/>
            <w:vAlign w:val="top"/>
          </w:tcPr>
          <w:p>
            <w:pPr>
              <w:ind w:right="19"/>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18.98</w:t>
            </w:r>
          </w:p>
        </w:tc>
        <w:tc>
          <w:tcPr>
            <w:tcW w:w="1361" w:type="dxa"/>
            <w:vAlign w:val="top"/>
          </w:tcPr>
          <w:p>
            <w:pPr>
              <w:pStyle w:val="TableText"/>
              <w:rPr/>
            </w:pPr>
            <w:r/>
          </w:p>
        </w:tc>
        <w:tc>
          <w:tcPr>
            <w:tcW w:w="1280" w:type="dxa"/>
            <w:vAlign w:val="top"/>
          </w:tcPr>
          <w:p>
            <w:pPr>
              <w:pStyle w:val="TableText"/>
              <w:ind w:left="860"/>
              <w:spacing w:before="99" w:line="186" w:lineRule="auto"/>
              <w:rPr>
                <w:sz w:val="13"/>
                <w:szCs w:val="13"/>
              </w:rPr>
            </w:pPr>
            <w:r>
              <w:rPr>
                <w:sz w:val="13"/>
                <w:szCs w:val="13"/>
                <w:color w:val="212529"/>
                <w:spacing w:val="1"/>
              </w:rPr>
              <w:t>18.</w:t>
            </w:r>
            <w:r>
              <w:rPr>
                <w:sz w:val="13"/>
                <w:szCs w:val="13"/>
                <w:color w:val="212529"/>
                <w:spacing w:val="15"/>
                <w:w w:val="101"/>
              </w:rPr>
              <w:t xml:space="preserve"> </w:t>
            </w:r>
            <w:r>
              <w:rPr>
                <w:sz w:val="13"/>
                <w:szCs w:val="13"/>
                <w:color w:val="212529"/>
                <w:spacing w:val="1"/>
              </w:rPr>
              <w:t>98</w:t>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2050299</w:t>
            </w:r>
          </w:p>
        </w:tc>
        <w:tc>
          <w:tcPr>
            <w:tcW w:w="3337"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1"/>
              </w:rPr>
              <w:t>其他普通教育支出</w:t>
            </w:r>
          </w:p>
        </w:tc>
        <w:tc>
          <w:tcPr>
            <w:tcW w:w="1404" w:type="dxa"/>
            <w:vAlign w:val="top"/>
          </w:tcPr>
          <w:p>
            <w:pPr>
              <w:ind w:right="19"/>
              <w:spacing w:before="105" w:line="191" w:lineRule="auto"/>
              <w:jc w:val="right"/>
              <w:rPr>
                <w:rFonts w:ascii="SimSun" w:hAnsi="SimSun" w:eastAsia="SimSun" w:cs="SimSun"/>
                <w:sz w:val="15"/>
                <w:szCs w:val="15"/>
              </w:rPr>
            </w:pPr>
            <w:r>
              <w:rPr>
                <w:rFonts w:ascii="SimSun" w:hAnsi="SimSun" w:eastAsia="SimSun" w:cs="SimSun"/>
                <w:sz w:val="15"/>
                <w:szCs w:val="15"/>
                <w:color w:val="212529"/>
                <w:spacing w:val="2"/>
              </w:rPr>
              <w:t>18.98</w:t>
            </w:r>
          </w:p>
        </w:tc>
        <w:tc>
          <w:tcPr>
            <w:tcW w:w="1361" w:type="dxa"/>
            <w:vAlign w:val="top"/>
          </w:tcPr>
          <w:p>
            <w:pPr>
              <w:pStyle w:val="TableText"/>
              <w:rPr/>
            </w:pPr>
            <w:r/>
          </w:p>
        </w:tc>
        <w:tc>
          <w:tcPr>
            <w:tcW w:w="1280" w:type="dxa"/>
            <w:vAlign w:val="top"/>
          </w:tcPr>
          <w:p>
            <w:pPr>
              <w:ind w:left="860"/>
              <w:spacing w:before="105" w:line="191" w:lineRule="auto"/>
              <w:rPr>
                <w:rFonts w:ascii="SimSun" w:hAnsi="SimSun" w:eastAsia="SimSun" w:cs="SimSun"/>
                <w:sz w:val="15"/>
                <w:szCs w:val="15"/>
              </w:rPr>
            </w:pPr>
            <w:r>
              <w:rPr>
                <w:rFonts w:ascii="SimSun" w:hAnsi="SimSun" w:eastAsia="SimSun" w:cs="SimSun"/>
                <w:sz w:val="15"/>
                <w:szCs w:val="15"/>
                <w:color w:val="212529"/>
                <w:spacing w:val="2"/>
              </w:rPr>
              <w:t>18.98</w:t>
            </w:r>
          </w:p>
        </w:tc>
      </w:tr>
      <w:tr>
        <w:trPr>
          <w:trHeight w:val="314" w:hRule="atLeast"/>
        </w:trPr>
        <w:tc>
          <w:tcPr>
            <w:tcW w:w="1776"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20508</w:t>
            </w:r>
          </w:p>
        </w:tc>
        <w:tc>
          <w:tcPr>
            <w:tcW w:w="3337" w:type="dxa"/>
            <w:vAlign w:val="top"/>
          </w:tcPr>
          <w:p>
            <w:pPr>
              <w:ind w:left="1"/>
              <w:spacing w:before="81" w:line="229" w:lineRule="auto"/>
              <w:rPr>
                <w:rFonts w:ascii="SimSun" w:hAnsi="SimSun" w:eastAsia="SimSun" w:cs="SimSun"/>
                <w:sz w:val="15"/>
                <w:szCs w:val="15"/>
              </w:rPr>
            </w:pPr>
            <w:r>
              <w:rPr>
                <w:rFonts w:ascii="SimSun" w:hAnsi="SimSun" w:eastAsia="SimSun" w:cs="SimSun"/>
                <w:sz w:val="15"/>
                <w:szCs w:val="15"/>
                <w:color w:val="212529"/>
                <w:spacing w:val="10"/>
              </w:rPr>
              <w:t>进修及培训</w:t>
            </w:r>
          </w:p>
        </w:tc>
        <w:tc>
          <w:tcPr>
            <w:tcW w:w="1404" w:type="dxa"/>
            <w:vAlign w:val="top"/>
          </w:tcPr>
          <w:p>
            <w:pPr>
              <w:ind w:right="19"/>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347.56</w:t>
            </w:r>
          </w:p>
        </w:tc>
        <w:tc>
          <w:tcPr>
            <w:tcW w:w="1361" w:type="dxa"/>
            <w:vAlign w:val="top"/>
          </w:tcPr>
          <w:p>
            <w:pPr>
              <w:pStyle w:val="TableText"/>
              <w:ind w:left="852"/>
              <w:spacing w:before="101" w:line="172" w:lineRule="auto"/>
              <w:rPr>
                <w:sz w:val="14"/>
                <w:szCs w:val="14"/>
              </w:rPr>
            </w:pPr>
            <w:r>
              <w:rPr>
                <w:sz w:val="14"/>
                <w:szCs w:val="14"/>
                <w:color w:val="212529"/>
              </w:rPr>
              <w:t>347.</w:t>
            </w:r>
            <w:r>
              <w:rPr>
                <w:sz w:val="14"/>
                <w:szCs w:val="14"/>
                <w:color w:val="212529"/>
                <w:spacing w:val="6"/>
              </w:rPr>
              <w:t xml:space="preserve"> </w:t>
            </w:r>
            <w:r>
              <w:rPr>
                <w:sz w:val="14"/>
                <w:szCs w:val="14"/>
                <w:color w:val="212529"/>
              </w:rPr>
              <w:t>56</w:t>
            </w:r>
          </w:p>
        </w:tc>
        <w:tc>
          <w:tcPr>
            <w:tcW w:w="1280" w:type="dxa"/>
            <w:vAlign w:val="top"/>
          </w:tcPr>
          <w:p>
            <w:pPr>
              <w:pStyle w:val="TableText"/>
              <w:rPr/>
            </w:pPr>
            <w:r/>
          </w:p>
        </w:tc>
      </w:tr>
      <w:tr>
        <w:trPr>
          <w:trHeight w:val="314" w:hRule="atLeast"/>
        </w:trPr>
        <w:tc>
          <w:tcPr>
            <w:tcW w:w="1776" w:type="dxa"/>
            <w:vAlign w:val="top"/>
          </w:tcPr>
          <w:p>
            <w:pPr>
              <w:ind w:left="8"/>
              <w:spacing w:before="105" w:line="191" w:lineRule="auto"/>
              <w:rPr>
                <w:rFonts w:ascii="SimSun" w:hAnsi="SimSun" w:eastAsia="SimSun" w:cs="SimSun"/>
                <w:sz w:val="15"/>
                <w:szCs w:val="15"/>
              </w:rPr>
            </w:pPr>
            <w:r>
              <w:rPr>
                <w:rFonts w:ascii="SimSun" w:hAnsi="SimSun" w:eastAsia="SimSun" w:cs="SimSun"/>
                <w:sz w:val="15"/>
                <w:szCs w:val="15"/>
                <w:color w:val="212529"/>
                <w:spacing w:val="4"/>
              </w:rPr>
              <w:t>2050801</w:t>
            </w:r>
          </w:p>
        </w:tc>
        <w:tc>
          <w:tcPr>
            <w:tcW w:w="3337" w:type="dxa"/>
            <w:vAlign w:val="top"/>
          </w:tcPr>
          <w:p>
            <w:pPr>
              <w:ind w:left="5"/>
              <w:spacing w:before="81" w:line="229" w:lineRule="auto"/>
              <w:rPr>
                <w:rFonts w:ascii="SimSun" w:hAnsi="SimSun" w:eastAsia="SimSun" w:cs="SimSun"/>
                <w:sz w:val="15"/>
                <w:szCs w:val="15"/>
              </w:rPr>
            </w:pPr>
            <w:r>
              <w:rPr>
                <w:rFonts w:ascii="SimSun" w:hAnsi="SimSun" w:eastAsia="SimSun" w:cs="SimSun"/>
                <w:sz w:val="15"/>
                <w:szCs w:val="15"/>
                <w:color w:val="212529"/>
                <w:spacing w:val="9"/>
              </w:rPr>
              <w:t>教师进修</w:t>
            </w:r>
          </w:p>
        </w:tc>
        <w:tc>
          <w:tcPr>
            <w:tcW w:w="1404" w:type="dxa"/>
            <w:vAlign w:val="top"/>
          </w:tcPr>
          <w:p>
            <w:pPr>
              <w:ind w:right="19"/>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347.56</w:t>
            </w:r>
          </w:p>
        </w:tc>
        <w:tc>
          <w:tcPr>
            <w:tcW w:w="1361" w:type="dxa"/>
            <w:vAlign w:val="top"/>
          </w:tcPr>
          <w:p>
            <w:pPr>
              <w:ind w:right="22"/>
              <w:spacing w:before="106" w:line="190" w:lineRule="auto"/>
              <w:jc w:val="right"/>
              <w:rPr>
                <w:rFonts w:ascii="SimSun" w:hAnsi="SimSun" w:eastAsia="SimSun" w:cs="SimSun"/>
                <w:sz w:val="15"/>
                <w:szCs w:val="15"/>
              </w:rPr>
            </w:pPr>
            <w:r>
              <w:rPr>
                <w:rFonts w:ascii="SimSun" w:hAnsi="SimSun" w:eastAsia="SimSun" w:cs="SimSun"/>
                <w:sz w:val="15"/>
                <w:szCs w:val="15"/>
                <w:color w:val="212529"/>
                <w:spacing w:val="4"/>
              </w:rPr>
              <w:t>347.56</w:t>
            </w:r>
          </w:p>
        </w:tc>
        <w:tc>
          <w:tcPr>
            <w:tcW w:w="1280" w:type="dxa"/>
            <w:vAlign w:val="top"/>
          </w:tcPr>
          <w:p>
            <w:pPr>
              <w:pStyle w:val="TableText"/>
              <w:rPr/>
            </w:pPr>
            <w:r/>
          </w:p>
        </w:tc>
      </w:tr>
      <w:tr>
        <w:trPr>
          <w:trHeight w:val="314" w:hRule="atLeast"/>
        </w:trPr>
        <w:tc>
          <w:tcPr>
            <w:tcW w:w="1776"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37" w:type="dxa"/>
            <w:vAlign w:val="top"/>
          </w:tcPr>
          <w:p>
            <w:pPr>
              <w:ind w:left="4"/>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88.04</w:t>
            </w:r>
          </w:p>
        </w:tc>
        <w:tc>
          <w:tcPr>
            <w:tcW w:w="1361" w:type="dxa"/>
            <w:vAlign w:val="top"/>
          </w:tcPr>
          <w:p>
            <w:pPr>
              <w:pStyle w:val="TableText"/>
              <w:ind w:left="931"/>
              <w:spacing w:before="101" w:line="172" w:lineRule="auto"/>
              <w:rPr>
                <w:sz w:val="14"/>
                <w:szCs w:val="14"/>
              </w:rPr>
            </w:pPr>
            <w:r>
              <w:rPr>
                <w:sz w:val="14"/>
                <w:szCs w:val="14"/>
                <w:color w:val="212529"/>
              </w:rPr>
              <w:t>88.</w:t>
            </w:r>
            <w:r>
              <w:rPr>
                <w:sz w:val="14"/>
                <w:szCs w:val="14"/>
                <w:color w:val="212529"/>
                <w:spacing w:val="7"/>
              </w:rPr>
              <w:t xml:space="preserve"> </w:t>
            </w:r>
            <w:r>
              <w:rPr>
                <w:sz w:val="14"/>
                <w:szCs w:val="14"/>
                <w:color w:val="212529"/>
              </w:rPr>
              <w:t>04</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37"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88.04</w:t>
            </w:r>
          </w:p>
        </w:tc>
        <w:tc>
          <w:tcPr>
            <w:tcW w:w="1361" w:type="dxa"/>
            <w:vAlign w:val="top"/>
          </w:tcPr>
          <w:p>
            <w:pPr>
              <w:pStyle w:val="TableText"/>
              <w:ind w:left="931"/>
              <w:spacing w:before="102" w:line="172" w:lineRule="auto"/>
              <w:rPr>
                <w:sz w:val="14"/>
                <w:szCs w:val="14"/>
              </w:rPr>
            </w:pPr>
            <w:r>
              <w:rPr>
                <w:sz w:val="14"/>
                <w:szCs w:val="14"/>
                <w:color w:val="212529"/>
              </w:rPr>
              <w:t>88.</w:t>
            </w:r>
            <w:r>
              <w:rPr>
                <w:sz w:val="14"/>
                <w:szCs w:val="14"/>
                <w:color w:val="212529"/>
                <w:spacing w:val="7"/>
              </w:rPr>
              <w:t xml:space="preserve"> </w:t>
            </w:r>
            <w:r>
              <w:rPr>
                <w:sz w:val="14"/>
                <w:szCs w:val="14"/>
                <w:color w:val="212529"/>
              </w:rPr>
              <w:t>04</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337"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47.35</w:t>
            </w:r>
          </w:p>
        </w:tc>
        <w:tc>
          <w:tcPr>
            <w:tcW w:w="1361" w:type="dxa"/>
            <w:vAlign w:val="top"/>
          </w:tcPr>
          <w:p>
            <w:pPr>
              <w:ind w:right="22"/>
              <w:spacing w:before="107" w:line="190" w:lineRule="auto"/>
              <w:jc w:val="right"/>
              <w:rPr>
                <w:rFonts w:ascii="SimSun" w:hAnsi="SimSun" w:eastAsia="SimSun" w:cs="SimSun"/>
                <w:sz w:val="15"/>
                <w:szCs w:val="15"/>
              </w:rPr>
            </w:pPr>
            <w:r>
              <w:rPr>
                <w:rFonts w:ascii="SimSun" w:hAnsi="SimSun" w:eastAsia="SimSun" w:cs="SimSun"/>
                <w:sz w:val="15"/>
                <w:szCs w:val="15"/>
                <w:color w:val="212529"/>
                <w:spacing w:val="4"/>
              </w:rPr>
              <w:t>47.35</w:t>
            </w:r>
          </w:p>
        </w:tc>
        <w:tc>
          <w:tcPr>
            <w:tcW w:w="1280" w:type="dxa"/>
            <w:vAlign w:val="top"/>
          </w:tcPr>
          <w:p>
            <w:pPr>
              <w:pStyle w:val="TableText"/>
              <w:rPr/>
            </w:pPr>
            <w:r/>
          </w:p>
        </w:tc>
      </w:tr>
      <w:tr>
        <w:trPr>
          <w:trHeight w:val="314" w:hRule="atLeast"/>
        </w:trPr>
        <w:tc>
          <w:tcPr>
            <w:tcW w:w="1776" w:type="dxa"/>
            <w:vAlign w:val="top"/>
          </w:tcPr>
          <w:p>
            <w:pPr>
              <w:ind w:left="8"/>
              <w:spacing w:before="107"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4"/>
              </w:rPr>
              <w:t>40.69</w:t>
            </w:r>
          </w:p>
        </w:tc>
        <w:tc>
          <w:tcPr>
            <w:tcW w:w="1361" w:type="dxa"/>
            <w:vAlign w:val="top"/>
          </w:tcPr>
          <w:p>
            <w:pPr>
              <w:ind w:right="22"/>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4"/>
              </w:rPr>
              <w:t>40.69</w:t>
            </w:r>
          </w:p>
        </w:tc>
        <w:tc>
          <w:tcPr>
            <w:tcW w:w="1280" w:type="dxa"/>
            <w:vAlign w:val="top"/>
          </w:tcPr>
          <w:p>
            <w:pPr>
              <w:pStyle w:val="TableText"/>
              <w:rPr/>
            </w:pPr>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37" w:type="dxa"/>
            <w:vAlign w:val="top"/>
          </w:tcPr>
          <w:p>
            <w:pPr>
              <w:ind w:left="4"/>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361" w:type="dxa"/>
            <w:vAlign w:val="top"/>
          </w:tcPr>
          <w:p>
            <w:pPr>
              <w:pStyle w:val="TableText"/>
              <w:ind w:left="942"/>
              <w:spacing w:before="102" w:line="162" w:lineRule="auto"/>
              <w:rPr>
                <w:sz w:val="15"/>
                <w:szCs w:val="15"/>
              </w:rPr>
            </w:pPr>
            <w:r>
              <w:rPr>
                <w:sz w:val="15"/>
                <w:szCs w:val="15"/>
                <w:color w:val="212529"/>
                <w:spacing w:val="1"/>
              </w:rPr>
              <w:t>16.88</w:t>
            </w:r>
          </w:p>
        </w:tc>
        <w:tc>
          <w:tcPr>
            <w:tcW w:w="1280" w:type="dxa"/>
            <w:vAlign w:val="top"/>
          </w:tcPr>
          <w:p>
            <w:pPr>
              <w:pStyle w:val="TableText"/>
              <w:rPr/>
            </w:pPr>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361" w:type="dxa"/>
            <w:vAlign w:val="top"/>
          </w:tcPr>
          <w:p>
            <w:pPr>
              <w:pStyle w:val="TableText"/>
              <w:ind w:left="942"/>
              <w:spacing w:before="102" w:line="162" w:lineRule="auto"/>
              <w:rPr>
                <w:sz w:val="15"/>
                <w:szCs w:val="15"/>
              </w:rPr>
            </w:pPr>
            <w:r>
              <w:rPr>
                <w:sz w:val="15"/>
                <w:szCs w:val="15"/>
                <w:color w:val="212529"/>
                <w:spacing w:val="1"/>
              </w:rPr>
              <w:t>16.88</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361" w:type="dxa"/>
            <w:vAlign w:val="top"/>
          </w:tcPr>
          <w:p>
            <w:pPr>
              <w:ind w:right="22"/>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361" w:type="dxa"/>
            <w:vAlign w:val="top"/>
          </w:tcPr>
          <w:p>
            <w:pPr>
              <w:pStyle w:val="TableText"/>
              <w:ind w:left="933"/>
              <w:spacing w:before="103" w:line="186" w:lineRule="auto"/>
              <w:rPr>
                <w:sz w:val="13"/>
                <w:szCs w:val="13"/>
              </w:rPr>
            </w:pPr>
            <w:r>
              <w:rPr>
                <w:sz w:val="13"/>
                <w:szCs w:val="13"/>
                <w:color w:val="212529"/>
                <w:spacing w:val="4"/>
              </w:rPr>
              <w:t>34.</w:t>
            </w:r>
            <w:r>
              <w:rPr>
                <w:sz w:val="13"/>
                <w:szCs w:val="13"/>
                <w:color w:val="212529"/>
                <w:spacing w:val="9"/>
              </w:rPr>
              <w:t xml:space="preserve"> </w:t>
            </w:r>
            <w:r>
              <w:rPr>
                <w:sz w:val="13"/>
                <w:szCs w:val="13"/>
                <w:color w:val="212529"/>
                <w:spacing w:val="4"/>
              </w:rPr>
              <w:t>82</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361" w:type="dxa"/>
            <w:vAlign w:val="top"/>
          </w:tcPr>
          <w:p>
            <w:pPr>
              <w:pStyle w:val="TableText"/>
              <w:ind w:left="933"/>
              <w:spacing w:before="104" w:line="186" w:lineRule="auto"/>
              <w:rPr>
                <w:sz w:val="13"/>
                <w:szCs w:val="13"/>
              </w:rPr>
            </w:pPr>
            <w:r>
              <w:rPr>
                <w:sz w:val="13"/>
                <w:szCs w:val="13"/>
                <w:color w:val="212529"/>
                <w:spacing w:val="4"/>
              </w:rPr>
              <w:t>34.</w:t>
            </w:r>
            <w:r>
              <w:rPr>
                <w:sz w:val="13"/>
                <w:szCs w:val="13"/>
                <w:color w:val="212529"/>
                <w:spacing w:val="9"/>
              </w:rPr>
              <w:t xml:space="preserve"> </w:t>
            </w:r>
            <w:r>
              <w:rPr>
                <w:sz w:val="13"/>
                <w:szCs w:val="13"/>
                <w:color w:val="212529"/>
                <w:spacing w:val="4"/>
              </w:rPr>
              <w:t>82</w:t>
            </w:r>
          </w:p>
        </w:tc>
        <w:tc>
          <w:tcPr>
            <w:tcW w:w="1280" w:type="dxa"/>
            <w:vAlign w:val="top"/>
          </w:tcPr>
          <w:p>
            <w:pPr>
              <w:pStyle w:val="TableText"/>
              <w:rPr/>
            </w:pPr>
            <w:r/>
          </w:p>
        </w:tc>
      </w:tr>
      <w:tr>
        <w:trPr>
          <w:trHeight w:val="319"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361" w:type="dxa"/>
            <w:vAlign w:val="top"/>
          </w:tcPr>
          <w:p>
            <w:pPr>
              <w:ind w:right="22"/>
              <w:spacing w:before="11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280" w:type="dxa"/>
            <w:vAlign w:val="top"/>
          </w:tcPr>
          <w:p>
            <w:pPr>
              <w:pStyle w:val="TableText"/>
              <w:rPr/>
            </w:pPr>
            <w:r/>
          </w:p>
        </w:tc>
      </w:tr>
    </w:tbl>
    <w:p>
      <w:pPr>
        <w:rPr>
          <w:rFonts w:ascii="Arial"/>
          <w:sz w:val="21"/>
        </w:rPr>
      </w:pPr>
      <w:r/>
    </w:p>
    <w:p>
      <w:pPr>
        <w:sectPr>
          <w:headerReference w:type="default" r:id="rId2"/>
          <w:footerReference w:type="default" r:id="rId8"/>
          <w:pgSz w:w="11900" w:h="16840"/>
          <w:pgMar w:top="610" w:right="600" w:bottom="311" w:left="600" w:header="357" w:footer="153" w:gutter="0"/>
        </w:sectPr>
        <w:rPr>
          <w:rFonts w:ascii="Arial" w:hAnsi="Arial" w:eastAsia="Arial" w:cs="Arial"/>
          <w:sz w:val="21"/>
          <w:szCs w:val="21"/>
        </w:rPr>
      </w:pPr>
    </w:p>
    <w:p>
      <w:pPr>
        <w:spacing w:before="119"/>
        <w:rPr/>
      </w:pPr>
      <w:r>
        <w:pict>
          <v:shape id="_x0000_s8" style="position:absolute;margin-left:68.2717pt;margin-top:58.2865pt;mso-position-vertical-relative:page;mso-position-horizontal-relative:page;width:141.4pt;height:10.85pt;z-index:25166233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39" w:id="46"/>
                  <w:bookmarkEnd w:id="46"/>
                  <w:r>
                    <w:rPr>
                      <w:rFonts w:ascii="Arial" w:hAnsi="Arial" w:eastAsia="Arial" w:cs="Arial"/>
                      <w:sz w:val="12"/>
                      <w:szCs w:val="12"/>
                      <w:color w:val="FFFFFF"/>
                      <w:spacing w:val="3"/>
                      <w:position w:val="2"/>
                    </w:rPr>
                    <w:t>@#@#@                                                @#@#@</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9" w:id="47"/>
            <w:bookmarkEnd w:id="47"/>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4"/>
              </w:rPr>
              <w:t xml:space="preserve"> </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0" w:lineRule="auto"/>
              <w:jc w:val="right"/>
              <w:rPr>
                <w:rFonts w:ascii="SimSun" w:hAnsi="SimSun" w:eastAsia="SimSun" w:cs="SimSun"/>
                <w:sz w:val="15"/>
                <w:szCs w:val="15"/>
              </w:rPr>
            </w:pPr>
            <w:r>
              <w:rPr>
                <w:rFonts w:ascii="SimSun" w:hAnsi="SimSun" w:eastAsia="SimSun" w:cs="SimSun"/>
                <w:sz w:val="15"/>
                <w:szCs w:val="15"/>
                <w:color w:val="212529"/>
                <w:spacing w:val="4"/>
              </w:rPr>
              <w:t>506.28</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ind w:left="538"/>
              <w:spacing w:before="135" w:line="190" w:lineRule="auto"/>
              <w:rPr>
                <w:rFonts w:ascii="SimSun" w:hAnsi="SimSun" w:eastAsia="SimSun" w:cs="SimSun"/>
                <w:sz w:val="15"/>
                <w:szCs w:val="15"/>
              </w:rPr>
            </w:pPr>
            <w:r>
              <w:rPr>
                <w:rFonts w:ascii="SimSun" w:hAnsi="SimSun" w:eastAsia="SimSun" w:cs="SimSun"/>
                <w:sz w:val="15"/>
                <w:szCs w:val="15"/>
                <w:color w:val="212529"/>
                <w:spacing w:val="4"/>
              </w:rPr>
              <w:t>366.54</w:t>
            </w:r>
          </w:p>
        </w:tc>
        <w:tc>
          <w:tcPr>
            <w:tcW w:w="1069" w:type="dxa"/>
            <w:vAlign w:val="top"/>
          </w:tcPr>
          <w:p>
            <w:pPr>
              <w:ind w:right="18"/>
              <w:spacing w:before="135" w:line="190" w:lineRule="auto"/>
              <w:jc w:val="right"/>
              <w:rPr>
                <w:rFonts w:ascii="SimSun" w:hAnsi="SimSun" w:eastAsia="SimSun" w:cs="SimSun"/>
                <w:sz w:val="15"/>
                <w:szCs w:val="15"/>
              </w:rPr>
            </w:pPr>
            <w:r>
              <w:rPr>
                <w:rFonts w:ascii="SimSun" w:hAnsi="SimSun" w:eastAsia="SimSun" w:cs="SimSun"/>
                <w:sz w:val="15"/>
                <w:szCs w:val="15"/>
                <w:color w:val="212529"/>
                <w:spacing w:val="4"/>
              </w:rPr>
              <w:t>366.54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17"/>
              <w:spacing w:before="137" w:line="190" w:lineRule="auto"/>
              <w:rPr>
                <w:rFonts w:ascii="SimSun" w:hAnsi="SimSun" w:eastAsia="SimSun" w:cs="SimSun"/>
                <w:sz w:val="15"/>
                <w:szCs w:val="15"/>
              </w:rPr>
            </w:pPr>
            <w:r>
              <w:rPr>
                <w:rFonts w:ascii="SimSun" w:hAnsi="SimSun" w:eastAsia="SimSun" w:cs="SimSun"/>
                <w:sz w:val="15"/>
                <w:szCs w:val="15"/>
                <w:color w:val="212529"/>
                <w:spacing w:val="4"/>
              </w:rPr>
              <w:t>88.04</w:t>
            </w:r>
          </w:p>
        </w:tc>
        <w:tc>
          <w:tcPr>
            <w:tcW w:w="1069" w:type="dxa"/>
            <w:vAlign w:val="top"/>
          </w:tcPr>
          <w:p>
            <w:pPr>
              <w:ind w:right="18"/>
              <w:spacing w:before="137" w:line="190" w:lineRule="auto"/>
              <w:jc w:val="right"/>
              <w:rPr>
                <w:rFonts w:ascii="SimSun" w:hAnsi="SimSun" w:eastAsia="SimSun" w:cs="SimSun"/>
                <w:sz w:val="15"/>
                <w:szCs w:val="15"/>
              </w:rPr>
            </w:pPr>
            <w:r>
              <w:rPr>
                <w:rFonts w:ascii="SimSun" w:hAnsi="SimSun" w:eastAsia="SimSun" w:cs="SimSun"/>
                <w:sz w:val="15"/>
                <w:szCs w:val="15"/>
                <w:color w:val="212529"/>
                <w:spacing w:val="4"/>
              </w:rPr>
              <w:t>88.04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628"/>
              <w:spacing w:before="137" w:line="191" w:lineRule="auto"/>
              <w:rPr>
                <w:rFonts w:ascii="SimSun" w:hAnsi="SimSun" w:eastAsia="SimSun" w:cs="SimSun"/>
                <w:sz w:val="15"/>
                <w:szCs w:val="15"/>
              </w:rPr>
            </w:pPr>
            <w:r>
              <w:rPr>
                <w:rFonts w:ascii="SimSun" w:hAnsi="SimSun" w:eastAsia="SimSun" w:cs="SimSun"/>
                <w:sz w:val="15"/>
                <w:szCs w:val="15"/>
                <w:color w:val="212529"/>
                <w:spacing w:val="2"/>
              </w:rPr>
              <w:t>16.88</w:t>
            </w:r>
          </w:p>
        </w:tc>
        <w:tc>
          <w:tcPr>
            <w:tcW w:w="1069" w:type="dxa"/>
            <w:vAlign w:val="top"/>
          </w:tcPr>
          <w:p>
            <w:pPr>
              <w:ind w:right="18"/>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19"/>
              <w:spacing w:before="140" w:line="190" w:lineRule="auto"/>
              <w:rPr>
                <w:rFonts w:ascii="SimSun" w:hAnsi="SimSun" w:eastAsia="SimSun" w:cs="SimSun"/>
                <w:sz w:val="15"/>
                <w:szCs w:val="15"/>
              </w:rPr>
            </w:pPr>
            <w:r>
              <w:rPr>
                <w:rFonts w:ascii="SimSun" w:hAnsi="SimSun" w:eastAsia="SimSun" w:cs="SimSun"/>
                <w:sz w:val="15"/>
                <w:szCs w:val="15"/>
                <w:color w:val="212529"/>
                <w:spacing w:val="3"/>
              </w:rPr>
              <w:t>34.82</w:t>
            </w:r>
          </w:p>
        </w:tc>
        <w:tc>
          <w:tcPr>
            <w:tcW w:w="1069" w:type="dxa"/>
            <w:vAlign w:val="top"/>
          </w:tcPr>
          <w:p>
            <w:pPr>
              <w:ind w:right="18"/>
              <w:spacing w:before="14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506.</w:t>
            </w:r>
            <w:r>
              <w:rPr>
                <w:sz w:val="13"/>
                <w:szCs w:val="13"/>
                <w:color w:val="212529"/>
                <w:spacing w:val="14"/>
              </w:rPr>
              <w:t xml:space="preserve"> </w:t>
            </w:r>
            <w:r>
              <w:rPr>
                <w:sz w:val="13"/>
                <w:szCs w:val="13"/>
                <w:color w:val="212529"/>
                <w:spacing w:val="4"/>
              </w:rPr>
              <w:t>28</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7" w:line="186" w:lineRule="auto"/>
              <w:rPr>
                <w:sz w:val="13"/>
                <w:szCs w:val="13"/>
              </w:rPr>
            </w:pPr>
            <w:r>
              <w:rPr>
                <w:sz w:val="13"/>
                <w:szCs w:val="13"/>
                <w:color w:val="212529"/>
                <w:spacing w:val="4"/>
              </w:rPr>
              <w:t>506.</w:t>
            </w:r>
            <w:r>
              <w:rPr>
                <w:sz w:val="13"/>
                <w:szCs w:val="13"/>
                <w:color w:val="212529"/>
                <w:spacing w:val="13"/>
                <w:w w:val="102"/>
              </w:rPr>
              <w:t xml:space="preserve"> </w:t>
            </w:r>
            <w:r>
              <w:rPr>
                <w:sz w:val="13"/>
                <w:szCs w:val="13"/>
                <w:color w:val="212529"/>
                <w:spacing w:val="4"/>
              </w:rPr>
              <w:t>28</w:t>
            </w:r>
          </w:p>
        </w:tc>
        <w:tc>
          <w:tcPr>
            <w:tcW w:w="1069" w:type="dxa"/>
            <w:vAlign w:val="top"/>
          </w:tcPr>
          <w:p>
            <w:pPr>
              <w:pStyle w:val="TableText"/>
              <w:ind w:left="287"/>
              <w:spacing w:before="137" w:line="186" w:lineRule="auto"/>
              <w:rPr>
                <w:sz w:val="13"/>
                <w:szCs w:val="13"/>
              </w:rPr>
            </w:pPr>
            <w:r>
              <w:rPr>
                <w:sz w:val="13"/>
                <w:szCs w:val="13"/>
                <w:color w:val="212529"/>
                <w:spacing w:val="4"/>
              </w:rPr>
              <w:t>506.</w:t>
            </w:r>
            <w:r>
              <w:rPr>
                <w:sz w:val="13"/>
                <w:szCs w:val="13"/>
                <w:color w:val="212529"/>
                <w:spacing w:val="13"/>
                <w:w w:val="102"/>
              </w:rPr>
              <w:t xml:space="preserve"> </w:t>
            </w:r>
            <w:r>
              <w:rPr>
                <w:sz w:val="13"/>
                <w:szCs w:val="13"/>
                <w:color w:val="212529"/>
                <w:spacing w:val="4"/>
              </w:rPr>
              <w:t>28</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9"/>
          <w:pgSz w:w="11900" w:h="16840"/>
          <w:pgMar w:top="610" w:right="600" w:bottom="312" w:left="600" w:header="357" w:footer="153" w:gutter="0"/>
        </w:sectPr>
        <w:rPr>
          <w:rFonts w:ascii="Arial" w:hAnsi="Arial" w:eastAsia="Arial" w:cs="Arial"/>
          <w:sz w:val="21"/>
          <w:szCs w:val="21"/>
        </w:rPr>
      </w:pPr>
    </w:p>
    <w:p>
      <w:pPr>
        <w:spacing w:before="54"/>
        <w:rPr/>
      </w:pPr>
      <w:r/>
    </w:p>
    <w:p>
      <w:pPr>
        <w:spacing w:before="54"/>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48"/>
            <w:bookmarkEnd w:id="48"/>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506.</w:t>
            </w:r>
            <w:r>
              <w:rPr>
                <w:sz w:val="13"/>
                <w:szCs w:val="13"/>
                <w:color w:val="212529"/>
                <w:spacing w:val="14"/>
              </w:rPr>
              <w:t xml:space="preserve"> </w:t>
            </w:r>
            <w:r>
              <w:rPr>
                <w:sz w:val="13"/>
                <w:szCs w:val="13"/>
                <w:color w:val="212529"/>
                <w:spacing w:val="4"/>
              </w:rPr>
              <w:t>28</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506.</w:t>
            </w:r>
            <w:r>
              <w:rPr>
                <w:sz w:val="13"/>
                <w:szCs w:val="13"/>
                <w:color w:val="212529"/>
                <w:spacing w:val="14"/>
              </w:rPr>
              <w:t xml:space="preserve"> </w:t>
            </w:r>
            <w:r>
              <w:rPr>
                <w:sz w:val="13"/>
                <w:szCs w:val="13"/>
                <w:color w:val="212529"/>
                <w:spacing w:val="4"/>
              </w:rPr>
              <w:t>28</w:t>
            </w:r>
          </w:p>
        </w:tc>
        <w:tc>
          <w:tcPr>
            <w:tcW w:w="1069" w:type="dxa"/>
            <w:vAlign w:val="top"/>
          </w:tcPr>
          <w:p>
            <w:pPr>
              <w:pStyle w:val="TableText"/>
              <w:ind w:left="287"/>
              <w:spacing w:before="136" w:line="186" w:lineRule="auto"/>
              <w:rPr>
                <w:sz w:val="13"/>
                <w:szCs w:val="13"/>
              </w:rPr>
            </w:pPr>
            <w:r>
              <w:rPr>
                <w:sz w:val="13"/>
                <w:szCs w:val="13"/>
                <w:color w:val="212529"/>
                <w:spacing w:val="4"/>
              </w:rPr>
              <w:t>506.</w:t>
            </w:r>
            <w:r>
              <w:rPr>
                <w:sz w:val="13"/>
                <w:szCs w:val="13"/>
                <w:color w:val="212529"/>
                <w:spacing w:val="13"/>
                <w:w w:val="102"/>
              </w:rPr>
              <w:t xml:space="preserve"> </w:t>
            </w:r>
            <w:r>
              <w:rPr>
                <w:sz w:val="13"/>
                <w:szCs w:val="13"/>
                <w:color w:val="212529"/>
                <w:spacing w:val="4"/>
              </w:rPr>
              <w:t>28</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footerReference w:type="default" r:id="rId10"/>
          <w:pgSz w:w="11900" w:h="16840"/>
          <w:pgMar w:top="610" w:right="600" w:bottom="311" w:left="600" w:header="357" w:footer="153" w:gutter="0"/>
        </w:sectPr>
        <w:rPr>
          <w:rFonts w:ascii="Arial" w:hAnsi="Arial" w:eastAsia="Arial" w:cs="Arial"/>
          <w:sz w:val="21"/>
          <w:szCs w:val="21"/>
        </w:rPr>
      </w:pPr>
    </w:p>
    <w:p>
      <w:pPr>
        <w:spacing w:before="119"/>
        <w:rPr/>
      </w:pPr>
      <w:r>
        <w:pict>
          <v:shape id="_x0000_s10" style="position:absolute;margin-left:68.2717pt;margin-top:58.2865pt;mso-position-vertical-relative:page;mso-position-horizontal-relative:page;width:212.75pt;height:10.85pt;z-index:25166438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1" w:id="49"/>
                  <w:bookmarkEnd w:id="49"/>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10" w:id="50"/>
            <w:bookmarkEnd w:id="5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51"/>
            <w:bookmarkEnd w:id="51"/>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86" w:lineRule="auto"/>
              <w:rPr>
                <w:sz w:val="13"/>
                <w:szCs w:val="13"/>
              </w:rPr>
            </w:pPr>
            <w:r>
              <w:rPr>
                <w:sz w:val="13"/>
                <w:szCs w:val="13"/>
                <w:color w:val="212529"/>
                <w:spacing w:val="4"/>
              </w:rPr>
              <w:t>506.</w:t>
            </w:r>
            <w:r>
              <w:rPr>
                <w:sz w:val="13"/>
                <w:szCs w:val="13"/>
                <w:color w:val="212529"/>
                <w:spacing w:val="13"/>
                <w:w w:val="102"/>
              </w:rPr>
              <w:t xml:space="preserve"> </w:t>
            </w:r>
            <w:r>
              <w:rPr>
                <w:sz w:val="13"/>
                <w:szCs w:val="13"/>
                <w:color w:val="212529"/>
                <w:spacing w:val="4"/>
              </w:rPr>
              <w:t>28</w:t>
            </w:r>
          </w:p>
        </w:tc>
        <w:tc>
          <w:tcPr>
            <w:tcW w:w="1415" w:type="dxa"/>
            <w:vAlign w:val="top"/>
          </w:tcPr>
          <w:p>
            <w:pPr>
              <w:pStyle w:val="TableText"/>
              <w:ind w:left="901"/>
              <w:spacing w:before="87" w:line="173" w:lineRule="auto"/>
              <w:rPr>
                <w:sz w:val="14"/>
                <w:szCs w:val="14"/>
              </w:rPr>
            </w:pPr>
            <w:r>
              <w:rPr>
                <w:sz w:val="14"/>
                <w:szCs w:val="14"/>
                <w:color w:val="212529"/>
              </w:rPr>
              <w:t>487.</w:t>
            </w:r>
            <w:r>
              <w:rPr>
                <w:sz w:val="14"/>
                <w:szCs w:val="14"/>
                <w:color w:val="212529"/>
              </w:rPr>
              <w:t xml:space="preserve"> </w:t>
            </w:r>
            <w:r>
              <w:rPr>
                <w:sz w:val="14"/>
                <w:szCs w:val="14"/>
                <w:color w:val="212529"/>
              </w:rPr>
              <w:t>31</w:t>
            </w:r>
          </w:p>
        </w:tc>
        <w:tc>
          <w:tcPr>
            <w:tcW w:w="1377" w:type="dxa"/>
            <w:vAlign w:val="top"/>
          </w:tcPr>
          <w:p>
            <w:pPr>
              <w:pStyle w:val="TableText"/>
              <w:ind w:left="957"/>
              <w:spacing w:before="87" w:line="186" w:lineRule="auto"/>
              <w:rPr>
                <w:sz w:val="13"/>
                <w:szCs w:val="13"/>
              </w:rPr>
            </w:pPr>
            <w:r>
              <w:rPr>
                <w:sz w:val="13"/>
                <w:szCs w:val="13"/>
                <w:color w:val="212529"/>
                <w:spacing w:val="1"/>
              </w:rPr>
              <w:t>18.</w:t>
            </w:r>
            <w:r>
              <w:rPr>
                <w:sz w:val="13"/>
                <w:szCs w:val="13"/>
                <w:color w:val="212529"/>
                <w:spacing w:val="15"/>
                <w:w w:val="101"/>
              </w:rPr>
              <w:t xml:space="preserve"> </w:t>
            </w:r>
            <w:r>
              <w:rPr>
                <w:sz w:val="13"/>
                <w:szCs w:val="13"/>
                <w:color w:val="212529"/>
                <w:spacing w:val="1"/>
              </w:rPr>
              <w:t>98</w:t>
            </w:r>
          </w:p>
        </w:tc>
      </w:tr>
      <w:tr>
        <w:trPr>
          <w:trHeight w:val="292" w:hRule="atLeast"/>
        </w:trPr>
        <w:tc>
          <w:tcPr>
            <w:tcW w:w="1679"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44" w:type="dxa"/>
            <w:vAlign w:val="top"/>
          </w:tcPr>
          <w:p>
            <w:pPr>
              <w:ind w:right="22"/>
              <w:spacing w:before="93" w:line="190" w:lineRule="auto"/>
              <w:jc w:val="right"/>
              <w:rPr>
                <w:rFonts w:ascii="SimSun" w:hAnsi="SimSun" w:eastAsia="SimSun" w:cs="SimSun"/>
                <w:sz w:val="15"/>
                <w:szCs w:val="15"/>
              </w:rPr>
            </w:pPr>
            <w:r>
              <w:rPr>
                <w:rFonts w:ascii="SimSun" w:hAnsi="SimSun" w:eastAsia="SimSun" w:cs="SimSun"/>
                <w:sz w:val="15"/>
                <w:szCs w:val="15"/>
                <w:color w:val="212529"/>
                <w:spacing w:val="4"/>
              </w:rPr>
              <w:t>366.54</w:t>
            </w:r>
          </w:p>
        </w:tc>
        <w:tc>
          <w:tcPr>
            <w:tcW w:w="1415" w:type="dxa"/>
            <w:vAlign w:val="top"/>
          </w:tcPr>
          <w:p>
            <w:pPr>
              <w:ind w:left="905"/>
              <w:spacing w:before="93" w:line="190" w:lineRule="auto"/>
              <w:rPr>
                <w:rFonts w:ascii="SimSun" w:hAnsi="SimSun" w:eastAsia="SimSun" w:cs="SimSun"/>
                <w:sz w:val="15"/>
                <w:szCs w:val="15"/>
              </w:rPr>
            </w:pPr>
            <w:r>
              <w:rPr>
                <w:rFonts w:ascii="SimSun" w:hAnsi="SimSun" w:eastAsia="SimSun" w:cs="SimSun"/>
                <w:sz w:val="15"/>
                <w:szCs w:val="15"/>
                <w:color w:val="212529"/>
                <w:spacing w:val="4"/>
              </w:rPr>
              <w:t>347.56</w:t>
            </w:r>
          </w:p>
        </w:tc>
        <w:tc>
          <w:tcPr>
            <w:tcW w:w="1377" w:type="dxa"/>
            <w:vAlign w:val="top"/>
          </w:tcPr>
          <w:p>
            <w:pPr>
              <w:ind w:left="957"/>
              <w:spacing w:before="92" w:line="191" w:lineRule="auto"/>
              <w:rPr>
                <w:rFonts w:ascii="SimSun" w:hAnsi="SimSun" w:eastAsia="SimSun" w:cs="SimSun"/>
                <w:sz w:val="15"/>
                <w:szCs w:val="15"/>
              </w:rPr>
            </w:pPr>
            <w:r>
              <w:rPr>
                <w:rFonts w:ascii="SimSun" w:hAnsi="SimSun" w:eastAsia="SimSun" w:cs="SimSun"/>
                <w:sz w:val="15"/>
                <w:szCs w:val="15"/>
                <w:color w:val="212529"/>
                <w:spacing w:val="2"/>
              </w:rPr>
              <w:t>18.98</w:t>
            </w:r>
          </w:p>
        </w:tc>
      </w:tr>
      <w:tr>
        <w:trPr>
          <w:trHeight w:val="292" w:hRule="atLeast"/>
        </w:trPr>
        <w:tc>
          <w:tcPr>
            <w:tcW w:w="1679"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20502</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44" w:type="dxa"/>
            <w:vAlign w:val="top"/>
          </w:tcPr>
          <w:p>
            <w:pPr>
              <w:ind w:right="22"/>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18.98</w:t>
            </w:r>
          </w:p>
        </w:tc>
        <w:tc>
          <w:tcPr>
            <w:tcW w:w="1415" w:type="dxa"/>
            <w:vAlign w:val="top"/>
          </w:tcPr>
          <w:p>
            <w:pPr>
              <w:pStyle w:val="TableText"/>
              <w:rPr/>
            </w:pPr>
            <w:r/>
          </w:p>
        </w:tc>
        <w:tc>
          <w:tcPr>
            <w:tcW w:w="1377" w:type="dxa"/>
            <w:vAlign w:val="top"/>
          </w:tcPr>
          <w:p>
            <w:pPr>
              <w:ind w:left="957"/>
              <w:spacing w:before="93" w:line="191" w:lineRule="auto"/>
              <w:rPr>
                <w:rFonts w:ascii="SimSun" w:hAnsi="SimSun" w:eastAsia="SimSun" w:cs="SimSun"/>
                <w:sz w:val="15"/>
                <w:szCs w:val="15"/>
              </w:rPr>
            </w:pPr>
            <w:r>
              <w:rPr>
                <w:rFonts w:ascii="SimSun" w:hAnsi="SimSun" w:eastAsia="SimSun" w:cs="SimSun"/>
                <w:sz w:val="15"/>
                <w:szCs w:val="15"/>
                <w:color w:val="212529"/>
                <w:spacing w:val="2"/>
              </w:rPr>
              <w:t>18.98</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2050299</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其他普通教育支出</w:t>
            </w:r>
          </w:p>
        </w:tc>
        <w:tc>
          <w:tcPr>
            <w:tcW w:w="1544" w:type="dxa"/>
            <w:vAlign w:val="top"/>
          </w:tcPr>
          <w:p>
            <w:pPr>
              <w:ind w:right="22"/>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18.98</w:t>
            </w:r>
          </w:p>
        </w:tc>
        <w:tc>
          <w:tcPr>
            <w:tcW w:w="1415" w:type="dxa"/>
            <w:vAlign w:val="top"/>
          </w:tcPr>
          <w:p>
            <w:pPr>
              <w:pStyle w:val="TableText"/>
              <w:rPr/>
            </w:pPr>
            <w:r/>
          </w:p>
        </w:tc>
        <w:tc>
          <w:tcPr>
            <w:tcW w:w="1377" w:type="dxa"/>
            <w:vAlign w:val="top"/>
          </w:tcPr>
          <w:p>
            <w:pPr>
              <w:ind w:left="957"/>
              <w:spacing w:before="94" w:line="191" w:lineRule="auto"/>
              <w:rPr>
                <w:rFonts w:ascii="SimSun" w:hAnsi="SimSun" w:eastAsia="SimSun" w:cs="SimSun"/>
                <w:sz w:val="15"/>
                <w:szCs w:val="15"/>
              </w:rPr>
            </w:pPr>
            <w:r>
              <w:rPr>
                <w:rFonts w:ascii="SimSun" w:hAnsi="SimSun" w:eastAsia="SimSun" w:cs="SimSun"/>
                <w:sz w:val="15"/>
                <w:szCs w:val="15"/>
                <w:color w:val="212529"/>
                <w:spacing w:val="2"/>
              </w:rPr>
              <w:t>18.98</w:t>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20508</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9"/>
              </w:rPr>
              <w:t>进修及培训</w:t>
            </w:r>
          </w:p>
        </w:tc>
        <w:tc>
          <w:tcPr>
            <w:tcW w:w="1544" w:type="dxa"/>
            <w:vAlign w:val="top"/>
          </w:tcPr>
          <w:p>
            <w:pPr>
              <w:ind w:right="22"/>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347.56</w:t>
            </w:r>
          </w:p>
        </w:tc>
        <w:tc>
          <w:tcPr>
            <w:tcW w:w="1415" w:type="dxa"/>
            <w:vAlign w:val="top"/>
          </w:tcPr>
          <w:p>
            <w:pPr>
              <w:ind w:left="905"/>
              <w:spacing w:before="95" w:line="190" w:lineRule="auto"/>
              <w:rPr>
                <w:rFonts w:ascii="SimSun" w:hAnsi="SimSun" w:eastAsia="SimSun" w:cs="SimSun"/>
                <w:sz w:val="15"/>
                <w:szCs w:val="15"/>
              </w:rPr>
            </w:pPr>
            <w:r>
              <w:rPr>
                <w:rFonts w:ascii="SimSun" w:hAnsi="SimSun" w:eastAsia="SimSun" w:cs="SimSun"/>
                <w:sz w:val="15"/>
                <w:szCs w:val="15"/>
                <w:color w:val="212529"/>
                <w:spacing w:val="4"/>
              </w:rPr>
              <w:t>347.56</w:t>
            </w:r>
          </w:p>
        </w:tc>
        <w:tc>
          <w:tcPr>
            <w:tcW w:w="1377" w:type="dxa"/>
            <w:vAlign w:val="top"/>
          </w:tcPr>
          <w:p>
            <w:pPr>
              <w:pStyle w:val="TableText"/>
              <w:rPr/>
            </w:pPr>
            <w:r/>
          </w:p>
        </w:tc>
      </w:tr>
      <w:tr>
        <w:trPr>
          <w:trHeight w:val="292" w:hRule="atLeast"/>
        </w:trPr>
        <w:tc>
          <w:tcPr>
            <w:tcW w:w="1679"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2050801</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9"/>
              </w:rPr>
              <w:t>教师进修</w:t>
            </w:r>
          </w:p>
        </w:tc>
        <w:tc>
          <w:tcPr>
            <w:tcW w:w="1544" w:type="dxa"/>
            <w:vAlign w:val="top"/>
          </w:tcPr>
          <w:p>
            <w:pPr>
              <w:ind w:right="22"/>
              <w:spacing w:before="96" w:line="190" w:lineRule="auto"/>
              <w:jc w:val="right"/>
              <w:rPr>
                <w:rFonts w:ascii="SimSun" w:hAnsi="SimSun" w:eastAsia="SimSun" w:cs="SimSun"/>
                <w:sz w:val="15"/>
                <w:szCs w:val="15"/>
              </w:rPr>
            </w:pPr>
            <w:r>
              <w:rPr>
                <w:rFonts w:ascii="SimSun" w:hAnsi="SimSun" w:eastAsia="SimSun" w:cs="SimSun"/>
                <w:sz w:val="15"/>
                <w:szCs w:val="15"/>
                <w:color w:val="212529"/>
                <w:spacing w:val="4"/>
              </w:rPr>
              <w:t>347.56</w:t>
            </w:r>
          </w:p>
        </w:tc>
        <w:tc>
          <w:tcPr>
            <w:tcW w:w="1415" w:type="dxa"/>
            <w:vAlign w:val="top"/>
          </w:tcPr>
          <w:p>
            <w:pPr>
              <w:ind w:left="905"/>
              <w:spacing w:before="96" w:line="190" w:lineRule="auto"/>
              <w:rPr>
                <w:rFonts w:ascii="SimSun" w:hAnsi="SimSun" w:eastAsia="SimSun" w:cs="SimSun"/>
                <w:sz w:val="15"/>
                <w:szCs w:val="15"/>
              </w:rPr>
            </w:pPr>
            <w:r>
              <w:rPr>
                <w:rFonts w:ascii="SimSun" w:hAnsi="SimSun" w:eastAsia="SimSun" w:cs="SimSun"/>
                <w:sz w:val="15"/>
                <w:szCs w:val="15"/>
                <w:color w:val="212529"/>
                <w:spacing w:val="4"/>
              </w:rPr>
              <w:t>347.56</w:t>
            </w:r>
          </w:p>
        </w:tc>
        <w:tc>
          <w:tcPr>
            <w:tcW w:w="1377" w:type="dxa"/>
            <w:vAlign w:val="top"/>
          </w:tcPr>
          <w:p>
            <w:pPr>
              <w:pStyle w:val="TableText"/>
              <w:rPr/>
            </w:pPr>
            <w:r/>
          </w:p>
        </w:tc>
      </w:tr>
      <w:tr>
        <w:trPr>
          <w:trHeight w:val="292" w:hRule="atLeast"/>
        </w:trPr>
        <w:tc>
          <w:tcPr>
            <w:tcW w:w="1679" w:type="dxa"/>
            <w:vAlign w:val="top"/>
          </w:tcPr>
          <w:p>
            <w:pPr>
              <w:ind w:left="8"/>
              <w:spacing w:before="97"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97" w:line="190" w:lineRule="auto"/>
              <w:jc w:val="right"/>
              <w:rPr>
                <w:rFonts w:ascii="SimSun" w:hAnsi="SimSun" w:eastAsia="SimSun" w:cs="SimSun"/>
                <w:sz w:val="15"/>
                <w:szCs w:val="15"/>
              </w:rPr>
            </w:pPr>
            <w:r>
              <w:rPr>
                <w:rFonts w:ascii="SimSun" w:hAnsi="SimSun" w:eastAsia="SimSun" w:cs="SimSun"/>
                <w:sz w:val="15"/>
                <w:szCs w:val="15"/>
                <w:color w:val="212529"/>
                <w:spacing w:val="4"/>
              </w:rPr>
              <w:t>88.04</w:t>
            </w:r>
          </w:p>
        </w:tc>
        <w:tc>
          <w:tcPr>
            <w:tcW w:w="1415" w:type="dxa"/>
            <w:vAlign w:val="top"/>
          </w:tcPr>
          <w:p>
            <w:pPr>
              <w:ind w:left="983"/>
              <w:spacing w:before="97" w:line="190" w:lineRule="auto"/>
              <w:rPr>
                <w:rFonts w:ascii="SimSun" w:hAnsi="SimSun" w:eastAsia="SimSun" w:cs="SimSun"/>
                <w:sz w:val="15"/>
                <w:szCs w:val="15"/>
              </w:rPr>
            </w:pPr>
            <w:r>
              <w:rPr>
                <w:rFonts w:ascii="SimSun" w:hAnsi="SimSun" w:eastAsia="SimSun" w:cs="SimSun"/>
                <w:sz w:val="15"/>
                <w:szCs w:val="15"/>
                <w:color w:val="212529"/>
                <w:spacing w:val="4"/>
              </w:rPr>
              <w:t>88.04</w:t>
            </w:r>
          </w:p>
        </w:tc>
        <w:tc>
          <w:tcPr>
            <w:tcW w:w="1377" w:type="dxa"/>
            <w:vAlign w:val="top"/>
          </w:tcPr>
          <w:p>
            <w:pPr>
              <w:pStyle w:val="TableText"/>
              <w:rPr/>
            </w:pPr>
            <w:r/>
          </w:p>
        </w:tc>
      </w:tr>
      <w:tr>
        <w:trPr>
          <w:trHeight w:val="292" w:hRule="atLeast"/>
        </w:trPr>
        <w:tc>
          <w:tcPr>
            <w:tcW w:w="1679" w:type="dxa"/>
            <w:vAlign w:val="top"/>
          </w:tcPr>
          <w:p>
            <w:pPr>
              <w:ind w:left="8"/>
              <w:spacing w:before="98"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43" w:type="dxa"/>
            <w:vAlign w:val="top"/>
          </w:tcPr>
          <w:p>
            <w:pPr>
              <w:spacing w:before="73"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88.04</w:t>
            </w:r>
          </w:p>
        </w:tc>
        <w:tc>
          <w:tcPr>
            <w:tcW w:w="1415" w:type="dxa"/>
            <w:vAlign w:val="top"/>
          </w:tcPr>
          <w:p>
            <w:pPr>
              <w:ind w:left="983"/>
              <w:spacing w:before="98" w:line="190" w:lineRule="auto"/>
              <w:rPr>
                <w:rFonts w:ascii="SimSun" w:hAnsi="SimSun" w:eastAsia="SimSun" w:cs="SimSun"/>
                <w:sz w:val="15"/>
                <w:szCs w:val="15"/>
              </w:rPr>
            </w:pPr>
            <w:r>
              <w:rPr>
                <w:rFonts w:ascii="SimSun" w:hAnsi="SimSun" w:eastAsia="SimSun" w:cs="SimSun"/>
                <w:sz w:val="15"/>
                <w:szCs w:val="15"/>
                <w:color w:val="212529"/>
                <w:spacing w:val="4"/>
              </w:rPr>
              <w:t>88.04</w:t>
            </w:r>
          </w:p>
        </w:tc>
        <w:tc>
          <w:tcPr>
            <w:tcW w:w="1377" w:type="dxa"/>
            <w:vAlign w:val="top"/>
          </w:tcPr>
          <w:p>
            <w:pPr>
              <w:pStyle w:val="TableText"/>
              <w:rPr/>
            </w:pPr>
            <w:r/>
          </w:p>
        </w:tc>
      </w:tr>
      <w:tr>
        <w:trPr>
          <w:trHeight w:val="292" w:hRule="atLeast"/>
        </w:trPr>
        <w:tc>
          <w:tcPr>
            <w:tcW w:w="1679" w:type="dxa"/>
            <w:vAlign w:val="top"/>
          </w:tcPr>
          <w:p>
            <w:pPr>
              <w:ind w:left="8"/>
              <w:spacing w:before="98" w:line="190" w:lineRule="auto"/>
              <w:rPr>
                <w:rFonts w:ascii="SimSun" w:hAnsi="SimSun" w:eastAsia="SimSun" w:cs="SimSun"/>
                <w:sz w:val="15"/>
                <w:szCs w:val="15"/>
              </w:rPr>
            </w:pPr>
            <w:r>
              <w:rPr>
                <w:rFonts w:ascii="SimSun" w:hAnsi="SimSun" w:eastAsia="SimSun" w:cs="SimSun"/>
                <w:sz w:val="15"/>
                <w:szCs w:val="15"/>
                <w:color w:val="212529"/>
                <w:spacing w:val="4"/>
              </w:rPr>
              <w:t>2080502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4"/>
              </w:rPr>
              <w:t>47.35</w:t>
            </w:r>
          </w:p>
        </w:tc>
        <w:tc>
          <w:tcPr>
            <w:tcW w:w="1415" w:type="dxa"/>
            <w:vAlign w:val="top"/>
          </w:tcPr>
          <w:p>
            <w:pPr>
              <w:ind w:left="982"/>
              <w:spacing w:before="98" w:line="190" w:lineRule="auto"/>
              <w:rPr>
                <w:rFonts w:ascii="SimSun" w:hAnsi="SimSun" w:eastAsia="SimSun" w:cs="SimSun"/>
                <w:sz w:val="15"/>
                <w:szCs w:val="15"/>
              </w:rPr>
            </w:pPr>
            <w:r>
              <w:rPr>
                <w:rFonts w:ascii="SimSun" w:hAnsi="SimSun" w:eastAsia="SimSun" w:cs="SimSun"/>
                <w:sz w:val="15"/>
                <w:szCs w:val="15"/>
                <w:color w:val="212529"/>
                <w:spacing w:val="4"/>
              </w:rPr>
              <w:t>47.35</w:t>
            </w:r>
          </w:p>
        </w:tc>
        <w:tc>
          <w:tcPr>
            <w:tcW w:w="1377" w:type="dxa"/>
            <w:vAlign w:val="top"/>
          </w:tcPr>
          <w:p>
            <w:pPr>
              <w:pStyle w:val="TableText"/>
              <w:rPr/>
            </w:pPr>
            <w:r/>
          </w:p>
        </w:tc>
      </w:tr>
      <w:tr>
        <w:trPr>
          <w:trHeight w:val="292" w:hRule="atLeast"/>
        </w:trPr>
        <w:tc>
          <w:tcPr>
            <w:tcW w:w="1679" w:type="dxa"/>
            <w:vAlign w:val="top"/>
          </w:tcPr>
          <w:p>
            <w:pPr>
              <w:ind w:left="8"/>
              <w:spacing w:before="99"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43" w:type="dxa"/>
            <w:vAlign w:val="top"/>
          </w:tcPr>
          <w:p>
            <w:pPr>
              <w:spacing w:before="75"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40.69</w:t>
            </w:r>
          </w:p>
        </w:tc>
        <w:tc>
          <w:tcPr>
            <w:tcW w:w="1415" w:type="dxa"/>
            <w:vAlign w:val="top"/>
          </w:tcPr>
          <w:p>
            <w:pPr>
              <w:ind w:left="982"/>
              <w:spacing w:before="99" w:line="190" w:lineRule="auto"/>
              <w:rPr>
                <w:rFonts w:ascii="SimSun" w:hAnsi="SimSun" w:eastAsia="SimSun" w:cs="SimSun"/>
                <w:sz w:val="15"/>
                <w:szCs w:val="15"/>
              </w:rPr>
            </w:pPr>
            <w:r>
              <w:rPr>
                <w:rFonts w:ascii="SimSun" w:hAnsi="SimSun" w:eastAsia="SimSun" w:cs="SimSun"/>
                <w:sz w:val="15"/>
                <w:szCs w:val="15"/>
                <w:color w:val="212529"/>
                <w:spacing w:val="4"/>
              </w:rPr>
              <w:t>40.69</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415" w:type="dxa"/>
            <w:vAlign w:val="top"/>
          </w:tcPr>
          <w:p>
            <w:pPr>
              <w:ind w:left="995"/>
              <w:spacing w:before="99" w:line="191" w:lineRule="auto"/>
              <w:rPr>
                <w:rFonts w:ascii="SimSun" w:hAnsi="SimSun" w:eastAsia="SimSun" w:cs="SimSun"/>
                <w:sz w:val="15"/>
                <w:szCs w:val="15"/>
              </w:rPr>
            </w:pPr>
            <w:r>
              <w:rPr>
                <w:rFonts w:ascii="SimSun" w:hAnsi="SimSun" w:eastAsia="SimSun" w:cs="SimSun"/>
                <w:sz w:val="15"/>
                <w:szCs w:val="15"/>
                <w:color w:val="212529"/>
                <w:spacing w:val="2"/>
              </w:rPr>
              <w:t>16.88</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415" w:type="dxa"/>
            <w:vAlign w:val="top"/>
          </w:tcPr>
          <w:p>
            <w:pPr>
              <w:ind w:left="995"/>
              <w:spacing w:before="99" w:line="191" w:lineRule="auto"/>
              <w:rPr>
                <w:rFonts w:ascii="SimSun" w:hAnsi="SimSun" w:eastAsia="SimSun" w:cs="SimSun"/>
                <w:sz w:val="15"/>
                <w:szCs w:val="15"/>
              </w:rPr>
            </w:pPr>
            <w:r>
              <w:rPr>
                <w:rFonts w:ascii="SimSun" w:hAnsi="SimSun" w:eastAsia="SimSun" w:cs="SimSun"/>
                <w:sz w:val="15"/>
                <w:szCs w:val="15"/>
                <w:color w:val="212529"/>
                <w:spacing w:val="2"/>
              </w:rPr>
              <w:t>16.88</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16.88</w:t>
            </w:r>
          </w:p>
        </w:tc>
        <w:tc>
          <w:tcPr>
            <w:tcW w:w="1415" w:type="dxa"/>
            <w:vAlign w:val="top"/>
          </w:tcPr>
          <w:p>
            <w:pPr>
              <w:ind w:left="995"/>
              <w:spacing w:before="98" w:line="191" w:lineRule="auto"/>
              <w:rPr>
                <w:rFonts w:ascii="SimSun" w:hAnsi="SimSun" w:eastAsia="SimSun" w:cs="SimSun"/>
                <w:sz w:val="15"/>
                <w:szCs w:val="15"/>
              </w:rPr>
            </w:pPr>
            <w:r>
              <w:rPr>
                <w:rFonts w:ascii="SimSun" w:hAnsi="SimSun" w:eastAsia="SimSun" w:cs="SimSun"/>
                <w:sz w:val="15"/>
                <w:szCs w:val="15"/>
                <w:color w:val="212529"/>
                <w:spacing w:val="2"/>
              </w:rPr>
              <w:t>16.88</w:t>
            </w:r>
          </w:p>
        </w:tc>
        <w:tc>
          <w:tcPr>
            <w:tcW w:w="1377" w:type="dxa"/>
            <w:vAlign w:val="top"/>
          </w:tcPr>
          <w:p>
            <w:pPr>
              <w:pStyle w:val="TableText"/>
              <w:rPr/>
            </w:pPr>
            <w:r/>
          </w:p>
        </w:tc>
      </w:tr>
      <w:tr>
        <w:trPr>
          <w:trHeight w:val="293"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415" w:type="dxa"/>
            <w:vAlign w:val="top"/>
          </w:tcPr>
          <w:p>
            <w:pPr>
              <w:ind w:left="986"/>
              <w:spacing w:before="100" w:line="190" w:lineRule="auto"/>
              <w:rPr>
                <w:rFonts w:ascii="SimSun" w:hAnsi="SimSun" w:eastAsia="SimSun" w:cs="SimSun"/>
                <w:sz w:val="15"/>
                <w:szCs w:val="15"/>
              </w:rPr>
            </w:pPr>
            <w:r>
              <w:rPr>
                <w:rFonts w:ascii="SimSun" w:hAnsi="SimSun" w:eastAsia="SimSun" w:cs="SimSun"/>
                <w:sz w:val="15"/>
                <w:szCs w:val="15"/>
                <w:color w:val="212529"/>
                <w:spacing w:val="3"/>
              </w:rPr>
              <w:t>34.82</w:t>
            </w:r>
          </w:p>
        </w:tc>
        <w:tc>
          <w:tcPr>
            <w:tcW w:w="1377" w:type="dxa"/>
            <w:vAlign w:val="top"/>
          </w:tcPr>
          <w:p>
            <w:pPr>
              <w:pStyle w:val="TableText"/>
              <w:rPr/>
            </w:pPr>
            <w:r/>
          </w:p>
        </w:tc>
      </w:tr>
      <w:tr>
        <w:trPr>
          <w:trHeight w:val="292"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415" w:type="dxa"/>
            <w:vAlign w:val="top"/>
          </w:tcPr>
          <w:p>
            <w:pPr>
              <w:ind w:left="986"/>
              <w:spacing w:before="100" w:line="190" w:lineRule="auto"/>
              <w:rPr>
                <w:rFonts w:ascii="SimSun" w:hAnsi="SimSun" w:eastAsia="SimSun" w:cs="SimSun"/>
                <w:sz w:val="15"/>
                <w:szCs w:val="15"/>
              </w:rPr>
            </w:pPr>
            <w:r>
              <w:rPr>
                <w:rFonts w:ascii="SimSun" w:hAnsi="SimSun" w:eastAsia="SimSun" w:cs="SimSun"/>
                <w:sz w:val="15"/>
                <w:szCs w:val="15"/>
                <w:color w:val="212529"/>
                <w:spacing w:val="3"/>
              </w:rPr>
              <w:t>34.82</w:t>
            </w:r>
          </w:p>
        </w:tc>
        <w:tc>
          <w:tcPr>
            <w:tcW w:w="1377" w:type="dxa"/>
            <w:vAlign w:val="top"/>
          </w:tcPr>
          <w:p>
            <w:pPr>
              <w:pStyle w:val="TableText"/>
              <w:rPr/>
            </w:pPr>
            <w:r/>
          </w:p>
        </w:tc>
      </w:tr>
      <w:tr>
        <w:trPr>
          <w:trHeight w:val="298"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415" w:type="dxa"/>
            <w:vAlign w:val="top"/>
          </w:tcPr>
          <w:p>
            <w:pPr>
              <w:ind w:left="986"/>
              <w:spacing w:before="100" w:line="190" w:lineRule="auto"/>
              <w:rPr>
                <w:rFonts w:ascii="SimSun" w:hAnsi="SimSun" w:eastAsia="SimSun" w:cs="SimSun"/>
                <w:sz w:val="15"/>
                <w:szCs w:val="15"/>
              </w:rPr>
            </w:pPr>
            <w:r>
              <w:rPr>
                <w:rFonts w:ascii="SimSun" w:hAnsi="SimSun" w:eastAsia="SimSun" w:cs="SimSun"/>
                <w:sz w:val="15"/>
                <w:szCs w:val="15"/>
                <w:color w:val="212529"/>
                <w:spacing w:val="3"/>
              </w:rPr>
              <w:t>34.82</w:t>
            </w:r>
          </w:p>
        </w:tc>
        <w:tc>
          <w:tcPr>
            <w:tcW w:w="1377" w:type="dxa"/>
            <w:vAlign w:val="top"/>
          </w:tcPr>
          <w:p>
            <w:pPr>
              <w:pStyle w:val="TableText"/>
              <w:rPr/>
            </w:pPr>
            <w:r/>
          </w:p>
        </w:tc>
      </w:tr>
    </w:tbl>
    <w:p>
      <w:pPr>
        <w:rPr>
          <w:rFonts w:ascii="Arial"/>
          <w:sz w:val="21"/>
        </w:rPr>
      </w:pPr>
      <w:r/>
    </w:p>
    <w:p>
      <w:pPr>
        <w:sectPr>
          <w:footerReference w:type="default" r:id="rId11"/>
          <w:pgSz w:w="11900" w:h="16840"/>
          <w:pgMar w:top="610" w:right="600" w:bottom="312" w:left="600" w:header="357" w:footer="153" w:gutter="0"/>
        </w:sectPr>
        <w:rPr>
          <w:rFonts w:ascii="Arial" w:hAnsi="Arial" w:eastAsia="Arial" w:cs="Arial"/>
          <w:sz w:val="21"/>
          <w:szCs w:val="21"/>
        </w:rPr>
      </w:pPr>
    </w:p>
    <w:p>
      <w:pPr>
        <w:spacing w:before="119"/>
        <w:rPr/>
      </w:pPr>
      <w:r>
        <w:pict>
          <v:shape id="_x0000_s12" style="position:absolute;margin-left:68.2717pt;margin-top:58.2865pt;mso-position-vertical-relative:page;mso-position-horizontal-relative:page;width:258.15pt;height:10.85pt;z-index:25166540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2" w:id="52"/>
                  <w:bookmarkEnd w:id="52"/>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11" w:id="53"/>
            <w:bookmarkEnd w:id="53"/>
            <w:bookmarkStart w:name="bookmark12" w:id="54"/>
            <w:bookmarkEnd w:id="5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79"/>
              <w:spacing w:before="87" w:line="173" w:lineRule="auto"/>
              <w:rPr>
                <w:sz w:val="14"/>
                <w:szCs w:val="14"/>
              </w:rPr>
            </w:pPr>
            <w:r>
              <w:rPr>
                <w:sz w:val="14"/>
                <w:szCs w:val="14"/>
                <w:color w:val="212529"/>
              </w:rPr>
              <w:t>487.</w:t>
            </w:r>
            <w:r>
              <w:rPr>
                <w:sz w:val="14"/>
                <w:szCs w:val="14"/>
                <w:color w:val="212529"/>
              </w:rPr>
              <w:t xml:space="preserve"> </w:t>
            </w:r>
            <w:r>
              <w:rPr>
                <w:sz w:val="14"/>
                <w:szCs w:val="14"/>
                <w:color w:val="212529"/>
              </w:rPr>
              <w:t>31</w:t>
            </w:r>
          </w:p>
        </w:tc>
        <w:tc>
          <w:tcPr>
            <w:tcW w:w="1188" w:type="dxa"/>
            <w:vAlign w:val="top"/>
          </w:tcPr>
          <w:p>
            <w:pPr>
              <w:pStyle w:val="TableText"/>
              <w:ind w:right="15"/>
              <w:spacing w:before="87" w:line="172" w:lineRule="auto"/>
              <w:jc w:val="right"/>
              <w:rPr>
                <w:sz w:val="14"/>
                <w:szCs w:val="14"/>
              </w:rPr>
            </w:pPr>
            <w:r>
              <w:rPr>
                <w:sz w:val="14"/>
                <w:szCs w:val="14"/>
                <w:color w:val="212529"/>
                <w:spacing w:val="1"/>
              </w:rPr>
              <w:t>466.</w:t>
            </w:r>
            <w:r>
              <w:rPr>
                <w:sz w:val="14"/>
                <w:szCs w:val="14"/>
                <w:color w:val="212529"/>
                <w:spacing w:val="6"/>
              </w:rPr>
              <w:t xml:space="preserve"> </w:t>
            </w:r>
            <w:r>
              <w:rPr>
                <w:sz w:val="14"/>
                <w:szCs w:val="14"/>
                <w:color w:val="212529"/>
                <w:spacing w:val="1"/>
              </w:rPr>
              <w:t>54</w:t>
            </w:r>
          </w:p>
        </w:tc>
        <w:tc>
          <w:tcPr>
            <w:tcW w:w="1118" w:type="dxa"/>
            <w:vAlign w:val="top"/>
          </w:tcPr>
          <w:p>
            <w:pPr>
              <w:pStyle w:val="TableText"/>
              <w:ind w:left="689"/>
              <w:spacing w:before="87" w:line="186" w:lineRule="auto"/>
              <w:rPr>
                <w:sz w:val="13"/>
                <w:szCs w:val="13"/>
              </w:rPr>
            </w:pPr>
            <w:r>
              <w:rPr>
                <w:sz w:val="13"/>
                <w:szCs w:val="13"/>
                <w:color w:val="212529"/>
                <w:spacing w:val="4"/>
              </w:rPr>
              <w:t>20.</w:t>
            </w:r>
            <w:r>
              <w:rPr>
                <w:sz w:val="13"/>
                <w:szCs w:val="13"/>
                <w:color w:val="212529"/>
                <w:spacing w:val="11"/>
                <w:w w:val="101"/>
              </w:rPr>
              <w:t xml:space="preserve"> </w:t>
            </w:r>
            <w:r>
              <w:rPr>
                <w:sz w:val="13"/>
                <w:szCs w:val="13"/>
                <w:color w:val="212529"/>
                <w:spacing w:val="4"/>
              </w:rPr>
              <w:t>76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411.41</w:t>
            </w:r>
          </w:p>
        </w:tc>
        <w:tc>
          <w:tcPr>
            <w:tcW w:w="1188" w:type="dxa"/>
            <w:vAlign w:val="top"/>
          </w:tcPr>
          <w:p>
            <w:pPr>
              <w:ind w:right="16"/>
              <w:spacing w:before="92" w:line="191" w:lineRule="auto"/>
              <w:jc w:val="right"/>
              <w:rPr>
                <w:rFonts w:ascii="SimSun" w:hAnsi="SimSun" w:eastAsia="SimSun" w:cs="SimSun"/>
                <w:sz w:val="15"/>
                <w:szCs w:val="15"/>
              </w:rPr>
            </w:pPr>
            <w:r>
              <w:rPr>
                <w:rFonts w:ascii="SimSun" w:hAnsi="SimSun" w:eastAsia="SimSun" w:cs="SimSun"/>
                <w:sz w:val="15"/>
                <w:szCs w:val="15"/>
                <w:color w:val="212529"/>
                <w:spacing w:val="4"/>
              </w:rPr>
              <w:t>411.41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156.41</w:t>
            </w:r>
          </w:p>
        </w:tc>
        <w:tc>
          <w:tcPr>
            <w:tcW w:w="1188" w:type="dxa"/>
            <w:vAlign w:val="top"/>
          </w:tcPr>
          <w:p>
            <w:pPr>
              <w:ind w:right="16"/>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156.41</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4" w:line="191" w:lineRule="auto"/>
              <w:jc w:val="right"/>
              <w:rPr>
                <w:rFonts w:ascii="SimSun" w:hAnsi="SimSun" w:eastAsia="SimSun" w:cs="SimSun"/>
                <w:sz w:val="15"/>
                <w:szCs w:val="15"/>
              </w:rPr>
            </w:pPr>
            <w:r>
              <w:rPr>
                <w:rFonts w:ascii="SimSun" w:hAnsi="SimSun" w:eastAsia="SimSun" w:cs="SimSun"/>
                <w:sz w:val="15"/>
                <w:szCs w:val="15"/>
                <w:color w:val="212529"/>
                <w:spacing w:val="4"/>
              </w:rPr>
              <w:t>24.18</w:t>
            </w:r>
          </w:p>
        </w:tc>
        <w:tc>
          <w:tcPr>
            <w:tcW w:w="1188" w:type="dxa"/>
            <w:vAlign w:val="top"/>
          </w:tcPr>
          <w:p>
            <w:pPr>
              <w:ind w:right="16"/>
              <w:spacing w:before="94" w:line="191" w:lineRule="auto"/>
              <w:jc w:val="right"/>
              <w:rPr>
                <w:rFonts w:ascii="SimSun" w:hAnsi="SimSun" w:eastAsia="SimSun" w:cs="SimSun"/>
                <w:sz w:val="15"/>
                <w:szCs w:val="15"/>
              </w:rPr>
            </w:pPr>
            <w:r>
              <w:rPr>
                <w:rFonts w:ascii="SimSun" w:hAnsi="SimSun" w:eastAsia="SimSun" w:cs="SimSun"/>
                <w:sz w:val="15"/>
                <w:szCs w:val="15"/>
                <w:color w:val="212529"/>
                <w:spacing w:val="4"/>
              </w:rPr>
              <w:t>24.18</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92.57</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92.57</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0" w:lineRule="auto"/>
              <w:jc w:val="right"/>
              <w:rPr>
                <w:rFonts w:ascii="SimSun" w:hAnsi="SimSun" w:eastAsia="SimSun" w:cs="SimSun"/>
                <w:sz w:val="15"/>
                <w:szCs w:val="15"/>
              </w:rPr>
            </w:pPr>
            <w:r>
              <w:rPr>
                <w:rFonts w:ascii="SimSun" w:hAnsi="SimSun" w:eastAsia="SimSun" w:cs="SimSun"/>
                <w:sz w:val="15"/>
                <w:szCs w:val="15"/>
                <w:color w:val="212529"/>
                <w:spacing w:val="4"/>
              </w:rPr>
              <w:t>40.69</w:t>
            </w:r>
          </w:p>
        </w:tc>
        <w:tc>
          <w:tcPr>
            <w:tcW w:w="1188" w:type="dxa"/>
            <w:vAlign w:val="top"/>
          </w:tcPr>
          <w:p>
            <w:pPr>
              <w:ind w:right="16"/>
              <w:spacing w:before="96" w:line="190" w:lineRule="auto"/>
              <w:jc w:val="right"/>
              <w:rPr>
                <w:rFonts w:ascii="SimSun" w:hAnsi="SimSun" w:eastAsia="SimSun" w:cs="SimSun"/>
                <w:sz w:val="15"/>
                <w:szCs w:val="15"/>
              </w:rPr>
            </w:pPr>
            <w:r>
              <w:rPr>
                <w:rFonts w:ascii="SimSun" w:hAnsi="SimSun" w:eastAsia="SimSun" w:cs="SimSun"/>
                <w:sz w:val="15"/>
                <w:szCs w:val="15"/>
                <w:color w:val="212529"/>
                <w:spacing w:val="4"/>
              </w:rPr>
              <w:t>40.69</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16.53</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16.53</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1.11</w:t>
            </w:r>
          </w:p>
        </w:tc>
        <w:tc>
          <w:tcPr>
            <w:tcW w:w="1188" w:type="dxa"/>
            <w:vAlign w:val="top"/>
          </w:tcPr>
          <w:p>
            <w:pPr>
              <w:ind w:right="16"/>
              <w:spacing w:before="97" w:line="191" w:lineRule="auto"/>
              <w:jc w:val="right"/>
              <w:rPr>
                <w:rFonts w:ascii="SimSun" w:hAnsi="SimSun" w:eastAsia="SimSun" w:cs="SimSun"/>
                <w:sz w:val="15"/>
                <w:szCs w:val="15"/>
              </w:rPr>
            </w:pPr>
            <w:r>
              <w:rPr>
                <w:rFonts w:ascii="SimSun" w:hAnsi="SimSun" w:eastAsia="SimSun" w:cs="SimSun"/>
                <w:sz w:val="15"/>
                <w:szCs w:val="15"/>
                <w:color w:val="212529"/>
                <w:spacing w:val="1"/>
              </w:rPr>
              <w:t>1.11</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34.82</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45.09</w:t>
            </w:r>
          </w:p>
        </w:tc>
        <w:tc>
          <w:tcPr>
            <w:tcW w:w="1188" w:type="dxa"/>
            <w:vAlign w:val="top"/>
          </w:tcPr>
          <w:p>
            <w:pPr>
              <w:ind w:right="16"/>
              <w:spacing w:before="99" w:line="190" w:lineRule="auto"/>
              <w:jc w:val="right"/>
              <w:rPr>
                <w:rFonts w:ascii="SimSun" w:hAnsi="SimSun" w:eastAsia="SimSun" w:cs="SimSun"/>
                <w:sz w:val="15"/>
                <w:szCs w:val="15"/>
              </w:rPr>
            </w:pPr>
            <w:r>
              <w:rPr>
                <w:rFonts w:ascii="SimSun" w:hAnsi="SimSun" w:eastAsia="SimSun" w:cs="SimSun"/>
                <w:sz w:val="15"/>
                <w:szCs w:val="15"/>
                <w:color w:val="212529"/>
                <w:spacing w:val="4"/>
              </w:rPr>
              <w:t>45.09</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20.76</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20.76</w:t>
            </w:r>
          </w:p>
        </w:tc>
      </w:tr>
      <w:tr>
        <w:trPr>
          <w:trHeight w:val="293"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3"/>
              </w:rPr>
              <w:t>6.18</w:t>
            </w:r>
          </w:p>
        </w:tc>
      </w:tr>
      <w:tr>
        <w:trPr>
          <w:trHeight w:val="292" w:hRule="atLeast"/>
        </w:trPr>
        <w:tc>
          <w:tcPr>
            <w:tcW w:w="3310"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0.60</w:t>
            </w:r>
          </w:p>
        </w:tc>
      </w:tr>
      <w:tr>
        <w:trPr>
          <w:trHeight w:val="293"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5.09</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5.09</w:t>
            </w:r>
          </w:p>
        </w:tc>
      </w:tr>
      <w:tr>
        <w:trPr>
          <w:trHeight w:val="292"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8.90</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8.90</w:t>
            </w:r>
          </w:p>
        </w:tc>
      </w:tr>
      <w:tr>
        <w:trPr>
          <w:trHeight w:val="293" w:hRule="atLeast"/>
        </w:trPr>
        <w:tc>
          <w:tcPr>
            <w:tcW w:w="3310" w:type="dxa"/>
            <w:vAlign w:val="top"/>
          </w:tcPr>
          <w:p>
            <w:pPr>
              <w:ind w:left="6"/>
              <w:spacing w:before="76"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3"/>
              </w:rPr>
              <w:t>55.14</w:t>
            </w:r>
          </w:p>
        </w:tc>
        <w:tc>
          <w:tcPr>
            <w:tcW w:w="1188" w:type="dxa"/>
            <w:vAlign w:val="top"/>
          </w:tcPr>
          <w:p>
            <w:pPr>
              <w:ind w:right="16"/>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3"/>
              </w:rPr>
              <w:t>55.14</w:t>
            </w:r>
          </w:p>
        </w:tc>
        <w:tc>
          <w:tcPr>
            <w:tcW w:w="1118" w:type="dxa"/>
            <w:vAlign w:val="top"/>
          </w:tcPr>
          <w:p>
            <w:pPr>
              <w:pStyle w:val="TableText"/>
              <w:rPr/>
            </w:pPr>
            <w:r/>
          </w:p>
        </w:tc>
      </w:tr>
      <w:tr>
        <w:trPr>
          <w:trHeight w:val="293"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47.35</w:t>
            </w:r>
          </w:p>
        </w:tc>
        <w:tc>
          <w:tcPr>
            <w:tcW w:w="1188" w:type="dxa"/>
            <w:vAlign w:val="top"/>
          </w:tcPr>
          <w:p>
            <w:pPr>
              <w:ind w:right="16"/>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4"/>
              </w:rPr>
              <w:t>47.35</w:t>
            </w:r>
          </w:p>
        </w:tc>
        <w:tc>
          <w:tcPr>
            <w:tcW w:w="1118" w:type="dxa"/>
            <w:vAlign w:val="top"/>
          </w:tcPr>
          <w:p>
            <w:pPr>
              <w:pStyle w:val="TableText"/>
              <w:rPr/>
            </w:pPr>
            <w:r/>
          </w:p>
        </w:tc>
      </w:tr>
      <w:tr>
        <w:trPr>
          <w:trHeight w:val="298" w:hRule="atLeast"/>
        </w:trPr>
        <w:tc>
          <w:tcPr>
            <w:tcW w:w="331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7.79</w:t>
            </w:r>
          </w:p>
        </w:tc>
        <w:tc>
          <w:tcPr>
            <w:tcW w:w="1188" w:type="dxa"/>
            <w:vAlign w:val="top"/>
          </w:tcPr>
          <w:p>
            <w:pPr>
              <w:ind w:right="16"/>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7.79</w:t>
            </w:r>
          </w:p>
        </w:tc>
        <w:tc>
          <w:tcPr>
            <w:tcW w:w="1118" w:type="dxa"/>
            <w:vAlign w:val="top"/>
          </w:tcPr>
          <w:p>
            <w:pPr>
              <w:pStyle w:val="TableText"/>
              <w:rPr/>
            </w:pPr>
            <w:r/>
          </w:p>
        </w:tc>
      </w:tr>
    </w:tbl>
    <w:p>
      <w:pPr>
        <w:rPr>
          <w:rFonts w:ascii="Arial"/>
          <w:sz w:val="21"/>
        </w:rPr>
      </w:pPr>
      <w:r/>
    </w:p>
    <w:p>
      <w:pPr>
        <w:sectPr>
          <w:footerReference w:type="default" r:id="rId12"/>
          <w:pgSz w:w="11900" w:h="16840"/>
          <w:pgMar w:top="610" w:right="600" w:bottom="312" w:left="600" w:header="357" w:footer="153" w:gutter="0"/>
        </w:sectPr>
        <w:rPr>
          <w:rFonts w:ascii="Arial" w:hAnsi="Arial" w:eastAsia="Arial" w:cs="Arial"/>
          <w:sz w:val="21"/>
          <w:szCs w:val="21"/>
        </w:rPr>
      </w:pPr>
    </w:p>
    <w:p>
      <w:pPr>
        <w:spacing w:before="119"/>
        <w:rPr/>
      </w:pPr>
      <w:r>
        <w:pict>
          <v:shape id="_x0000_s14" style="position:absolute;margin-left:68.2717pt;margin-top:58.2865pt;mso-position-vertical-relative:page;mso-position-horizontal-relative:page;width:206.25pt;height:10.85pt;z-index:251666432;"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3" w:id="55"/>
                  <w:bookmarkEnd w:id="55"/>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3" w:id="56"/>
            <w:bookmarkEnd w:id="5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3"/>
          <w:pgSz w:w="11900" w:h="16840"/>
          <w:pgMar w:top="610" w:right="600" w:bottom="312" w:left="600" w:header="357" w:footer="153" w:gutter="0"/>
        </w:sectPr>
        <w:rPr>
          <w:rFonts w:ascii="Arial" w:hAnsi="Arial" w:eastAsia="Arial" w:cs="Arial"/>
          <w:sz w:val="21"/>
          <w:szCs w:val="21"/>
        </w:rPr>
      </w:pPr>
    </w:p>
    <w:p>
      <w:pPr>
        <w:spacing w:before="119"/>
        <w:rPr/>
      </w:pPr>
      <w:r>
        <w:pict>
          <v:shape id="_x0000_s16" style="position:absolute;margin-left:68.2717pt;margin-top:58.2865pt;mso-position-vertical-relative:page;mso-position-horizontal-relative:page;width:206.25pt;height:10.85pt;z-index:25166745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4" w:id="57"/>
                  <w:bookmarkEnd w:id="57"/>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14" w:id="58"/>
            <w:bookmarkEnd w:id="5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14"/>
          <w:pgSz w:w="11900" w:h="16840"/>
          <w:pgMar w:top="610" w:right="600" w:bottom="312" w:left="600" w:header="357" w:footer="153" w:gutter="0"/>
        </w:sectPr>
        <w:rPr>
          <w:rFonts w:ascii="Arial" w:hAnsi="Arial" w:eastAsia="Arial" w:cs="Arial"/>
          <w:sz w:val="21"/>
          <w:szCs w:val="21"/>
        </w:rPr>
      </w:pPr>
    </w:p>
    <w:p>
      <w:pPr>
        <w:spacing w:before="119"/>
        <w:rPr/>
      </w:pPr>
      <w:r>
        <w:pict>
          <v:shape id="_x0000_s18" style="position:absolute;margin-left:68.2717pt;margin-top:58.2865pt;mso-position-vertical-relative:page;mso-position-horizontal-relative:page;width:225.75pt;height:10.85pt;z-index:25166950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5" w:id="59"/>
                  <w:bookmarkEnd w:id="59"/>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ict>
          <v:shape id="_x0000_s20" style="position:absolute;margin-left:68.2717pt;margin-top:246.947pt;mso-position-vertical-relative:page;mso-position-horizontal-relative:page;width:191.15pt;height:10.85pt;z-index:251668480;"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spacing w:val="1"/>
                      <w:position w:val="2"/>
                    </w:rPr>
                    <w:t xml:space="preserve">                     </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left="2153"/>
              <w:spacing w:before="78" w:line="200"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1" w:hRule="atLeast"/>
        </w:trPr>
        <w:tc>
          <w:tcPr>
            <w:tcW w:w="3850" w:type="dxa"/>
            <w:vAlign w:val="top"/>
            <w:gridSpan w:val="3"/>
          </w:tcPr>
          <w:p>
            <w:pPr>
              <w:ind w:left="1118"/>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6" w:hRule="atLeast"/>
        </w:trPr>
        <w:tc>
          <w:tcPr>
            <w:tcW w:w="2867" w:type="dxa"/>
            <w:vAlign w:val="top"/>
            <w:gridSpan w:val="2"/>
          </w:tcPr>
          <w:p>
            <w:pPr>
              <w:ind w:left="1259"/>
              <w:spacing w:before="10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2"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ind w:left="149"/>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ind w:left="38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ind w:left="331"/>
              <w:spacing w:before="29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29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ind w:left="130"/>
              <w:spacing w:before="299"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6" w:hRule="atLeast"/>
        </w:trPr>
        <w:tc>
          <w:tcPr>
            <w:tcW w:w="1150" w:type="dxa"/>
            <w:vAlign w:val="top"/>
          </w:tcPr>
          <w:p>
            <w:pPr>
              <w:ind w:left="78"/>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6" w:hRule="atLeast"/>
        </w:trPr>
        <w:tc>
          <w:tcPr>
            <w:tcW w:w="2867" w:type="dxa"/>
            <w:vAlign w:val="top"/>
            <w:gridSpan w:val="2"/>
          </w:tcPr>
          <w:p>
            <w:pPr>
              <w:ind w:left="126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bl>
    <w:tbl>
      <w:tblPr>
        <w:tblStyle w:val="TableNormal"/>
        <w:tblW w:w="9158" w:type="dxa"/>
        <w:tblInd w:w="783" w:type="dxa"/>
        <w:tblLayout w:type="fixed"/>
        <w:tblBorders>
          <w:left w:val="single" w:color="FFFFFF" w:sz="4" w:space="0"/>
          <w:bottom w:val="single" w:color="FFFFFF" w:sz="4" w:space="0"/>
          <w:right w:val="single" w:color="FFFFFF" w:sz="4" w:space="0"/>
        </w:tblBorders>
      </w:tblPr>
      <w:tblGrid>
        <w:gridCol w:w="9158"/>
      </w:tblGrid>
      <w:tr>
        <w:trPr>
          <w:trHeight w:val="379" w:hRule="atLeast"/>
        </w:trPr>
        <w:tc>
          <w:tcPr>
            <w:tcW w:w="9158" w:type="dxa"/>
            <w:vAlign w:val="top"/>
          </w:tcPr>
          <w:p>
            <w:pPr>
              <w:ind w:left="6"/>
              <w:spacing w:before="113"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60"/>
            <w:bookmarkEnd w:id="6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left="1610"/>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7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left="5"/>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rPr>
          <w:rFonts w:ascii="Arial"/>
          <w:sz w:val="21"/>
        </w:rPr>
      </w:pPr>
      <w:r/>
    </w:p>
    <w:p>
      <w:pPr>
        <w:sectPr>
          <w:footerReference w:type="default" r:id="rId15"/>
          <w:pgSz w:w="11900" w:h="16840"/>
          <w:pgMar w:top="610" w:right="600" w:bottom="312" w:left="600" w:header="357" w:footer="153" w:gutter="0"/>
        </w:sectPr>
        <w:rPr>
          <w:rFonts w:ascii="Arial" w:hAnsi="Arial" w:eastAsia="Arial" w:cs="Arial"/>
          <w:sz w:val="21"/>
          <w:szCs w:val="21"/>
        </w:rPr>
      </w:pPr>
    </w:p>
    <w:p>
      <w:pPr>
        <w:spacing w:before="119"/>
        <w:rPr/>
      </w:pPr>
      <w:r>
        <w:pict>
          <v:shape id="_x0000_s22" style="position:absolute;margin-left:68.2717pt;margin-top:58.2865pt;mso-position-vertical-relative:page;mso-position-horizontal-relative:page;width:28.65pt;height:10.85pt;z-index:251670528;"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6" w:id="61"/>
                  <w:bookmarkEnd w:id="61"/>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16" w:id="62"/>
            <w:bookmarkEnd w:id="6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10" w:right="600" w:bottom="312" w:left="600" w:header="357" w:footer="153" w:gutter="0"/>
        </w:sectPr>
        <w:rPr>
          <w:rFonts w:ascii="Arial" w:hAnsi="Arial" w:eastAsia="Arial" w:cs="Arial"/>
          <w:sz w:val="21"/>
          <w:szCs w:val="21"/>
        </w:rPr>
      </w:pPr>
    </w:p>
    <w:p>
      <w:pPr>
        <w:spacing w:before="119"/>
        <w:rPr/>
      </w:pPr>
      <w:r>
        <w:pict>
          <v:shape id="_x0000_s24" style="position:absolute;margin-left:68.2717pt;margin-top:58.2865pt;mso-position-vertical-relative:page;mso-position-horizontal-relative:page;width:180.3pt;height:10.85pt;z-index:251672576;"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bookmarkStart w:name="bookmark47" w:id="63"/>
                  <w:bookmarkEnd w:id="63"/>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7"/>
        <w:gridCol w:w="1102"/>
        <w:gridCol w:w="1102"/>
        <w:gridCol w:w="842"/>
        <w:gridCol w:w="1274"/>
        <w:gridCol w:w="1102"/>
        <w:gridCol w:w="869"/>
      </w:tblGrid>
      <w:tr>
        <w:trPr>
          <w:trHeight w:val="383" w:hRule="atLeast"/>
        </w:trPr>
        <w:tc>
          <w:tcPr>
            <w:tcW w:w="286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ind w:left="116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7" w:id="64"/>
            <w:bookmarkEnd w:id="6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971" w:type="dxa"/>
            <w:vAlign w:val="top"/>
            <w:gridSpan w:val="2"/>
            <w:tcBorders>
              <w:top w:val="single" w:color="FFFFFF" w:sz="4" w:space="0"/>
              <w:left w:val="single" w:color="FFFFFF" w:sz="2" w:space="0"/>
              <w:right w:val="single" w:color="FFFFFF" w:sz="2" w:space="0"/>
            </w:tcBorders>
          </w:tcPr>
          <w:p>
            <w:pPr>
              <w:ind w:left="1298"/>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67" w:type="dxa"/>
            <w:vAlign w:val="top"/>
            <w:vMerge w:val="restart"/>
            <w:tcBorders>
              <w:bottom w:val="nil"/>
            </w:tcBorders>
          </w:tcPr>
          <w:p>
            <w:pPr>
              <w:ind w:left="1094"/>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02" w:type="dxa"/>
            <w:vAlign w:val="top"/>
            <w:vMerge w:val="restart"/>
            <w:tcBorders>
              <w:bottom w:val="nil"/>
            </w:tcBorders>
          </w:tcPr>
          <w:p>
            <w:pPr>
              <w:ind w:left="374"/>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18" w:type="dxa"/>
            <w:vAlign w:val="top"/>
            <w:gridSpan w:val="3"/>
          </w:tcPr>
          <w:p>
            <w:pPr>
              <w:ind w:left="103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02" w:type="dxa"/>
            <w:vAlign w:val="top"/>
            <w:vMerge w:val="restart"/>
            <w:tcBorders>
              <w:bottom w:val="nil"/>
            </w:tcBorders>
          </w:tcPr>
          <w:p>
            <w:pPr>
              <w:ind w:left="385" w:right="66" w:hanging="329"/>
              <w:spacing w:before="218"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5"/>
              </w:rPr>
              <w:t>资金</w:t>
            </w:r>
          </w:p>
        </w:tc>
        <w:tc>
          <w:tcPr>
            <w:tcW w:w="869" w:type="dxa"/>
            <w:vAlign w:val="top"/>
            <w:vMerge w:val="restart"/>
            <w:tcBorders>
              <w:bottom w:val="nil"/>
            </w:tcBorders>
          </w:tcPr>
          <w:p>
            <w:pPr>
              <w:ind w:left="98"/>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67"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102" w:type="dxa"/>
            <w:vAlign w:val="top"/>
          </w:tcPr>
          <w:p>
            <w:pPr>
              <w:ind w:left="4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2" w:type="dxa"/>
            <w:vAlign w:val="top"/>
          </w:tcPr>
          <w:p>
            <w:pPr>
              <w:ind w:left="163" w:right="104" w:hanging="79"/>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74" w:type="dxa"/>
            <w:vAlign w:val="top"/>
          </w:tcPr>
          <w:p>
            <w:pPr>
              <w:ind w:left="539" w:right="75"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8" w:hRule="atLeast"/>
        </w:trPr>
        <w:tc>
          <w:tcPr>
            <w:tcW w:w="2867" w:type="dxa"/>
            <w:vAlign w:val="top"/>
          </w:tcPr>
          <w:p>
            <w:pPr>
              <w:ind w:left="1392"/>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102" w:type="dxa"/>
            <w:vAlign w:val="top"/>
          </w:tcPr>
          <w:p>
            <w:pPr>
              <w:ind w:left="498"/>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102" w:type="dxa"/>
            <w:vAlign w:val="top"/>
          </w:tcPr>
          <w:p>
            <w:pPr>
              <w:ind w:left="50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842" w:type="dxa"/>
            <w:vAlign w:val="top"/>
          </w:tcPr>
          <w:p>
            <w:pPr>
              <w:ind w:left="368"/>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74" w:type="dxa"/>
            <w:vAlign w:val="top"/>
          </w:tcPr>
          <w:p>
            <w:pPr>
              <w:ind w:left="588"/>
              <w:spacing w:before="140" w:line="189" w:lineRule="auto"/>
              <w:rPr>
                <w:rFonts w:ascii="SimSun" w:hAnsi="SimSun" w:eastAsia="SimSun" w:cs="SimSun"/>
                <w:sz w:val="15"/>
                <w:szCs w:val="15"/>
              </w:rPr>
            </w:pPr>
            <w:r>
              <w:rPr>
                <w:rFonts w:ascii="SimSun" w:hAnsi="SimSun" w:eastAsia="SimSun" w:cs="SimSun"/>
                <w:sz w:val="15"/>
                <w:szCs w:val="15"/>
                <w:color w:val="212529"/>
              </w:rPr>
              <w:t>5</w:t>
            </w:r>
          </w:p>
        </w:tc>
        <w:tc>
          <w:tcPr>
            <w:tcW w:w="1102" w:type="dxa"/>
            <w:vAlign w:val="top"/>
          </w:tcPr>
          <w:p>
            <w:pPr>
              <w:ind w:left="503"/>
              <w:spacing w:before="139" w:line="190" w:lineRule="auto"/>
              <w:rPr>
                <w:rFonts w:ascii="SimSun" w:hAnsi="SimSun" w:eastAsia="SimSun" w:cs="SimSun"/>
                <w:sz w:val="15"/>
                <w:szCs w:val="15"/>
              </w:rPr>
            </w:pPr>
            <w:r>
              <w:rPr>
                <w:rFonts w:ascii="SimSun" w:hAnsi="SimSun" w:eastAsia="SimSun" w:cs="SimSun"/>
                <w:sz w:val="15"/>
                <w:szCs w:val="15"/>
                <w:color w:val="212529"/>
              </w:rPr>
              <w:t>6</w:t>
            </w:r>
          </w:p>
        </w:tc>
        <w:tc>
          <w:tcPr>
            <w:tcW w:w="869" w:type="dxa"/>
            <w:vAlign w:val="top"/>
          </w:tcPr>
          <w:p>
            <w:pPr>
              <w:ind w:left="389"/>
              <w:spacing w:before="140"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2867"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1"/>
              </w:rPr>
              <w:t>兴县教育科技局教学研究室</w:t>
            </w:r>
          </w:p>
        </w:tc>
        <w:tc>
          <w:tcPr>
            <w:tcW w:w="1102" w:type="dxa"/>
            <w:vAlign w:val="top"/>
          </w:tcPr>
          <w:p>
            <w:pPr>
              <w:ind w:left="679"/>
              <w:spacing w:before="140" w:line="191" w:lineRule="auto"/>
              <w:rPr>
                <w:rFonts w:ascii="SimSun" w:hAnsi="SimSun" w:eastAsia="SimSun" w:cs="SimSun"/>
                <w:sz w:val="15"/>
                <w:szCs w:val="15"/>
              </w:rPr>
            </w:pPr>
            <w:r>
              <w:rPr>
                <w:rFonts w:ascii="SimSun" w:hAnsi="SimSun" w:eastAsia="SimSun" w:cs="SimSun"/>
                <w:sz w:val="15"/>
                <w:szCs w:val="15"/>
                <w:color w:val="212529"/>
                <w:spacing w:val="2"/>
              </w:rPr>
              <w:t>18.98</w:t>
            </w:r>
          </w:p>
        </w:tc>
        <w:tc>
          <w:tcPr>
            <w:tcW w:w="1102" w:type="dxa"/>
            <w:vAlign w:val="top"/>
          </w:tcPr>
          <w:p>
            <w:pPr>
              <w:ind w:left="681"/>
              <w:spacing w:before="140" w:line="191" w:lineRule="auto"/>
              <w:rPr>
                <w:rFonts w:ascii="SimSun" w:hAnsi="SimSun" w:eastAsia="SimSun" w:cs="SimSun"/>
                <w:sz w:val="15"/>
                <w:szCs w:val="15"/>
              </w:rPr>
            </w:pPr>
            <w:r>
              <w:rPr>
                <w:rFonts w:ascii="SimSun" w:hAnsi="SimSun" w:eastAsia="SimSun" w:cs="SimSun"/>
                <w:sz w:val="15"/>
                <w:szCs w:val="15"/>
                <w:color w:val="212529"/>
                <w:spacing w:val="2"/>
              </w:rPr>
              <w:t>18.98</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867" w:type="dxa"/>
            <w:vAlign w:val="top"/>
          </w:tcPr>
          <w:p>
            <w:pPr>
              <w:ind w:left="13" w:right="102" w:firstLine="157"/>
              <w:spacing w:before="31" w:line="207" w:lineRule="auto"/>
              <w:rPr>
                <w:rFonts w:ascii="SimSun" w:hAnsi="SimSun" w:eastAsia="SimSun" w:cs="SimSun"/>
                <w:sz w:val="15"/>
                <w:szCs w:val="15"/>
              </w:rPr>
            </w:pPr>
            <w:r>
              <w:rPr>
                <w:rFonts w:ascii="SimSun" w:hAnsi="SimSun" w:eastAsia="SimSun" w:cs="SimSun"/>
                <w:sz w:val="15"/>
                <w:szCs w:val="15"/>
                <w:color w:val="212529"/>
                <w:spacing w:val="8"/>
              </w:rPr>
              <w:t>2025年义务教育“三区</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8"/>
              </w:rPr>
              <w:t>”补助费县级</w:t>
            </w:r>
            <w:r>
              <w:rPr>
                <w:rFonts w:ascii="SimSun" w:hAnsi="SimSun" w:eastAsia="SimSun" w:cs="SimSun"/>
                <w:sz w:val="15"/>
                <w:szCs w:val="15"/>
                <w:color w:val="212529"/>
              </w:rPr>
              <w:t xml:space="preserve"> </w:t>
            </w:r>
            <w:r>
              <w:rPr>
                <w:rFonts w:ascii="SimSun" w:hAnsi="SimSun" w:eastAsia="SimSun" w:cs="SimSun"/>
                <w:sz w:val="15"/>
                <w:szCs w:val="15"/>
                <w:color w:val="212529"/>
                <w:spacing w:val="4"/>
              </w:rPr>
              <w:t>资金</w:t>
            </w:r>
          </w:p>
        </w:tc>
        <w:tc>
          <w:tcPr>
            <w:tcW w:w="1102" w:type="dxa"/>
            <w:vAlign w:val="top"/>
          </w:tcPr>
          <w:p>
            <w:pPr>
              <w:ind w:left="749"/>
              <w:spacing w:before="142" w:line="190" w:lineRule="auto"/>
              <w:rPr>
                <w:rFonts w:ascii="SimSun" w:hAnsi="SimSun" w:eastAsia="SimSun" w:cs="SimSun"/>
                <w:sz w:val="15"/>
                <w:szCs w:val="15"/>
              </w:rPr>
            </w:pPr>
            <w:r>
              <w:rPr>
                <w:rFonts w:ascii="SimSun" w:hAnsi="SimSun" w:eastAsia="SimSun" w:cs="SimSun"/>
                <w:sz w:val="15"/>
                <w:szCs w:val="15"/>
                <w:color w:val="212529"/>
                <w:spacing w:val="3"/>
              </w:rPr>
              <w:t>8.98</w:t>
            </w:r>
          </w:p>
        </w:tc>
        <w:tc>
          <w:tcPr>
            <w:tcW w:w="1102" w:type="dxa"/>
            <w:vAlign w:val="top"/>
          </w:tcPr>
          <w:p>
            <w:pPr>
              <w:ind w:left="751"/>
              <w:spacing w:before="142" w:line="190" w:lineRule="auto"/>
              <w:rPr>
                <w:rFonts w:ascii="SimSun" w:hAnsi="SimSun" w:eastAsia="SimSun" w:cs="SimSun"/>
                <w:sz w:val="15"/>
                <w:szCs w:val="15"/>
              </w:rPr>
            </w:pPr>
            <w:r>
              <w:rPr>
                <w:rFonts w:ascii="SimSun" w:hAnsi="SimSun" w:eastAsia="SimSun" w:cs="SimSun"/>
                <w:sz w:val="15"/>
                <w:szCs w:val="15"/>
                <w:color w:val="212529"/>
                <w:spacing w:val="3"/>
              </w:rPr>
              <w:t>8.98</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867" w:type="dxa"/>
            <w:vAlign w:val="top"/>
          </w:tcPr>
          <w:p>
            <w:pPr>
              <w:ind w:left="171"/>
              <w:spacing w:before="118" w:line="229" w:lineRule="auto"/>
              <w:rPr>
                <w:rFonts w:ascii="SimSun" w:hAnsi="SimSun" w:eastAsia="SimSun" w:cs="SimSun"/>
                <w:sz w:val="15"/>
                <w:szCs w:val="15"/>
              </w:rPr>
            </w:pPr>
            <w:r>
              <w:rPr>
                <w:rFonts w:ascii="SimSun" w:hAnsi="SimSun" w:eastAsia="SimSun" w:cs="SimSun"/>
                <w:sz w:val="15"/>
                <w:szCs w:val="15"/>
                <w:color w:val="212529"/>
                <w:spacing w:val="8"/>
              </w:rPr>
              <w:t>2025教育督导经费</w:t>
            </w:r>
          </w:p>
        </w:tc>
        <w:tc>
          <w:tcPr>
            <w:tcW w:w="1102" w:type="dxa"/>
            <w:vAlign w:val="top"/>
          </w:tcPr>
          <w:p>
            <w:pPr>
              <w:ind w:left="679"/>
              <w:spacing w:before="142"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1102" w:type="dxa"/>
            <w:vAlign w:val="top"/>
          </w:tcPr>
          <w:p>
            <w:pPr>
              <w:ind w:left="681"/>
              <w:spacing w:before="142" w:line="191" w:lineRule="auto"/>
              <w:rPr>
                <w:rFonts w:ascii="SimSun" w:hAnsi="SimSun" w:eastAsia="SimSun" w:cs="SimSun"/>
                <w:sz w:val="15"/>
                <w:szCs w:val="15"/>
              </w:rPr>
            </w:pPr>
            <w:r>
              <w:rPr>
                <w:rFonts w:ascii="SimSun" w:hAnsi="SimSun" w:eastAsia="SimSun" w:cs="SimSun"/>
                <w:sz w:val="15"/>
                <w:szCs w:val="15"/>
                <w:color w:val="212529"/>
                <w:spacing w:val="2"/>
              </w:rPr>
              <w:t>10.00</w:t>
            </w:r>
          </w:p>
        </w:tc>
        <w:tc>
          <w:tcPr>
            <w:tcW w:w="842"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rPr>
          <w:rFonts w:ascii="Arial"/>
          <w:sz w:val="21"/>
        </w:rPr>
      </w:pPr>
      <w:r/>
    </w:p>
    <w:p>
      <w:pPr>
        <w:sectPr>
          <w:footerReference w:type="default" r:id="rId17"/>
          <w:pgSz w:w="11900" w:h="16840"/>
          <w:pgMar w:top="610" w:right="600" w:bottom="312" w:left="600" w:header="357" w:footer="153" w:gutter="0"/>
        </w:sectPr>
        <w:rPr>
          <w:rFonts w:ascii="Arial" w:hAnsi="Arial" w:eastAsia="Arial" w:cs="Arial"/>
          <w:sz w:val="21"/>
          <w:szCs w:val="21"/>
        </w:rPr>
      </w:pPr>
    </w:p>
    <w:p>
      <w:pPr>
        <w:spacing w:before="119"/>
        <w:rPr/>
      </w:pPr>
      <w:r>
        <w:pict>
          <v:shape id="_x0000_s26" style="position:absolute;margin-left:68.2717pt;margin-top:58.2865pt;mso-position-vertical-relative:page;mso-position-horizontal-relative:page;width:180.3pt;height:10.85pt;z-index:251674624;" o:allowincell="f" filled="false" stroked="false" type="#_x0000_t202">
            <v:fill on="false"/>
            <v:stroke on="false"/>
            <v:path/>
            <v:imagedata o:title=""/>
            <o:lock v:ext="edit" aspectratio="false"/>
            <v:textbox inset="0mm,0mm,0mm,0mm">
              <w:txbxContent>
                <w:p>
                  <w:pPr>
                    <w:ind w:left="20"/>
                    <w:spacing w:before="20" w:line="176" w:lineRule="exact"/>
                    <w:rPr>
                      <w:rFonts w:ascii="Arial" w:hAnsi="Arial" w:eastAsia="Arial" w:cs="Arial"/>
                      <w:sz w:val="12"/>
                      <w:szCs w:val="12"/>
                    </w:rPr>
                  </w:pPr>
                  <w:r>
                    <w:rPr>
                      <w:rFonts w:ascii="Arial" w:hAnsi="Arial" w:eastAsia="Arial" w:cs="Arial"/>
                      <w:sz w:val="12"/>
                      <w:szCs w:val="12"/>
                      <w:color w:val="FFFFFF"/>
                      <w:spacing w:val="6"/>
                      <w:position w:val="2"/>
                    </w:rPr>
                    <w:t>@#@#@</w:t>
                  </w:r>
                  <w:r>
                    <w:rPr>
                      <w:rFonts w:ascii="Arial" w:hAnsi="Arial" w:eastAsia="Arial" w:cs="Arial"/>
                      <w:sz w:val="12"/>
                      <w:szCs w:val="12"/>
                      <w:color w:val="FFFFFF"/>
                      <w:position w:val="2"/>
                    </w:rPr>
                    <w:t xml:space="preserve">                                                                           </w:t>
                  </w:r>
                  <w:r>
                    <w:rPr>
                      <w:rFonts w:ascii="Arial" w:hAnsi="Arial" w:eastAsia="Arial" w:cs="Arial"/>
                      <w:sz w:val="12"/>
                      <w:szCs w:val="12"/>
                      <w:color w:val="FFFFFF"/>
                      <w:spacing w:val="6"/>
                      <w:position w:val="2"/>
                    </w:rPr>
                    <w:t>@#@#@</w:t>
                  </w:r>
                </w:p>
              </w:txbxContent>
            </v:textbox>
          </v:shape>
        </w:pict>
      </w:r>
      <w:r/>
    </w:p>
    <w:p>
      <w:pPr>
        <w:spacing w:before="119"/>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65"/>
            <w:bookmarkEnd w:id="6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单位名称：兴县教育科技局教学研究室</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11"/>
              </w:rPr>
              <w:t>预算</w:t>
            </w:r>
          </w:p>
        </w:tc>
        <w:tc>
          <w:tcPr>
            <w:tcW w:w="1247" w:type="dxa"/>
            <w:vAlign w:val="top"/>
          </w:tcPr>
          <w:p>
            <w:pPr>
              <w:ind w:left="288" w:right="304" w:firstLine="16"/>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rPr>
              <w:t>国有资本</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rPr>
                <w:rFonts w:ascii="SimSun" w:hAnsi="SimSun" w:eastAsia="SimSun" w:cs="SimSun"/>
                <w:sz w:val="15"/>
                <w:szCs w:val="15"/>
              </w:rPr>
            </w:pPr>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10" w:right="600" w:bottom="312" w:left="600" w:header="357" w:footer="153" w:gutter="0"/>
        </w:sectPr>
        <w:rPr>
          <w:rFonts w:ascii="Arial" w:hAnsi="Arial" w:eastAsia="Arial" w:cs="Arial"/>
          <w:sz w:val="21"/>
          <w:szCs w:val="21"/>
        </w:rPr>
      </w:pPr>
    </w:p>
    <w:p>
      <w:pPr>
        <w:spacing w:line="350" w:lineRule="auto"/>
        <w:rPr>
          <w:rFonts w:ascii="Arial"/>
          <w:sz w:val="21"/>
        </w:rPr>
      </w:pPr>
      <w:r/>
    </w:p>
    <w:p>
      <w:pPr>
        <w:spacing w:line="351"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66"/>
      <w:bookmarkEnd w:id="66"/>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67"/>
      <w:bookmarkEnd w:id="67"/>
      <w:r>
        <w:rPr>
          <w:rFonts w:ascii="Microsoft YaHei" w:hAnsi="Microsoft YaHei" w:eastAsia="Microsoft YaHei" w:cs="Microsoft YaHei"/>
          <w:sz w:val="22"/>
          <w:szCs w:val="22"/>
          <w:spacing w:val="9"/>
          <w:position w:val="-1"/>
        </w:rPr>
        <w:t>一、单位预算收支数据变动情况及原因</w:t>
      </w:r>
    </w:p>
    <w:p>
      <w:pPr>
        <w:ind w:left="659" w:right="623" w:firstLine="461"/>
        <w:spacing w:before="187" w:line="318" w:lineRule="auto"/>
        <w:jc w:val="both"/>
        <w:rPr>
          <w:rFonts w:ascii="FangSong" w:hAnsi="FangSong" w:eastAsia="FangSong" w:cs="FangSong"/>
          <w:sz w:val="23"/>
          <w:szCs w:val="23"/>
        </w:rPr>
      </w:pPr>
      <w:r>
        <w:rPr>
          <w:rFonts w:ascii="FangSong" w:hAnsi="FangSong" w:eastAsia="FangSong" w:cs="FangSong"/>
          <w:sz w:val="23"/>
          <w:szCs w:val="23"/>
          <w:spacing w:val="5"/>
        </w:rPr>
        <w:t>2025年度兴县教育科技局教学研究室预算收入总计506.28</w:t>
      </w:r>
      <w:r>
        <w:rPr>
          <w:rFonts w:ascii="FangSong" w:hAnsi="FangSong" w:eastAsia="FangSong" w:cs="FangSong"/>
          <w:sz w:val="23"/>
          <w:szCs w:val="23"/>
          <w:spacing w:val="4"/>
        </w:rPr>
        <w:t>万元，其中：本年收入506.28</w:t>
      </w:r>
      <w:r>
        <w:rPr>
          <w:rFonts w:ascii="FangSong" w:hAnsi="FangSong" w:eastAsia="FangSong" w:cs="FangSong"/>
          <w:sz w:val="23"/>
          <w:szCs w:val="23"/>
        </w:rPr>
        <w:t xml:space="preserve"> </w:t>
      </w:r>
      <w:r>
        <w:rPr>
          <w:rFonts w:ascii="FangSong" w:hAnsi="FangSong" w:eastAsia="FangSong" w:cs="FangSong"/>
          <w:sz w:val="23"/>
          <w:szCs w:val="23"/>
          <w:spacing w:val="2"/>
        </w:rPr>
        <w:t>万元，上年结转0万元，比上年减少140.46万元，下降21.72%，主要原因是本年度在职人员减</w:t>
      </w:r>
      <w:r>
        <w:rPr>
          <w:rFonts w:ascii="FangSong" w:hAnsi="FangSong" w:eastAsia="FangSong" w:cs="FangSong"/>
          <w:sz w:val="23"/>
          <w:szCs w:val="23"/>
          <w:spacing w:val="7"/>
        </w:rPr>
        <w:t xml:space="preserve"> </w:t>
      </w:r>
      <w:r>
        <w:rPr>
          <w:rFonts w:ascii="FangSong" w:hAnsi="FangSong" w:eastAsia="FangSong" w:cs="FangSong"/>
          <w:sz w:val="23"/>
          <w:szCs w:val="23"/>
          <w:spacing w:val="5"/>
        </w:rPr>
        <w:t>少及项目支出安排减少，以致上下年对比变动减少较大。；本年单位预算支出总计506.28万</w:t>
      </w:r>
      <w:r>
        <w:rPr>
          <w:rFonts w:ascii="FangSong" w:hAnsi="FangSong" w:eastAsia="FangSong" w:cs="FangSong"/>
          <w:sz w:val="23"/>
          <w:szCs w:val="23"/>
        </w:rPr>
        <w:t xml:space="preserve"> </w:t>
      </w:r>
      <w:r>
        <w:rPr>
          <w:rFonts w:ascii="FangSong" w:hAnsi="FangSong" w:eastAsia="FangSong" w:cs="FangSong"/>
          <w:sz w:val="23"/>
          <w:szCs w:val="23"/>
          <w:spacing w:val="6"/>
        </w:rPr>
        <w:t>元</w:t>
      </w:r>
      <w:r>
        <w:rPr>
          <w:rFonts w:ascii="FangSong" w:hAnsi="FangSong" w:eastAsia="FangSong" w:cs="FangSong"/>
          <w:sz w:val="23"/>
          <w:szCs w:val="23"/>
          <w:spacing w:val="-44"/>
        </w:rPr>
        <w:t xml:space="preserve"> </w:t>
      </w:r>
      <w:r>
        <w:rPr>
          <w:rFonts w:ascii="FangSong" w:hAnsi="FangSong" w:eastAsia="FangSong" w:cs="FangSong"/>
          <w:sz w:val="23"/>
          <w:szCs w:val="23"/>
          <w:spacing w:val="6"/>
        </w:rPr>
        <w:t>，其</w:t>
      </w:r>
      <w:r>
        <w:rPr>
          <w:rFonts w:ascii="FangSong" w:hAnsi="FangSong" w:eastAsia="FangSong" w:cs="FangSong"/>
          <w:sz w:val="23"/>
          <w:szCs w:val="23"/>
          <w:spacing w:val="-47"/>
        </w:rPr>
        <w:t xml:space="preserve"> </w:t>
      </w:r>
      <w:r>
        <w:rPr>
          <w:rFonts w:ascii="FangSong" w:hAnsi="FangSong" w:eastAsia="FangSong" w:cs="FangSong"/>
          <w:sz w:val="23"/>
          <w:szCs w:val="23"/>
          <w:spacing w:val="6"/>
        </w:rPr>
        <w:t>中</w:t>
      </w:r>
      <w:r>
        <w:rPr>
          <w:rFonts w:ascii="FangSong" w:hAnsi="FangSong" w:eastAsia="FangSong" w:cs="FangSong"/>
          <w:sz w:val="23"/>
          <w:szCs w:val="23"/>
          <w:spacing w:val="-58"/>
        </w:rPr>
        <w:t xml:space="preserve"> </w:t>
      </w:r>
      <w:r>
        <w:rPr>
          <w:rFonts w:ascii="FangSong" w:hAnsi="FangSong" w:eastAsia="FangSong" w:cs="FangSong"/>
          <w:sz w:val="23"/>
          <w:szCs w:val="23"/>
          <w:spacing w:val="6"/>
        </w:rPr>
        <w:t>：本年预算安排506.28万元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w:t>
      </w:r>
      <w:r>
        <w:rPr>
          <w:rFonts w:ascii="FangSong" w:hAnsi="FangSong" w:eastAsia="FangSong" w:cs="FangSong"/>
          <w:sz w:val="23"/>
          <w:szCs w:val="23"/>
          <w:spacing w:val="-49"/>
        </w:rPr>
        <w:t xml:space="preserve"> </w:t>
      </w:r>
      <w:r>
        <w:rPr>
          <w:rFonts w:ascii="FangSong" w:hAnsi="FangSong" w:eastAsia="FangSong" w:cs="FangSong"/>
          <w:sz w:val="23"/>
          <w:szCs w:val="23"/>
          <w:spacing w:val="6"/>
        </w:rPr>
        <w:t>比上年减少</w:t>
      </w:r>
      <w:r>
        <w:rPr>
          <w:rFonts w:ascii="FangSong" w:hAnsi="FangSong" w:eastAsia="FangSong" w:cs="FangSong"/>
          <w:sz w:val="23"/>
          <w:szCs w:val="23"/>
          <w:spacing w:val="-67"/>
        </w:rPr>
        <w:t xml:space="preserve"> </w:t>
      </w:r>
      <w:r>
        <w:rPr>
          <w:rFonts w:ascii="FangSong" w:hAnsi="FangSong" w:eastAsia="FangSong" w:cs="FangSong"/>
          <w:sz w:val="23"/>
          <w:szCs w:val="23"/>
          <w:spacing w:val="6"/>
        </w:rPr>
        <w:t>140.46万元</w:t>
      </w:r>
      <w:r>
        <w:rPr>
          <w:rFonts w:ascii="FangSong" w:hAnsi="FangSong" w:eastAsia="FangSong" w:cs="FangSong"/>
          <w:sz w:val="23"/>
          <w:szCs w:val="23"/>
          <w:spacing w:val="-59"/>
        </w:rPr>
        <w:t xml:space="preserve"> </w:t>
      </w:r>
      <w:r>
        <w:rPr>
          <w:rFonts w:ascii="FangSong" w:hAnsi="FangSong" w:eastAsia="FangSong" w:cs="FangSong"/>
          <w:sz w:val="23"/>
          <w:szCs w:val="23"/>
          <w:spacing w:val="6"/>
        </w:rPr>
        <w:t>，下</w:t>
      </w:r>
      <w:r>
        <w:rPr>
          <w:rFonts w:ascii="FangSong" w:hAnsi="FangSong" w:eastAsia="FangSong" w:cs="FangSong"/>
          <w:sz w:val="23"/>
          <w:szCs w:val="23"/>
          <w:spacing w:val="-65"/>
        </w:rPr>
        <w:t xml:space="preserve"> </w:t>
      </w:r>
      <w:r>
        <w:rPr>
          <w:rFonts w:ascii="FangSong" w:hAnsi="FangSong" w:eastAsia="FangSong" w:cs="FangSong"/>
          <w:sz w:val="23"/>
          <w:szCs w:val="23"/>
          <w:spacing w:val="6"/>
        </w:rPr>
        <w:t>降</w:t>
      </w:r>
      <w:r>
        <w:rPr>
          <w:rFonts w:ascii="FangSong" w:hAnsi="FangSong" w:eastAsia="FangSong" w:cs="FangSong"/>
          <w:sz w:val="23"/>
          <w:szCs w:val="23"/>
        </w:rPr>
        <w:t xml:space="preserve"> </w:t>
      </w:r>
      <w:r>
        <w:rPr>
          <w:rFonts w:ascii="FangSong" w:hAnsi="FangSong" w:eastAsia="FangSong" w:cs="FangSong"/>
          <w:sz w:val="23"/>
          <w:szCs w:val="23"/>
          <w:spacing w:val="5"/>
        </w:rPr>
        <w:t>21.72%，主要原因是本年度在职人员减少及项目支出安排减少，以致上下年对比变动减少较</w:t>
      </w:r>
      <w:r>
        <w:rPr>
          <w:rFonts w:ascii="FangSong" w:hAnsi="FangSong" w:eastAsia="FangSong" w:cs="FangSong"/>
          <w:sz w:val="23"/>
          <w:szCs w:val="23"/>
        </w:rPr>
        <w:t xml:space="preserve"> </w:t>
      </w:r>
      <w:r>
        <w:rPr>
          <w:rFonts w:ascii="FangSong" w:hAnsi="FangSong" w:eastAsia="FangSong" w:cs="FangSong"/>
          <w:sz w:val="23"/>
          <w:szCs w:val="23"/>
          <w:spacing w:val="-6"/>
        </w:rPr>
        <w:t>大。</w:t>
      </w:r>
    </w:p>
    <w:p>
      <w:pPr>
        <w:ind w:left="661"/>
        <w:spacing w:before="39" w:line="230" w:lineRule="exact"/>
        <w:outlineLvl w:val="1"/>
        <w:rPr>
          <w:rFonts w:ascii="Microsoft YaHei" w:hAnsi="Microsoft YaHei" w:eastAsia="Microsoft YaHei" w:cs="Microsoft YaHei"/>
          <w:sz w:val="22"/>
          <w:szCs w:val="22"/>
        </w:rPr>
      </w:pPr>
      <w:bookmarkStart w:name="bookmark21" w:id="68"/>
      <w:bookmarkEnd w:id="68"/>
      <w:r>
        <w:rPr>
          <w:rFonts w:ascii="Microsoft YaHei" w:hAnsi="Microsoft YaHei" w:eastAsia="Microsoft YaHei" w:cs="Microsoft YaHei"/>
          <w:sz w:val="22"/>
          <w:szCs w:val="22"/>
          <w:spacing w:val="8"/>
          <w:position w:val="-1"/>
        </w:rPr>
        <w:t>二、收入预算情况说明</w:t>
      </w:r>
    </w:p>
    <w:p>
      <w:pPr>
        <w:ind w:left="658" w:right="623" w:firstLine="462"/>
        <w:spacing w:before="176" w:line="317" w:lineRule="auto"/>
        <w:jc w:val="both"/>
        <w:rPr>
          <w:rFonts w:ascii="FangSong" w:hAnsi="FangSong" w:eastAsia="FangSong" w:cs="FangSong"/>
          <w:sz w:val="23"/>
          <w:szCs w:val="23"/>
        </w:rPr>
      </w:pPr>
      <w:r>
        <w:rPr>
          <w:rFonts w:ascii="FangSong" w:hAnsi="FangSong" w:eastAsia="FangSong" w:cs="FangSong"/>
          <w:sz w:val="23"/>
          <w:szCs w:val="23"/>
          <w:spacing w:val="5"/>
        </w:rPr>
        <w:t>2025年度兴县教育科技局教学研究室预算收入506.28万元，主要包括一般公共预算拨款</w:t>
      </w:r>
      <w:r>
        <w:rPr>
          <w:rFonts w:ascii="FangSong" w:hAnsi="FangSong" w:eastAsia="FangSong" w:cs="FangSong"/>
          <w:sz w:val="23"/>
          <w:szCs w:val="23"/>
        </w:rPr>
        <w:t xml:space="preserve"> </w:t>
      </w:r>
      <w:r>
        <w:rPr>
          <w:rFonts w:ascii="FangSong" w:hAnsi="FangSong" w:eastAsia="FangSong" w:cs="FangSong"/>
          <w:sz w:val="23"/>
          <w:szCs w:val="23"/>
          <w:spacing w:val="1"/>
        </w:rPr>
        <w:t>收入506.28万元，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国有资本经营</w:t>
      </w:r>
      <w:r>
        <w:rPr>
          <w:rFonts w:ascii="FangSong" w:hAnsi="FangSong" w:eastAsia="FangSong" w:cs="FangSong"/>
          <w:sz w:val="23"/>
          <w:szCs w:val="23"/>
        </w:rPr>
        <w:t>预算拨</w:t>
      </w:r>
      <w:r>
        <w:rPr>
          <w:rFonts w:ascii="FangSong" w:hAnsi="FangSong" w:eastAsia="FangSong" w:cs="FangSong"/>
          <w:sz w:val="23"/>
          <w:szCs w:val="23"/>
        </w:rPr>
        <w:t xml:space="preserve"> </w:t>
      </w:r>
      <w:r>
        <w:rPr>
          <w:rFonts w:ascii="FangSong" w:hAnsi="FangSong" w:eastAsia="FangSong" w:cs="FangSong"/>
          <w:sz w:val="23"/>
          <w:szCs w:val="23"/>
          <w:spacing w:val="-2"/>
        </w:rPr>
        <w:t>款收入0万元，</w:t>
      </w:r>
      <w:r>
        <w:rPr>
          <w:rFonts w:ascii="FangSong" w:hAnsi="FangSong" w:eastAsia="FangSong" w:cs="FangSong"/>
          <w:sz w:val="23"/>
          <w:szCs w:val="23"/>
          <w:spacing w:val="-39"/>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占0%；上年结转</w:t>
      </w:r>
      <w:r>
        <w:rPr>
          <w:rFonts w:ascii="FangSong" w:hAnsi="FangSong" w:eastAsia="FangSong" w:cs="FangSong"/>
          <w:sz w:val="23"/>
          <w:szCs w:val="23"/>
        </w:rPr>
        <w:t xml:space="preserve"> </w:t>
      </w:r>
      <w:r>
        <w:rPr>
          <w:rFonts w:ascii="FangSong" w:hAnsi="FangSong" w:eastAsia="FangSong" w:cs="FangSong"/>
          <w:sz w:val="23"/>
          <w:szCs w:val="23"/>
          <w:spacing w:val="-8"/>
        </w:rPr>
        <w:t>0万元，</w:t>
      </w:r>
      <w:r>
        <w:rPr>
          <w:rFonts w:ascii="FangSong" w:hAnsi="FangSong" w:eastAsia="FangSong" w:cs="FangSong"/>
          <w:sz w:val="23"/>
          <w:szCs w:val="23"/>
          <w:spacing w:val="-59"/>
        </w:rPr>
        <w:t xml:space="preserve"> </w:t>
      </w:r>
      <w:r>
        <w:rPr>
          <w:rFonts w:ascii="FangSong" w:hAnsi="FangSong" w:eastAsia="FangSong" w:cs="FangSong"/>
          <w:sz w:val="23"/>
          <w:szCs w:val="23"/>
          <w:spacing w:val="-8"/>
        </w:rPr>
        <w:t>占0%。</w:t>
      </w:r>
    </w:p>
    <w:p>
      <w:pPr>
        <w:spacing w:line="461" w:lineRule="auto"/>
        <w:rPr>
          <w:rFonts w:ascii="Arial"/>
          <w:sz w:val="21"/>
        </w:rPr>
      </w:pPr>
      <w:r/>
    </w:p>
    <w:p>
      <w:pPr>
        <w:ind w:firstLine="2945"/>
        <w:spacing w:before="1" w:line="3154" w:lineRule="exact"/>
        <w:rPr/>
      </w:pPr>
      <w:r>
        <w:rPr>
          <w:position w:val="-63"/>
        </w:rPr>
        <w:drawing>
          <wp:inline distT="0" distB="0" distL="0" distR="0">
            <wp:extent cx="2435202" cy="2002554"/>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435202" cy="2002554"/>
                    </a:xfrm>
                    <a:prstGeom prst="rect">
                      <a:avLst/>
                    </a:prstGeom>
                  </pic:spPr>
                </pic:pic>
              </a:graphicData>
            </a:graphic>
          </wp:inline>
        </w:drawing>
      </w:r>
    </w:p>
    <w:p>
      <w:pPr>
        <w:ind w:left="662"/>
        <w:spacing w:before="298" w:line="230" w:lineRule="exact"/>
        <w:outlineLvl w:val="1"/>
        <w:rPr>
          <w:rFonts w:ascii="Microsoft YaHei" w:hAnsi="Microsoft YaHei" w:eastAsia="Microsoft YaHei" w:cs="Microsoft YaHei"/>
          <w:sz w:val="22"/>
          <w:szCs w:val="22"/>
        </w:rPr>
      </w:pPr>
      <w:bookmarkStart w:name="bookmark22" w:id="69"/>
      <w:bookmarkEnd w:id="69"/>
      <w:r>
        <w:rPr>
          <w:rFonts w:ascii="Microsoft YaHei" w:hAnsi="Microsoft YaHei" w:eastAsia="Microsoft YaHei" w:cs="Microsoft YaHei"/>
          <w:sz w:val="22"/>
          <w:szCs w:val="22"/>
          <w:spacing w:val="7"/>
          <w:position w:val="-1"/>
        </w:rPr>
        <w:t>三、支出预算情况说明</w:t>
      </w:r>
    </w:p>
    <w:p>
      <w:pPr>
        <w:ind w:left="667" w:right="623" w:firstLine="453"/>
        <w:spacing w:before="186" w:line="306" w:lineRule="auto"/>
        <w:rPr>
          <w:rFonts w:ascii="FangSong" w:hAnsi="FangSong" w:eastAsia="FangSong" w:cs="FangSong"/>
          <w:sz w:val="23"/>
          <w:szCs w:val="23"/>
        </w:rPr>
      </w:pPr>
      <w:r>
        <w:rPr>
          <w:rFonts w:ascii="FangSong" w:hAnsi="FangSong" w:eastAsia="FangSong" w:cs="FangSong"/>
          <w:sz w:val="23"/>
          <w:szCs w:val="23"/>
          <w:spacing w:val="10"/>
        </w:rPr>
        <w:t>2025年度兴县教育科技局教学研究室支出预算506.28万元，其中：基本支出4</w:t>
      </w:r>
      <w:r>
        <w:rPr>
          <w:rFonts w:ascii="FangSong" w:hAnsi="FangSong" w:eastAsia="FangSong" w:cs="FangSong"/>
          <w:sz w:val="23"/>
          <w:szCs w:val="23"/>
          <w:spacing w:val="9"/>
        </w:rPr>
        <w:t>87.31万</w:t>
      </w:r>
      <w:r>
        <w:rPr>
          <w:rFonts w:ascii="FangSong" w:hAnsi="FangSong" w:eastAsia="FangSong" w:cs="FangSong"/>
          <w:sz w:val="23"/>
          <w:szCs w:val="23"/>
        </w:rPr>
        <w:t xml:space="preserve"> </w:t>
      </w:r>
      <w:r>
        <w:rPr>
          <w:rFonts w:ascii="FangSong" w:hAnsi="FangSong" w:eastAsia="FangSong" w:cs="FangSong"/>
          <w:sz w:val="23"/>
          <w:szCs w:val="23"/>
          <w:spacing w:val="-4"/>
        </w:rPr>
        <w:t>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占96.25%；项目支出18.98万元，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占3.7</w:t>
      </w:r>
      <w:r>
        <w:rPr>
          <w:rFonts w:ascii="FangSong" w:hAnsi="FangSong" w:eastAsia="FangSong" w:cs="FangSong"/>
          <w:sz w:val="23"/>
          <w:szCs w:val="23"/>
          <w:spacing w:val="-5"/>
        </w:rPr>
        <w:t>5%。</w:t>
      </w:r>
    </w:p>
    <w:p>
      <w:pPr>
        <w:ind w:left="671"/>
        <w:spacing w:before="33" w:line="230" w:lineRule="exact"/>
        <w:outlineLvl w:val="1"/>
        <w:rPr>
          <w:rFonts w:ascii="Microsoft YaHei" w:hAnsi="Microsoft YaHei" w:eastAsia="Microsoft YaHei" w:cs="Microsoft YaHei"/>
          <w:sz w:val="22"/>
          <w:szCs w:val="22"/>
        </w:rPr>
      </w:pPr>
      <w:bookmarkStart w:name="bookmark23" w:id="70"/>
      <w:bookmarkEnd w:id="70"/>
      <w:r>
        <w:rPr>
          <w:rFonts w:ascii="Microsoft YaHei" w:hAnsi="Microsoft YaHei" w:eastAsia="Microsoft YaHei" w:cs="Microsoft YaHei"/>
          <w:sz w:val="22"/>
          <w:szCs w:val="22"/>
          <w:spacing w:val="8"/>
          <w:position w:val="-1"/>
        </w:rPr>
        <w:t>四、财政拨款收支预算总体情况说明</w:t>
      </w:r>
    </w:p>
    <w:p>
      <w:pPr>
        <w:ind w:left="663" w:right="623" w:firstLine="456"/>
        <w:spacing w:before="186" w:line="316" w:lineRule="auto"/>
        <w:jc w:val="both"/>
        <w:rPr>
          <w:rFonts w:ascii="FangSong" w:hAnsi="FangSong" w:eastAsia="FangSong" w:cs="FangSong"/>
          <w:sz w:val="23"/>
          <w:szCs w:val="23"/>
        </w:rPr>
      </w:pPr>
      <w:r>
        <w:rPr>
          <w:rFonts w:ascii="FangSong" w:hAnsi="FangSong" w:eastAsia="FangSong" w:cs="FangSong"/>
          <w:sz w:val="23"/>
          <w:szCs w:val="23"/>
          <w:spacing w:val="5"/>
        </w:rPr>
        <w:t>2025年度兴县教育科技局教学研究室财政拨款收支总预算506.28万元。其中：一般公共</w:t>
      </w:r>
      <w:r>
        <w:rPr>
          <w:rFonts w:ascii="FangSong" w:hAnsi="FangSong" w:eastAsia="FangSong" w:cs="FangSong"/>
          <w:sz w:val="23"/>
          <w:szCs w:val="23"/>
        </w:rPr>
        <w:t xml:space="preserve"> </w:t>
      </w:r>
      <w:r>
        <w:rPr>
          <w:rFonts w:ascii="FangSong" w:hAnsi="FangSong" w:eastAsia="FangSong" w:cs="FangSong"/>
          <w:sz w:val="23"/>
          <w:szCs w:val="23"/>
          <w:spacing w:val="3"/>
        </w:rPr>
        <w:t>预算拨款506.28万元，政府性基金预算拨款0万元</w:t>
      </w:r>
      <w:r>
        <w:rPr>
          <w:rFonts w:ascii="FangSong" w:hAnsi="FangSong" w:eastAsia="FangSong" w:cs="FangSong"/>
          <w:sz w:val="23"/>
          <w:szCs w:val="23"/>
          <w:spacing w:val="2"/>
        </w:rPr>
        <w:t>，</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w:t>
      </w:r>
      <w:r>
        <w:rPr>
          <w:rFonts w:ascii="FangSong" w:hAnsi="FangSong" w:eastAsia="FangSong" w:cs="FangSong"/>
          <w:sz w:val="23"/>
          <w:szCs w:val="23"/>
        </w:rPr>
        <w:t xml:space="preserve"> </w:t>
      </w:r>
      <w:r>
        <w:rPr>
          <w:rFonts w:ascii="FangSong" w:hAnsi="FangSong" w:eastAsia="FangSong" w:cs="FangSong"/>
          <w:sz w:val="23"/>
          <w:szCs w:val="23"/>
          <w:spacing w:val="2"/>
        </w:rPr>
        <w:t>年拨款收入506.28万元，上年结转收入0万元。支出包括：教育支出366.54万元、社会保障和</w:t>
      </w:r>
      <w:r>
        <w:rPr>
          <w:rFonts w:ascii="FangSong" w:hAnsi="FangSong" w:eastAsia="FangSong" w:cs="FangSong"/>
          <w:sz w:val="23"/>
          <w:szCs w:val="23"/>
          <w:spacing w:val="2"/>
        </w:rPr>
        <w:t xml:space="preserve"> </w:t>
      </w:r>
      <w:r>
        <w:rPr>
          <w:rFonts w:ascii="FangSong" w:hAnsi="FangSong" w:eastAsia="FangSong" w:cs="FangSong"/>
          <w:sz w:val="23"/>
          <w:szCs w:val="23"/>
        </w:rPr>
        <w:t>就业支出88.04万元、卫生健康支出16.88万元、住房保障支出34.82万元等。</w:t>
      </w:r>
    </w:p>
    <w:p>
      <w:pPr>
        <w:ind w:left="664"/>
        <w:spacing w:before="31" w:line="230" w:lineRule="exact"/>
        <w:outlineLvl w:val="1"/>
        <w:rPr>
          <w:rFonts w:ascii="Microsoft YaHei" w:hAnsi="Microsoft YaHei" w:eastAsia="Microsoft YaHei" w:cs="Microsoft YaHei"/>
          <w:sz w:val="22"/>
          <w:szCs w:val="22"/>
        </w:rPr>
      </w:pPr>
      <w:bookmarkStart w:name="bookmark24" w:id="71"/>
      <w:bookmarkEnd w:id="71"/>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73" w:right="623" w:firstLine="446"/>
        <w:spacing w:before="135" w:line="306" w:lineRule="auto"/>
        <w:rPr>
          <w:rFonts w:ascii="FangSong" w:hAnsi="FangSong" w:eastAsia="FangSong" w:cs="FangSong"/>
          <w:sz w:val="23"/>
          <w:szCs w:val="23"/>
        </w:rPr>
      </w:pPr>
      <w:r>
        <w:rPr>
          <w:rFonts w:ascii="FangSong" w:hAnsi="FangSong" w:eastAsia="FangSong" w:cs="FangSong"/>
          <w:sz w:val="23"/>
          <w:szCs w:val="23"/>
          <w:spacing w:val="11"/>
        </w:rPr>
        <w:t>2025年度兴县教育科技局教学研究室一般公共预算当年支出506</w:t>
      </w:r>
      <w:r>
        <w:rPr>
          <w:rFonts w:ascii="FangSong" w:hAnsi="FangSong" w:eastAsia="FangSong" w:cs="FangSong"/>
          <w:sz w:val="23"/>
          <w:szCs w:val="23"/>
          <w:spacing w:val="10"/>
        </w:rPr>
        <w:t>.28万元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w:t>
      </w:r>
      <w:r>
        <w:rPr>
          <w:rFonts w:ascii="FangSong" w:hAnsi="FangSong" w:eastAsia="FangSong" w:cs="FangSong"/>
          <w:sz w:val="23"/>
          <w:szCs w:val="23"/>
          <w:spacing w:val="-57"/>
        </w:rPr>
        <w:t xml:space="preserve"> </w:t>
      </w:r>
      <w:r>
        <w:rPr>
          <w:rFonts w:ascii="FangSong" w:hAnsi="FangSong" w:eastAsia="FangSong" w:cs="FangSong"/>
          <w:sz w:val="23"/>
          <w:szCs w:val="23"/>
          <w:spacing w:val="10"/>
        </w:rPr>
        <w:t>比上年减少</w:t>
      </w:r>
      <w:r>
        <w:rPr>
          <w:rFonts w:ascii="FangSong" w:hAnsi="FangSong" w:eastAsia="FangSong" w:cs="FangSong"/>
          <w:sz w:val="23"/>
          <w:szCs w:val="23"/>
        </w:rPr>
        <w:t xml:space="preserve"> </w:t>
      </w:r>
      <w:r>
        <w:rPr>
          <w:rFonts w:ascii="FangSong" w:hAnsi="FangSong" w:eastAsia="FangSong" w:cs="FangSong"/>
          <w:sz w:val="23"/>
          <w:szCs w:val="23"/>
          <w:spacing w:val="-2"/>
        </w:rPr>
        <w:t>140.46万元，下降21.72%。</w:t>
      </w:r>
    </w:p>
    <w:p>
      <w:pPr>
        <w:ind w:left="1125"/>
        <w:spacing w:before="37"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footerReference w:type="default" r:id="rId19"/>
          <w:pgSz w:w="11900" w:h="16840"/>
          <w:pgMar w:top="610" w:right="600" w:bottom="312" w:left="600" w:header="357" w:footer="153" w:gutter="0"/>
        </w:sectPr>
        <w:rPr>
          <w:rFonts w:ascii="FangSong" w:hAnsi="FangSong" w:eastAsia="FangSong" w:cs="FangSong"/>
          <w:sz w:val="23"/>
          <w:szCs w:val="23"/>
        </w:rPr>
      </w:pPr>
    </w:p>
    <w:p>
      <w:pPr>
        <w:spacing w:line="298" w:lineRule="auto"/>
        <w:rPr>
          <w:rFonts w:ascii="Arial"/>
          <w:sz w:val="21"/>
        </w:rPr>
      </w:pPr>
      <w:r/>
    </w:p>
    <w:p>
      <w:pPr>
        <w:spacing w:line="298" w:lineRule="auto"/>
        <w:rPr>
          <w:rFonts w:ascii="Arial"/>
          <w:sz w:val="21"/>
        </w:rPr>
      </w:pPr>
      <w:r/>
    </w:p>
    <w:p>
      <w:pPr>
        <w:ind w:left="663" w:right="623" w:firstLine="456"/>
        <w:spacing w:before="75" w:line="315" w:lineRule="auto"/>
        <w:jc w:val="both"/>
        <w:rPr>
          <w:rFonts w:ascii="FangSong" w:hAnsi="FangSong" w:eastAsia="FangSong" w:cs="FangSong"/>
          <w:sz w:val="23"/>
          <w:szCs w:val="23"/>
        </w:rPr>
      </w:pPr>
      <w:bookmarkStart w:name="bookmark48" w:id="72"/>
      <w:bookmarkEnd w:id="72"/>
      <w:r>
        <w:rPr>
          <w:rFonts w:ascii="FangSong" w:hAnsi="FangSong" w:eastAsia="FangSong" w:cs="FangSong"/>
          <w:sz w:val="23"/>
          <w:szCs w:val="23"/>
          <w:spacing w:val="2"/>
        </w:rPr>
        <w:t>2025年度兴县教育科技局教学研究室一般公共预算当年支出506.28万元,主要用于以下方</w:t>
      </w:r>
      <w:r>
        <w:rPr>
          <w:rFonts w:ascii="FangSong" w:hAnsi="FangSong" w:eastAsia="FangSong" w:cs="FangSong"/>
          <w:sz w:val="23"/>
          <w:szCs w:val="23"/>
          <w:spacing w:val="11"/>
        </w:rPr>
        <w:t xml:space="preserve"> </w:t>
      </w:r>
      <w:r>
        <w:rPr>
          <w:rFonts w:ascii="FangSong" w:hAnsi="FangSong" w:eastAsia="FangSong" w:cs="FangSong"/>
          <w:sz w:val="23"/>
          <w:szCs w:val="23"/>
        </w:rPr>
        <w:t>面：教育支出366.54万元，</w:t>
      </w:r>
      <w:r>
        <w:rPr>
          <w:rFonts w:ascii="FangSong" w:hAnsi="FangSong" w:eastAsia="FangSong" w:cs="FangSong"/>
          <w:sz w:val="23"/>
          <w:szCs w:val="23"/>
          <w:spacing w:val="-56"/>
        </w:rPr>
        <w:t xml:space="preserve"> </w:t>
      </w:r>
      <w:r>
        <w:rPr>
          <w:rFonts w:ascii="FangSong" w:hAnsi="FangSong" w:eastAsia="FangSong" w:cs="FangSong"/>
          <w:sz w:val="23"/>
          <w:szCs w:val="23"/>
        </w:rPr>
        <w:t>占72.40%；社会保障和就业支</w:t>
      </w:r>
      <w:r>
        <w:rPr>
          <w:rFonts w:ascii="FangSong" w:hAnsi="FangSong" w:eastAsia="FangSong" w:cs="FangSong"/>
          <w:sz w:val="23"/>
          <w:szCs w:val="23"/>
          <w:spacing w:val="-1"/>
        </w:rPr>
        <w:t>出88.04万元，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占17.39%；卫生健康</w:t>
      </w:r>
      <w:r>
        <w:rPr>
          <w:rFonts w:ascii="FangSong" w:hAnsi="FangSong" w:eastAsia="FangSong" w:cs="FangSong"/>
          <w:sz w:val="23"/>
          <w:szCs w:val="23"/>
        </w:rPr>
        <w:t xml:space="preserve"> </w:t>
      </w:r>
      <w:r>
        <w:rPr>
          <w:rFonts w:ascii="FangSong" w:hAnsi="FangSong" w:eastAsia="FangSong" w:cs="FangSong"/>
          <w:sz w:val="23"/>
          <w:szCs w:val="23"/>
          <w:spacing w:val="-3"/>
        </w:rPr>
        <w:t>支出16.88万元，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占3.33%；住房保障支出34.82万元，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占6.88%等。</w:t>
      </w:r>
    </w:p>
    <w:p>
      <w:pPr>
        <w:spacing w:line="252" w:lineRule="auto"/>
        <w:rPr>
          <w:rFonts w:ascii="Arial"/>
          <w:sz w:val="21"/>
        </w:rPr>
      </w:pPr>
      <w:r/>
    </w:p>
    <w:p>
      <w:pPr>
        <w:spacing w:line="252" w:lineRule="auto"/>
        <w:rPr>
          <w:rFonts w:ascii="Arial"/>
          <w:sz w:val="21"/>
        </w:rPr>
      </w:pPr>
      <w:r/>
    </w:p>
    <w:p>
      <w:pPr>
        <w:ind w:firstLine="2865"/>
        <w:spacing w:line="2089" w:lineRule="exact"/>
        <w:rPr/>
      </w:pPr>
      <w:r>
        <w:rPr>
          <w:position w:val="-41"/>
        </w:rPr>
        <w:drawing>
          <wp:inline distT="0" distB="0" distL="0" distR="0">
            <wp:extent cx="2676186" cy="1326729"/>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676186" cy="1326729"/>
                    </a:xfrm>
                    <a:prstGeom prst="rect">
                      <a:avLst/>
                    </a:prstGeom>
                  </pic:spPr>
                </pic:pic>
              </a:graphicData>
            </a:graphic>
          </wp:inline>
        </w:drawing>
      </w:r>
    </w:p>
    <w:p>
      <w:pPr>
        <w:spacing w:line="288" w:lineRule="auto"/>
        <w:rPr>
          <w:rFonts w:ascii="Arial"/>
          <w:sz w:val="21"/>
        </w:rPr>
      </w:pPr>
      <w:r/>
    </w:p>
    <w:p>
      <w:pPr>
        <w:spacing w:line="289" w:lineRule="auto"/>
        <w:rPr>
          <w:rFonts w:ascii="Arial"/>
          <w:sz w:val="21"/>
        </w:rPr>
      </w:pPr>
      <w:r/>
    </w:p>
    <w:p>
      <w:pPr>
        <w:ind w:left="662"/>
        <w:spacing w:before="95" w:line="230" w:lineRule="exact"/>
        <w:outlineLvl w:val="1"/>
        <w:rPr>
          <w:rFonts w:ascii="Microsoft YaHei" w:hAnsi="Microsoft YaHei" w:eastAsia="Microsoft YaHei" w:cs="Microsoft YaHei"/>
          <w:sz w:val="22"/>
          <w:szCs w:val="22"/>
        </w:rPr>
      </w:pPr>
      <w:bookmarkStart w:name="bookmark25" w:id="73"/>
      <w:bookmarkEnd w:id="73"/>
      <w:r>
        <w:rPr>
          <w:rFonts w:ascii="Microsoft YaHei" w:hAnsi="Microsoft YaHei" w:eastAsia="Microsoft YaHei" w:cs="Microsoft YaHei"/>
          <w:sz w:val="22"/>
          <w:szCs w:val="22"/>
          <w:spacing w:val="8"/>
          <w:position w:val="-1"/>
        </w:rPr>
        <w:t>六、一般公共预算基本支出情况说明</w:t>
      </w:r>
    </w:p>
    <w:p>
      <w:pPr>
        <w:ind w:left="1120"/>
        <w:spacing w:before="174" w:line="222" w:lineRule="auto"/>
        <w:rPr>
          <w:rFonts w:ascii="FangSong" w:hAnsi="FangSong" w:eastAsia="FangSong" w:cs="FangSong"/>
          <w:sz w:val="23"/>
          <w:szCs w:val="23"/>
        </w:rPr>
      </w:pPr>
      <w:r>
        <w:rPr>
          <w:rFonts w:ascii="FangSong" w:hAnsi="FangSong" w:eastAsia="FangSong" w:cs="FangSong"/>
          <w:sz w:val="23"/>
          <w:szCs w:val="23"/>
        </w:rPr>
        <w:t>2025年度兴县教育科技局教学研究室一般公共预算安排基本支出487.31万元，其中：</w:t>
      </w:r>
    </w:p>
    <w:p>
      <w:pPr>
        <w:ind w:left="663" w:right="623" w:firstLine="464"/>
        <w:spacing w:before="133" w:line="311" w:lineRule="auto"/>
        <w:rPr>
          <w:rFonts w:ascii="FangSong" w:hAnsi="FangSong" w:eastAsia="FangSong" w:cs="FangSong"/>
          <w:sz w:val="23"/>
          <w:szCs w:val="23"/>
        </w:rPr>
      </w:pPr>
      <w:r>
        <w:rPr>
          <w:rFonts w:ascii="FangSong" w:hAnsi="FangSong" w:eastAsia="FangSong" w:cs="FangSong"/>
          <w:sz w:val="23"/>
          <w:szCs w:val="23"/>
          <w:spacing w:val="5"/>
        </w:rPr>
        <w:t>人员经费466.54万元，主要包括：其他对个人和家庭的补助、其他工资福利支出、其他</w:t>
      </w:r>
      <w:r>
        <w:rPr>
          <w:rFonts w:ascii="FangSong" w:hAnsi="FangSong" w:eastAsia="FangSong" w:cs="FangSong"/>
          <w:sz w:val="23"/>
          <w:szCs w:val="23"/>
          <w:spacing w:val="1"/>
        </w:rPr>
        <w:t xml:space="preserve"> </w:t>
      </w:r>
      <w:r>
        <w:rPr>
          <w:rFonts w:ascii="FangSong" w:hAnsi="FangSong" w:eastAsia="FangSong" w:cs="FangSong"/>
          <w:sz w:val="23"/>
          <w:szCs w:val="23"/>
          <w:spacing w:val="5"/>
        </w:rPr>
        <w:t>社会保障缴费、绩效工资、基本工资、机关事业单位基本养老保险缴费、住房公积金、退休</w:t>
      </w:r>
      <w:r>
        <w:rPr>
          <w:rFonts w:ascii="FangSong" w:hAnsi="FangSong" w:eastAsia="FangSong" w:cs="FangSong"/>
          <w:sz w:val="23"/>
          <w:szCs w:val="23"/>
          <w:spacing w:val="11"/>
        </w:rPr>
        <w:t xml:space="preserve"> </w:t>
      </w:r>
      <w:r>
        <w:rPr>
          <w:rFonts w:ascii="FangSong" w:hAnsi="FangSong" w:eastAsia="FangSong" w:cs="FangSong"/>
          <w:sz w:val="23"/>
          <w:szCs w:val="23"/>
          <w:spacing w:val="-1"/>
        </w:rPr>
        <w:t>费、职工基本医疗保险缴费、津贴补贴等；</w:t>
      </w:r>
    </w:p>
    <w:p>
      <w:pPr>
        <w:ind w:left="1129"/>
        <w:spacing w:before="49" w:line="223" w:lineRule="auto"/>
        <w:rPr>
          <w:rFonts w:ascii="FangSong" w:hAnsi="FangSong" w:eastAsia="FangSong" w:cs="FangSong"/>
          <w:sz w:val="23"/>
          <w:szCs w:val="23"/>
        </w:rPr>
      </w:pPr>
      <w:r>
        <w:rPr>
          <w:rFonts w:ascii="FangSong" w:hAnsi="FangSong" w:eastAsia="FangSong" w:cs="FangSong"/>
          <w:sz w:val="23"/>
          <w:szCs w:val="23"/>
        </w:rPr>
        <w:t>公用经费20.76万元，主要包括：办公费、福利费、工会经费、取暖</w:t>
      </w:r>
      <w:r>
        <w:rPr>
          <w:rFonts w:ascii="FangSong" w:hAnsi="FangSong" w:eastAsia="FangSong" w:cs="FangSong"/>
          <w:sz w:val="23"/>
          <w:szCs w:val="23"/>
          <w:spacing w:val="-1"/>
        </w:rPr>
        <w:t>费等。</w:t>
      </w:r>
    </w:p>
    <w:p>
      <w:pPr>
        <w:ind w:left="655"/>
        <w:spacing w:before="119" w:line="229" w:lineRule="exact"/>
        <w:outlineLvl w:val="1"/>
        <w:rPr>
          <w:rFonts w:ascii="Microsoft YaHei" w:hAnsi="Microsoft YaHei" w:eastAsia="Microsoft YaHei" w:cs="Microsoft YaHei"/>
          <w:sz w:val="22"/>
          <w:szCs w:val="22"/>
        </w:rPr>
      </w:pPr>
      <w:bookmarkStart w:name="bookmark26" w:id="74"/>
      <w:bookmarkEnd w:id="74"/>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31" w:line="230" w:lineRule="exact"/>
        <w:outlineLvl w:val="1"/>
        <w:rPr>
          <w:rFonts w:ascii="Microsoft YaHei" w:hAnsi="Microsoft YaHei" w:eastAsia="Microsoft YaHei" w:cs="Microsoft YaHei"/>
          <w:sz w:val="23"/>
          <w:szCs w:val="23"/>
        </w:rPr>
      </w:pPr>
      <w:bookmarkStart w:name="bookmark27" w:id="75"/>
      <w:bookmarkEnd w:id="75"/>
      <w:r>
        <w:rPr>
          <w:rFonts w:ascii="Microsoft YaHei" w:hAnsi="Microsoft YaHei" w:eastAsia="Microsoft YaHei" w:cs="Microsoft YaHei"/>
          <w:sz w:val="23"/>
          <w:szCs w:val="23"/>
          <w:spacing w:val="-1"/>
          <w:position w:val="-1"/>
        </w:rPr>
        <w:t>八、机关运行经费增减变动原因说明</w:t>
      </w:r>
    </w:p>
    <w:p>
      <w:pPr>
        <w:ind w:left="1133"/>
        <w:spacing w:before="175" w:line="221" w:lineRule="auto"/>
        <w:rPr>
          <w:rFonts w:ascii="FangSong" w:hAnsi="FangSong" w:eastAsia="FangSong" w:cs="FangSong"/>
          <w:sz w:val="23"/>
          <w:szCs w:val="23"/>
        </w:rPr>
      </w:pPr>
      <w:r>
        <w:rPr>
          <w:rFonts w:ascii="FangSong" w:hAnsi="FangSong" w:eastAsia="FangSong" w:cs="FangSong"/>
          <w:sz w:val="23"/>
          <w:szCs w:val="23"/>
          <w:spacing w:val="-1"/>
        </w:rPr>
        <w:t>我单位为事业单位，无机关运行经费。</w:t>
      </w:r>
    </w:p>
    <w:p>
      <w:pPr>
        <w:ind w:left="658"/>
        <w:spacing w:before="122" w:line="225" w:lineRule="exact"/>
        <w:outlineLvl w:val="1"/>
        <w:rPr>
          <w:rFonts w:ascii="Microsoft YaHei" w:hAnsi="Microsoft YaHei" w:eastAsia="Microsoft YaHei" w:cs="Microsoft YaHei"/>
          <w:sz w:val="22"/>
          <w:szCs w:val="22"/>
        </w:rPr>
      </w:pPr>
      <w:bookmarkStart w:name="bookmark28" w:id="76"/>
      <w:bookmarkEnd w:id="76"/>
      <w:r>
        <w:rPr>
          <w:rFonts w:ascii="Microsoft YaHei" w:hAnsi="Microsoft YaHei" w:eastAsia="Microsoft YaHei" w:cs="Microsoft YaHei"/>
          <w:sz w:val="22"/>
          <w:szCs w:val="22"/>
          <w:spacing w:val="9"/>
          <w:position w:val="-1"/>
        </w:rPr>
        <w:t>九、政府采购情况</w:t>
      </w:r>
    </w:p>
    <w:p>
      <w:pPr>
        <w:ind w:left="665" w:right="623" w:firstLine="454"/>
        <w:spacing w:before="188" w:line="306" w:lineRule="auto"/>
        <w:rPr>
          <w:rFonts w:ascii="FangSong" w:hAnsi="FangSong" w:eastAsia="FangSong" w:cs="FangSong"/>
          <w:sz w:val="23"/>
          <w:szCs w:val="23"/>
        </w:rPr>
      </w:pPr>
      <w:r>
        <w:rPr>
          <w:rFonts w:ascii="FangSong" w:hAnsi="FangSong" w:eastAsia="FangSong" w:cs="FangSong"/>
          <w:sz w:val="23"/>
          <w:szCs w:val="23"/>
          <w:spacing w:val="5"/>
        </w:rPr>
        <w:t>2025年兴县教育科技局教学研究室政府采购预算总额0万元。其中：政府采购货物预算0</w:t>
      </w:r>
      <w:r>
        <w:rPr>
          <w:rFonts w:ascii="FangSong" w:hAnsi="FangSong" w:eastAsia="FangSong" w:cs="FangSong"/>
          <w:sz w:val="23"/>
          <w:szCs w:val="23"/>
          <w:spacing w:val="9"/>
        </w:rPr>
        <w:t xml:space="preserve"> </w:t>
      </w:r>
      <w:r>
        <w:rPr>
          <w:rFonts w:ascii="FangSong" w:hAnsi="FangSong" w:eastAsia="FangSong" w:cs="FangSong"/>
          <w:sz w:val="23"/>
          <w:szCs w:val="23"/>
        </w:rPr>
        <w:t>万元、政府采购工程预算0万元、政府采购服务预算</w:t>
      </w:r>
      <w:r>
        <w:rPr>
          <w:rFonts w:ascii="FangSong" w:hAnsi="FangSong" w:eastAsia="FangSong" w:cs="FangSong"/>
          <w:sz w:val="23"/>
          <w:szCs w:val="23"/>
          <w:spacing w:val="-1"/>
        </w:rPr>
        <w:t>0万元。</w:t>
      </w:r>
    </w:p>
    <w:p>
      <w:pPr>
        <w:ind w:left="660"/>
        <w:spacing w:before="33" w:line="230" w:lineRule="exact"/>
        <w:outlineLvl w:val="1"/>
        <w:rPr>
          <w:rFonts w:ascii="Microsoft YaHei" w:hAnsi="Microsoft YaHei" w:eastAsia="Microsoft YaHei" w:cs="Microsoft YaHei"/>
          <w:sz w:val="22"/>
          <w:szCs w:val="22"/>
        </w:rPr>
      </w:pPr>
      <w:bookmarkStart w:name="bookmark29" w:id="77"/>
      <w:bookmarkEnd w:id="77"/>
      <w:r>
        <w:rPr>
          <w:rFonts w:ascii="Microsoft YaHei" w:hAnsi="Microsoft YaHei" w:eastAsia="Microsoft YaHei" w:cs="Microsoft YaHei"/>
          <w:sz w:val="22"/>
          <w:szCs w:val="22"/>
          <w:spacing w:val="9"/>
          <w:position w:val="-1"/>
        </w:rPr>
        <w:t>十、绩效管理情况</w:t>
      </w:r>
    </w:p>
    <w:p>
      <w:pPr>
        <w:ind w:left="11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3" w:line="221" w:lineRule="auto"/>
        <w:rPr>
          <w:rFonts w:ascii="FangSong" w:hAnsi="FangSong" w:eastAsia="FangSong" w:cs="FangSong"/>
          <w:sz w:val="23"/>
          <w:szCs w:val="23"/>
        </w:rPr>
      </w:pPr>
      <w:r>
        <w:rPr>
          <w:rFonts w:ascii="FangSong" w:hAnsi="FangSong" w:eastAsia="FangSong" w:cs="FangSong"/>
          <w:sz w:val="23"/>
          <w:szCs w:val="23"/>
        </w:rPr>
        <w:t>2024年未编报单位整体绩效目标，涉及资金0万元。</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3" w:right="623" w:firstLine="456"/>
        <w:spacing w:before="136" w:line="317" w:lineRule="auto"/>
        <w:jc w:val="both"/>
        <w:rPr>
          <w:rFonts w:ascii="FangSong" w:hAnsi="FangSong" w:eastAsia="FangSong" w:cs="FangSong"/>
          <w:sz w:val="23"/>
          <w:szCs w:val="23"/>
        </w:rPr>
      </w:pPr>
      <w:r>
        <w:rPr>
          <w:rFonts w:ascii="FangSong" w:hAnsi="FangSong" w:eastAsia="FangSong" w:cs="FangSong"/>
          <w:sz w:val="23"/>
          <w:szCs w:val="23"/>
          <w:spacing w:val="8"/>
        </w:rPr>
        <w:t>2025年兴县教育科技局教学研究室纳入绩效目标管理的2级</w:t>
      </w:r>
      <w:r>
        <w:rPr>
          <w:rFonts w:ascii="FangSong" w:hAnsi="FangSong" w:eastAsia="FangSong" w:cs="FangSong"/>
          <w:sz w:val="23"/>
          <w:szCs w:val="23"/>
          <w:spacing w:val="7"/>
        </w:rPr>
        <w:t>项目2个，共计金额18.98万</w:t>
      </w:r>
      <w:r>
        <w:rPr>
          <w:rFonts w:ascii="FangSong" w:hAnsi="FangSong" w:eastAsia="FangSong" w:cs="FangSong"/>
          <w:sz w:val="23"/>
          <w:szCs w:val="23"/>
        </w:rPr>
        <w:t xml:space="preserve"> </w:t>
      </w:r>
      <w:r>
        <w:rPr>
          <w:rFonts w:ascii="FangSong" w:hAnsi="FangSong" w:eastAsia="FangSong" w:cs="FangSong"/>
          <w:sz w:val="23"/>
          <w:szCs w:val="23"/>
          <w:spacing w:val="2"/>
        </w:rPr>
        <w:t>元。其中：其他运转类项目1个，涉及金额10.00万元；特定目标类项目1个，涉及金额8.98万</w:t>
      </w:r>
      <w:r>
        <w:rPr>
          <w:rFonts w:ascii="FangSong" w:hAnsi="FangSong" w:eastAsia="FangSong" w:cs="FangSong"/>
          <w:sz w:val="23"/>
          <w:szCs w:val="23"/>
          <w:spacing w:val="4"/>
        </w:rPr>
        <w:t xml:space="preserve"> </w:t>
      </w:r>
      <w:r>
        <w:rPr>
          <w:rFonts w:ascii="FangSong" w:hAnsi="FangSong" w:eastAsia="FangSong" w:cs="FangSong"/>
          <w:sz w:val="23"/>
          <w:szCs w:val="23"/>
          <w:spacing w:val="2"/>
        </w:rPr>
        <w:t>元</w:t>
      </w:r>
      <w:r>
        <w:rPr>
          <w:rFonts w:ascii="FangSong" w:hAnsi="FangSong" w:eastAsia="FangSong" w:cs="FangSong"/>
          <w:sz w:val="23"/>
          <w:szCs w:val="23"/>
          <w:spacing w:val="-50"/>
        </w:rPr>
        <w:t xml:space="preserve"> </w:t>
      </w:r>
      <w:r>
        <w:rPr>
          <w:rFonts w:ascii="FangSong" w:hAnsi="FangSong" w:eastAsia="FangSong" w:cs="FangSong"/>
          <w:sz w:val="23"/>
          <w:szCs w:val="23"/>
          <w:spacing w:val="2"/>
        </w:rPr>
        <w:t>。公开项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目绩效</w:t>
      </w:r>
      <w:r>
        <w:rPr>
          <w:rFonts w:ascii="FangSong" w:hAnsi="FangSong" w:eastAsia="FangSong" w:cs="FangSong"/>
          <w:sz w:val="23"/>
          <w:szCs w:val="23"/>
          <w:spacing w:val="-41"/>
        </w:rPr>
        <w:t xml:space="preserve"> </w:t>
      </w:r>
      <w:r>
        <w:rPr>
          <w:rFonts w:ascii="FangSong" w:hAnsi="FangSong" w:eastAsia="FangSong" w:cs="FangSong"/>
          <w:sz w:val="23"/>
          <w:szCs w:val="23"/>
          <w:spacing w:val="2"/>
        </w:rPr>
        <w:t>目标2个</w:t>
      </w:r>
      <w:r>
        <w:rPr>
          <w:rFonts w:ascii="FangSong" w:hAnsi="FangSong" w:eastAsia="FangSong" w:cs="FangSong"/>
          <w:sz w:val="23"/>
          <w:szCs w:val="23"/>
          <w:spacing w:val="-65"/>
        </w:rPr>
        <w:t xml:space="preserve"> </w:t>
      </w:r>
      <w:r>
        <w:rPr>
          <w:rFonts w:ascii="FangSong" w:hAnsi="FangSong" w:eastAsia="FangSong" w:cs="FangSong"/>
          <w:sz w:val="23"/>
          <w:szCs w:val="23"/>
          <w:spacing w:val="2"/>
        </w:rPr>
        <w:t>，涉及项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目金额18.98万元</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41"/>
        </w:rPr>
        <w:t xml:space="preserve"> </w:t>
      </w:r>
      <w:r>
        <w:rPr>
          <w:rFonts w:ascii="FangSong" w:hAnsi="FangSong" w:eastAsia="FangSong" w:cs="FangSong"/>
          <w:sz w:val="23"/>
          <w:szCs w:val="23"/>
          <w:spacing w:val="2"/>
        </w:rPr>
        <w:t>占部门（单位）</w:t>
      </w:r>
      <w:r>
        <w:rPr>
          <w:rFonts w:ascii="FangSong" w:hAnsi="FangSong" w:eastAsia="FangSong" w:cs="FangSong"/>
          <w:sz w:val="23"/>
          <w:szCs w:val="23"/>
          <w:spacing w:val="-61"/>
        </w:rPr>
        <w:t xml:space="preserve"> </w:t>
      </w:r>
      <w:r>
        <w:rPr>
          <w:rFonts w:ascii="FangSong" w:hAnsi="FangSong" w:eastAsia="FangSong" w:cs="FangSong"/>
          <w:sz w:val="23"/>
          <w:szCs w:val="23"/>
          <w:spacing w:val="2"/>
        </w:rPr>
        <w:t>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100%。其中：其他运转类项目1个，涉及项目金额10.00万元；特定目标类项目1个，涉及项目</w:t>
      </w:r>
      <w:r>
        <w:rPr>
          <w:rFonts w:ascii="FangSong" w:hAnsi="FangSong" w:eastAsia="FangSong" w:cs="FangSong"/>
          <w:sz w:val="23"/>
          <w:szCs w:val="23"/>
          <w:spacing w:val="4"/>
        </w:rPr>
        <w:t xml:space="preserve"> </w:t>
      </w:r>
      <w:r>
        <w:rPr>
          <w:rFonts w:ascii="FangSong" w:hAnsi="FangSong" w:eastAsia="FangSong" w:cs="FangSong"/>
          <w:sz w:val="23"/>
          <w:szCs w:val="23"/>
          <w:spacing w:val="-2"/>
        </w:rPr>
        <w:t>金额8.98万元。</w:t>
      </w:r>
    </w:p>
    <w:p>
      <w:pPr>
        <w:ind w:left="664"/>
        <w:spacing w:before="33"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footerReference w:type="default" r:id="rId21"/>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3"/>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10" w:right="600" w:bottom="312" w:left="600" w:header="357" w:footer="153" w:gutter="0"/>
        </w:sectPr>
        <w:rPr/>
      </w:pPr>
    </w:p>
    <w:p>
      <w:pPr>
        <w:spacing w:line="287" w:lineRule="auto"/>
        <w:rPr>
          <w:rFonts w:ascii="Arial"/>
          <w:sz w:val="21"/>
        </w:rPr>
      </w:pPr>
      <w:r/>
    </w:p>
    <w:p>
      <w:pPr>
        <w:spacing w:line="287"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78"/>
      <w:bookmarkEnd w:id="7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7" w:line="310" w:lineRule="auto"/>
        <w:rPr>
          <w:rFonts w:ascii="FangSong" w:hAnsi="FangSong" w:eastAsia="FangSong" w:cs="FangSong"/>
          <w:sz w:val="23"/>
          <w:szCs w:val="23"/>
        </w:rPr>
      </w:pPr>
      <w:r>
        <w:rPr>
          <w:rFonts w:ascii="FangSong" w:hAnsi="FangSong" w:eastAsia="FangSong" w:cs="FangSong"/>
          <w:sz w:val="23"/>
          <w:szCs w:val="23"/>
          <w:spacing w:val="9"/>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日，兴县教育科技局教学研究室共有公务用车编制0辆，实</w:t>
      </w:r>
      <w:r>
        <w:rPr>
          <w:rFonts w:ascii="FangSong" w:hAnsi="FangSong" w:eastAsia="FangSong" w:cs="FangSong"/>
          <w:sz w:val="23"/>
          <w:szCs w:val="23"/>
          <w:spacing w:val="8"/>
        </w:rPr>
        <w:t>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1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日，兴县教育科技局教学研究室使用的办</w:t>
      </w:r>
      <w:r>
        <w:rPr>
          <w:rFonts w:ascii="FangSong" w:hAnsi="FangSong" w:eastAsia="FangSong" w:cs="FangSong"/>
          <w:sz w:val="23"/>
          <w:szCs w:val="23"/>
          <w:spacing w:val="-2"/>
        </w:rPr>
        <w:t>公用房建筑总面积200平方米。</w:t>
      </w:r>
    </w:p>
    <w:p>
      <w:pPr>
        <w:ind w:left="1122"/>
        <w:spacing w:before="122"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3" w:right="623" w:firstLine="461"/>
        <w:spacing w:before="133" w:line="311" w:lineRule="auto"/>
        <w:rPr>
          <w:rFonts w:ascii="FangSong" w:hAnsi="FangSong" w:eastAsia="FangSong" w:cs="FangSong"/>
          <w:sz w:val="23"/>
          <w:szCs w:val="23"/>
        </w:rPr>
      </w:pPr>
      <w:r>
        <w:rPr>
          <w:rFonts w:ascii="FangSong" w:hAnsi="FangSong" w:eastAsia="FangSong" w:cs="FangSong"/>
          <w:sz w:val="23"/>
          <w:szCs w:val="23"/>
          <w:spacing w:val="2"/>
        </w:rPr>
        <w:t>截至2025年5月1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日，兴县教育科技局教学研究室占有使用价值50万元（原值）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w:t>
      </w:r>
      <w:r>
        <w:rPr>
          <w:rFonts w:ascii="FangSong" w:hAnsi="FangSong" w:eastAsia="FangSong" w:cs="FangSong"/>
          <w:sz w:val="23"/>
          <w:szCs w:val="23"/>
        </w:rPr>
        <w:t xml:space="preserve"> </w:t>
      </w:r>
      <w:r>
        <w:rPr>
          <w:rFonts w:ascii="FangSong" w:hAnsi="FangSong" w:eastAsia="FangSong" w:cs="FangSong"/>
          <w:sz w:val="23"/>
          <w:szCs w:val="23"/>
          <w:spacing w:val="3"/>
        </w:rPr>
        <w:t>用设备0台（套</w:t>
      </w:r>
      <w:r>
        <w:rPr>
          <w:rFonts w:ascii="FangSong" w:hAnsi="FangSong" w:eastAsia="FangSong" w:cs="FangSong"/>
          <w:sz w:val="23"/>
          <w:szCs w:val="23"/>
          <w:spacing w:val="20"/>
        </w:rPr>
        <w:t>）；</w:t>
      </w:r>
      <w:r>
        <w:rPr>
          <w:rFonts w:ascii="FangSong" w:hAnsi="FangSong" w:eastAsia="FangSong" w:cs="FangSong"/>
          <w:sz w:val="23"/>
          <w:szCs w:val="23"/>
          <w:spacing w:val="3"/>
        </w:rPr>
        <w:t>兴县教育科技局教学研究室占有使用价值100万元（原值）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以上的通用设</w:t>
      </w:r>
      <w:r>
        <w:rPr>
          <w:rFonts w:ascii="FangSong" w:hAnsi="FangSong" w:eastAsia="FangSong" w:cs="FangSong"/>
          <w:sz w:val="23"/>
          <w:szCs w:val="23"/>
        </w:rPr>
        <w:t xml:space="preserve"> </w:t>
      </w:r>
      <w:r>
        <w:rPr>
          <w:rFonts w:ascii="FangSong" w:hAnsi="FangSong" w:eastAsia="FangSong" w:cs="FangSong"/>
          <w:sz w:val="23"/>
          <w:szCs w:val="23"/>
          <w:spacing w:val="-2"/>
        </w:rPr>
        <w:t>备0台（套）。</w:t>
      </w:r>
    </w:p>
    <w:p>
      <w:pPr>
        <w:ind w:left="660"/>
        <w:spacing w:before="48" w:line="228" w:lineRule="exact"/>
        <w:outlineLvl w:val="1"/>
        <w:rPr>
          <w:rFonts w:ascii="Microsoft YaHei" w:hAnsi="Microsoft YaHei" w:eastAsia="Microsoft YaHei" w:cs="Microsoft YaHei"/>
          <w:sz w:val="22"/>
          <w:szCs w:val="22"/>
        </w:rPr>
      </w:pPr>
      <w:bookmarkStart w:name="bookmark31" w:id="79"/>
      <w:bookmarkEnd w:id="79"/>
      <w:r>
        <w:rPr>
          <w:rFonts w:ascii="Microsoft YaHei" w:hAnsi="Microsoft YaHei" w:eastAsia="Microsoft YaHei" w:cs="Microsoft YaHei"/>
          <w:sz w:val="22"/>
          <w:szCs w:val="22"/>
          <w:spacing w:val="7"/>
          <w:position w:val="-1"/>
        </w:rPr>
        <w:t>十二、其他说明</w:t>
      </w:r>
    </w:p>
    <w:p>
      <w:pPr>
        <w:ind w:left="1125"/>
        <w:spacing w:before="173" w:line="221" w:lineRule="auto"/>
        <w:outlineLvl w:val="2"/>
        <w:rPr>
          <w:rFonts w:ascii="FangSong" w:hAnsi="FangSong" w:eastAsia="FangSong" w:cs="FangSong"/>
          <w:sz w:val="23"/>
          <w:szCs w:val="23"/>
        </w:rPr>
      </w:pPr>
      <w:bookmarkStart w:name="bookmark32" w:id="80"/>
      <w:bookmarkEnd w:id="80"/>
      <w:r>
        <w:rPr>
          <w:rFonts w:ascii="FangSong" w:hAnsi="FangSong" w:eastAsia="FangSong" w:cs="FangSong"/>
          <w:sz w:val="23"/>
          <w:szCs w:val="23"/>
          <w:spacing w:val="-1"/>
        </w:rPr>
        <w:t>（一）政府购买服务指导性目录</w:t>
      </w:r>
    </w:p>
    <w:p>
      <w:pPr>
        <w:ind w:left="1126"/>
        <w:spacing w:before="256" w:line="221" w:lineRule="auto"/>
        <w:rPr>
          <w:rFonts w:ascii="FangSong" w:hAnsi="FangSong" w:eastAsia="FangSong" w:cs="FangSong"/>
          <w:sz w:val="23"/>
          <w:szCs w:val="23"/>
        </w:rPr>
      </w:pPr>
      <w:r>
        <w:rPr>
          <w:rFonts w:ascii="FangSong" w:hAnsi="FangSong" w:eastAsia="FangSong" w:cs="FangSong"/>
          <w:sz w:val="23"/>
          <w:szCs w:val="23"/>
          <w:spacing w:val="-1"/>
        </w:rPr>
        <w:t>本单根据本单位实际情况不需进行修改和完善。</w:t>
      </w:r>
    </w:p>
    <w:p>
      <w:pPr>
        <w:ind w:left="1125"/>
        <w:spacing w:before="265" w:line="222" w:lineRule="auto"/>
        <w:outlineLvl w:val="2"/>
        <w:rPr>
          <w:rFonts w:ascii="FangSong" w:hAnsi="FangSong" w:eastAsia="FangSong" w:cs="FangSong"/>
          <w:sz w:val="23"/>
          <w:szCs w:val="23"/>
        </w:rPr>
      </w:pPr>
      <w:bookmarkStart w:name="bookmark33" w:id="81"/>
      <w:bookmarkEnd w:id="81"/>
      <w:r>
        <w:rPr>
          <w:rFonts w:ascii="FangSong" w:hAnsi="FangSong" w:eastAsia="FangSong" w:cs="FangSong"/>
          <w:sz w:val="23"/>
          <w:szCs w:val="23"/>
          <w:spacing w:val="-3"/>
        </w:rPr>
        <w:t>（二）其他</w:t>
      </w:r>
    </w:p>
    <w:p>
      <w:pPr>
        <w:ind w:left="1126"/>
        <w:spacing w:before="253" w:line="221" w:lineRule="auto"/>
        <w:rPr>
          <w:rFonts w:ascii="FangSong" w:hAnsi="FangSong" w:eastAsia="FangSong" w:cs="FangSong"/>
          <w:sz w:val="23"/>
          <w:szCs w:val="23"/>
        </w:rPr>
      </w:pPr>
      <w:r>
        <w:rPr>
          <w:rFonts w:ascii="FangSong" w:hAnsi="FangSong" w:eastAsia="FangSong" w:cs="FangSong"/>
          <w:sz w:val="23"/>
          <w:szCs w:val="23"/>
          <w:spacing w:val="-1"/>
        </w:rPr>
        <w:t>本单位未新建专项资金管理办法。</w:t>
      </w:r>
    </w:p>
    <w:p>
      <w:pPr>
        <w:spacing w:line="221" w:lineRule="auto"/>
        <w:sectPr>
          <w:footerReference w:type="default" r:id="rId27"/>
          <w:pgSz w:w="11900" w:h="16840"/>
          <w:pgMar w:top="610" w:right="600" w:bottom="312" w:left="600" w:header="357" w:footer="153" w:gutter="0"/>
        </w:sectPr>
        <w:rPr>
          <w:rFonts w:ascii="FangSong" w:hAnsi="FangSong" w:eastAsia="FangSong" w:cs="FangSong"/>
          <w:sz w:val="23"/>
          <w:szCs w:val="23"/>
        </w:rPr>
      </w:pPr>
    </w:p>
    <w:p>
      <w:pPr>
        <w:spacing w:line="293" w:lineRule="auto"/>
        <w:rPr>
          <w:rFonts w:ascii="Arial"/>
          <w:sz w:val="21"/>
        </w:rPr>
      </w:pPr>
      <w:r/>
    </w:p>
    <w:p>
      <w:pPr>
        <w:spacing w:line="294"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12" name="IM 12"/>
            <wp:cNvGraphicFramePr/>
            <a:graphic>
              <a:graphicData uri="http://schemas.openxmlformats.org/drawingml/2006/picture">
                <pic:pic>
                  <pic:nvPicPr>
                    <pic:cNvPr id="12" name="IM 12"/>
                    <pic:cNvPicPr/>
                  </pic:nvPicPr>
                  <pic:blipFill>
                    <a:blip r:embed="rId29"/>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28"/>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0"/>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2"/>
          <w:pgSz w:w="11900" w:h="16840"/>
          <w:pgMar w:top="610" w:right="600" w:bottom="312" w:left="600" w:header="357" w:footer="153" w:gutter="0"/>
        </w:sectPr>
        <w:rPr/>
      </w:pPr>
    </w:p>
    <w:p>
      <w:pPr>
        <w:spacing w:line="293" w:lineRule="auto"/>
        <w:rPr>
          <w:rFonts w:ascii="Arial"/>
          <w:sz w:val="21"/>
        </w:rPr>
      </w:pPr>
      <w:r/>
    </w:p>
    <w:p>
      <w:pPr>
        <w:spacing w:line="294"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4"/>
          <w:pgSz w:w="11900" w:h="16840"/>
          <w:pgMar w:top="610" w:right="600" w:bottom="312" w:left="600" w:header="357" w:footer="153" w:gutter="0"/>
        </w:sectPr>
        <w:rPr/>
      </w:pPr>
    </w:p>
    <w:p>
      <w:pPr>
        <w:spacing w:line="285" w:lineRule="auto"/>
        <w:rPr>
          <w:rFonts w:ascii="Arial"/>
          <w:sz w:val="21"/>
        </w:rPr>
      </w:pPr>
      <w:r/>
    </w:p>
    <w:p>
      <w:pPr>
        <w:spacing w:line="286" w:lineRule="auto"/>
        <w:rPr>
          <w:rFonts w:ascii="Arial"/>
          <w:sz w:val="21"/>
        </w:rPr>
      </w:pPr>
      <w:r/>
    </w:p>
    <w:p>
      <w:pPr>
        <w:ind w:left="4386"/>
        <w:spacing w:before="95" w:line="228" w:lineRule="exact"/>
        <w:outlineLvl w:val="0"/>
        <w:rPr>
          <w:rFonts w:ascii="Microsoft YaHei" w:hAnsi="Microsoft YaHei" w:eastAsia="Microsoft YaHei" w:cs="Microsoft YaHei"/>
          <w:sz w:val="22"/>
          <w:szCs w:val="22"/>
        </w:rPr>
      </w:pPr>
      <w:bookmarkStart w:name="bookmark34" w:id="83"/>
      <w:bookmarkEnd w:id="8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6"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7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4"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36"/>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2" w:lineRule="auto"/>
      <w:rPr>
        <w:sz w:val="16"/>
        <w:szCs w:val="16"/>
      </w:rPr>
    </w:pPr>
    <w:r>
      <w:rPr>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bookmarkStart w:name="bookmark49" w:id="82"/>
    <w:bookmarkEnd w:id="82"/>
    <w:r>
      <w:rPr>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10"/>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171" w:lineRule="auto"/>
      <w:rPr>
        <w:sz w:val="16"/>
        <w:szCs w:val="16"/>
      </w:rPr>
    </w:pPr>
    <w:r>
      <w:rPr>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0" w:lineRule="auto"/>
      <w:rPr>
        <w:sz w:val="16"/>
        <w:szCs w:val="16"/>
      </w:rPr>
    </w:pPr>
    <w:r>
      <w:rPr>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171" w:lineRule="auto"/>
      <w:rPr>
        <w:sz w:val="16"/>
        <w:szCs w:val="16"/>
      </w:rPr>
    </w:pPr>
    <w:r>
      <w:rPr>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兴县教育科技局教学研究室2025年单位预算公开报告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1" w:line="210" w:lineRule="exact"/>
      <w:rPr>
        <w:sz w:val="16"/>
        <w:szCs w:val="16"/>
      </w:rPr>
    </w:pPr>
    <w:r>
      <w:rPr>
        <w:sz w:val="16"/>
        <w:szCs w:val="16"/>
        <w:spacing w:val="-2"/>
        <w:position w:val="1"/>
      </w:rPr>
      <w:t>兴县教育科技局教学研究室2025年单位预算公开报告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styles" Target="styles.xml"/><Relationship Id="rId37" Type="http://schemas.openxmlformats.org/officeDocument/2006/relationships/settings" Target="settings.xml"/><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2025-05-07T19:13:17Z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2025-09-25T13:52:23</vt:filetime>
  </property>
</Properties>
</file>