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兴县2021年食品安全监督抽检分析情况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通报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left"/>
        <w:textAlignment w:val="auto"/>
        <w:outlineLvl w:val="9"/>
        <w:rPr>
          <w:rStyle w:val="9"/>
          <w:rFonts w:hint="eastAsia" w:ascii="仿宋_GB2312" w:hAnsi="仿宋_GB2312" w:eastAsia="仿宋_GB2312" w:cs="仿宋_GB2312"/>
          <w:b w:val="0"/>
          <w:bCs/>
          <w:sz w:val="32"/>
          <w:szCs w:val="32"/>
          <w:lang w:eastAsia="zh-CN"/>
        </w:rPr>
      </w:pPr>
      <w:bookmarkStart w:id="0" w:name="_Toc31980"/>
      <w:bookmarkStart w:id="1" w:name="_Toc11745"/>
      <w:bookmarkStart w:id="2" w:name="_Toc22073"/>
      <w:bookmarkStart w:id="3" w:name="_Toc15708"/>
      <w:r>
        <w:rPr>
          <w:rStyle w:val="9"/>
          <w:rFonts w:hint="eastAsia" w:ascii="仿宋_GB2312" w:hAnsi="仿宋_GB2312" w:eastAsia="仿宋_GB2312" w:cs="仿宋_GB2312"/>
          <w:b w:val="0"/>
          <w:bCs/>
          <w:sz w:val="32"/>
          <w:szCs w:val="32"/>
          <w:lang w:eastAsia="zh-CN"/>
        </w:rPr>
        <w:t>为进一步健全完善食品安全抽检监测工作体系，提升工作质效和风险防控水平，科学规范做好食品安全抽检工作，根据《</w:t>
      </w:r>
      <w:r>
        <w:rPr>
          <w:rStyle w:val="9"/>
          <w:rFonts w:hint="eastAsia" w:ascii="仿宋_GB2312" w:hAnsi="仿宋_GB2312" w:eastAsia="仿宋_GB2312" w:cs="仿宋_GB2312"/>
          <w:b w:val="0"/>
          <w:bCs/>
          <w:sz w:val="32"/>
          <w:szCs w:val="32"/>
          <w:lang w:val="en-US" w:eastAsia="zh-CN"/>
        </w:rPr>
        <w:t>吕梁市</w:t>
      </w:r>
      <w:r>
        <w:rPr>
          <w:rStyle w:val="9"/>
          <w:rFonts w:hint="eastAsia" w:ascii="仿宋_GB2312" w:hAnsi="仿宋_GB2312" w:eastAsia="仿宋_GB2312" w:cs="仿宋_GB2312"/>
          <w:b w:val="0"/>
          <w:bCs/>
          <w:sz w:val="32"/>
          <w:szCs w:val="32"/>
          <w:lang w:eastAsia="zh-CN"/>
        </w:rPr>
        <w:t>市场监督管理局关于印发20</w:t>
      </w:r>
      <w:r>
        <w:rPr>
          <w:rStyle w:val="9"/>
          <w:rFonts w:hint="eastAsia" w:ascii="仿宋_GB2312" w:hAnsi="仿宋_GB2312" w:eastAsia="仿宋_GB2312" w:cs="仿宋_GB2312"/>
          <w:b w:val="0"/>
          <w:bCs/>
          <w:sz w:val="32"/>
          <w:szCs w:val="32"/>
          <w:lang w:val="en-US" w:eastAsia="zh-CN"/>
        </w:rPr>
        <w:t>21</w:t>
      </w:r>
      <w:r>
        <w:rPr>
          <w:rStyle w:val="9"/>
          <w:rFonts w:hint="eastAsia" w:ascii="仿宋_GB2312" w:hAnsi="仿宋_GB2312" w:eastAsia="仿宋_GB2312" w:cs="仿宋_GB2312"/>
          <w:b w:val="0"/>
          <w:bCs/>
          <w:sz w:val="32"/>
          <w:szCs w:val="32"/>
          <w:lang w:eastAsia="zh-CN"/>
        </w:rPr>
        <w:t>年</w:t>
      </w:r>
      <w:r>
        <w:rPr>
          <w:rStyle w:val="9"/>
          <w:rFonts w:hint="eastAsia" w:ascii="仿宋_GB2312" w:hAnsi="仿宋_GB2312" w:eastAsia="仿宋_GB2312" w:cs="仿宋_GB2312"/>
          <w:b w:val="0"/>
          <w:bCs/>
          <w:sz w:val="32"/>
          <w:szCs w:val="32"/>
          <w:lang w:val="en-US" w:eastAsia="zh-CN"/>
        </w:rPr>
        <w:t>全市</w:t>
      </w:r>
      <w:r>
        <w:rPr>
          <w:rStyle w:val="9"/>
          <w:rFonts w:hint="eastAsia" w:ascii="仿宋_GB2312" w:hAnsi="仿宋_GB2312" w:eastAsia="仿宋_GB2312" w:cs="仿宋_GB2312"/>
          <w:b w:val="0"/>
          <w:bCs/>
          <w:sz w:val="32"/>
          <w:szCs w:val="32"/>
          <w:lang w:eastAsia="zh-CN"/>
        </w:rPr>
        <w:t>食品安全监督抽检实施方案的通知》（</w:t>
      </w:r>
      <w:r>
        <w:rPr>
          <w:rStyle w:val="9"/>
          <w:rFonts w:hint="eastAsia" w:ascii="仿宋_GB2312" w:hAnsi="仿宋_GB2312" w:eastAsia="仿宋_GB2312" w:cs="仿宋_GB2312"/>
          <w:b w:val="0"/>
          <w:bCs/>
          <w:sz w:val="32"/>
          <w:szCs w:val="32"/>
          <w:lang w:val="en-US" w:eastAsia="zh-CN"/>
        </w:rPr>
        <w:t>吕</w:t>
      </w:r>
      <w:r>
        <w:rPr>
          <w:rStyle w:val="9"/>
          <w:rFonts w:hint="eastAsia" w:ascii="仿宋_GB2312" w:hAnsi="仿宋_GB2312" w:eastAsia="仿宋_GB2312" w:cs="仿宋_GB2312"/>
          <w:b w:val="0"/>
          <w:bCs/>
          <w:sz w:val="32"/>
          <w:szCs w:val="32"/>
          <w:lang w:eastAsia="zh-CN"/>
        </w:rPr>
        <w:t>市监发〔20</w:t>
      </w:r>
      <w:r>
        <w:rPr>
          <w:rStyle w:val="9"/>
          <w:rFonts w:hint="eastAsia" w:ascii="仿宋_GB2312" w:hAnsi="仿宋_GB2312" w:eastAsia="仿宋_GB2312" w:cs="仿宋_GB2312"/>
          <w:b w:val="0"/>
          <w:bCs/>
          <w:sz w:val="32"/>
          <w:szCs w:val="32"/>
          <w:lang w:val="en-US" w:eastAsia="zh-CN"/>
        </w:rPr>
        <w:t>21</w:t>
      </w:r>
      <w:r>
        <w:rPr>
          <w:rStyle w:val="9"/>
          <w:rFonts w:hint="eastAsia" w:ascii="仿宋_GB2312" w:hAnsi="仿宋_GB2312" w:eastAsia="仿宋_GB2312" w:cs="仿宋_GB2312"/>
          <w:b w:val="0"/>
          <w:bCs/>
          <w:sz w:val="32"/>
          <w:szCs w:val="32"/>
          <w:lang w:eastAsia="zh-CN"/>
        </w:rPr>
        <w:t>〕</w:t>
      </w:r>
      <w:r>
        <w:rPr>
          <w:rStyle w:val="9"/>
          <w:rFonts w:hint="eastAsia" w:ascii="仿宋_GB2312" w:hAnsi="仿宋_GB2312" w:eastAsia="仿宋_GB2312" w:cs="仿宋_GB2312"/>
          <w:b w:val="0"/>
          <w:bCs/>
          <w:sz w:val="32"/>
          <w:szCs w:val="32"/>
          <w:lang w:val="en-US" w:eastAsia="zh-CN"/>
        </w:rPr>
        <w:t>94</w:t>
      </w:r>
      <w:r>
        <w:rPr>
          <w:rStyle w:val="9"/>
          <w:rFonts w:hint="eastAsia" w:ascii="仿宋_GB2312" w:hAnsi="仿宋_GB2312" w:eastAsia="仿宋_GB2312" w:cs="仿宋_GB2312"/>
          <w:b w:val="0"/>
          <w:bCs/>
          <w:sz w:val="32"/>
          <w:szCs w:val="32"/>
          <w:lang w:eastAsia="zh-CN"/>
        </w:rPr>
        <w:t>号），结合我</w:t>
      </w:r>
      <w:r>
        <w:rPr>
          <w:rStyle w:val="9"/>
          <w:rFonts w:hint="eastAsia" w:ascii="仿宋_GB2312" w:hAnsi="仿宋_GB2312" w:eastAsia="仿宋_GB2312" w:cs="仿宋_GB2312"/>
          <w:b w:val="0"/>
          <w:bCs/>
          <w:sz w:val="32"/>
          <w:szCs w:val="32"/>
          <w:lang w:val="en-US" w:eastAsia="zh-CN"/>
        </w:rPr>
        <w:t>县创安</w:t>
      </w:r>
      <w:r>
        <w:rPr>
          <w:rStyle w:val="9"/>
          <w:rFonts w:hint="eastAsia" w:ascii="仿宋_GB2312" w:hAnsi="仿宋_GB2312" w:eastAsia="仿宋_GB2312" w:cs="仿宋_GB2312"/>
          <w:b w:val="0"/>
          <w:bCs/>
          <w:sz w:val="32"/>
          <w:szCs w:val="32"/>
          <w:lang w:eastAsia="zh-CN"/>
        </w:rPr>
        <w:t>实际，开展了</w:t>
      </w:r>
      <w:r>
        <w:rPr>
          <w:rStyle w:val="9"/>
          <w:rFonts w:hint="eastAsia" w:ascii="仿宋_GB2312" w:hAnsi="仿宋_GB2312" w:eastAsia="仿宋_GB2312" w:cs="仿宋_GB2312"/>
          <w:b w:val="0"/>
          <w:bCs/>
          <w:sz w:val="32"/>
          <w:szCs w:val="32"/>
          <w:lang w:val="en-US" w:eastAsia="zh-CN"/>
        </w:rPr>
        <w:t>2021</w:t>
      </w:r>
      <w:r>
        <w:rPr>
          <w:rStyle w:val="9"/>
          <w:rFonts w:hint="eastAsia" w:ascii="仿宋_GB2312" w:hAnsi="仿宋_GB2312" w:eastAsia="仿宋_GB2312" w:cs="仿宋_GB2312"/>
          <w:b w:val="0"/>
          <w:bCs/>
          <w:sz w:val="32"/>
          <w:szCs w:val="32"/>
          <w:lang w:eastAsia="zh-CN"/>
        </w:rPr>
        <w:t>年度的食品安全监督抽检工作，现将抽查检验结果分析情况通报如下：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left"/>
        <w:textAlignment w:val="auto"/>
        <w:outlineLvl w:val="9"/>
        <w:rPr>
          <w:rStyle w:val="9"/>
          <w:rFonts w:hint="eastAsia" w:ascii="黑体" w:hAnsi="黑体" w:eastAsia="黑体" w:cs="黑体"/>
          <w:b/>
          <w:bCs w:val="0"/>
          <w:sz w:val="32"/>
          <w:szCs w:val="32"/>
          <w:lang w:eastAsia="zh-CN"/>
        </w:rPr>
      </w:pPr>
      <w:r>
        <w:rPr>
          <w:rStyle w:val="9"/>
          <w:rFonts w:hint="eastAsia" w:ascii="黑体" w:hAnsi="黑体" w:eastAsia="黑体" w:cs="黑体"/>
          <w:b/>
          <w:bCs w:val="0"/>
          <w:sz w:val="32"/>
          <w:szCs w:val="32"/>
          <w:lang w:eastAsia="zh-CN"/>
        </w:rPr>
        <w:t>一、抽检整体情况</w:t>
      </w:r>
      <w:bookmarkEnd w:id="0"/>
      <w:bookmarkEnd w:id="1"/>
      <w:bookmarkEnd w:id="2"/>
      <w:bookmarkEnd w:id="3"/>
    </w:p>
    <w:p>
      <w:pPr>
        <w:bidi w:val="0"/>
        <w:ind w:firstLine="642"/>
        <w:rPr>
          <w:rFonts w:hint="eastAsia" w:ascii="仿宋_GB2312" w:hAnsi="仿宋_GB2312" w:eastAsia="仿宋_GB2312" w:cs="仿宋_GB2312"/>
          <w:b/>
          <w:bCs/>
          <w:sz w:val="32"/>
          <w:szCs w:val="32"/>
          <w:lang w:val="en-US" w:eastAsia="zh-CN"/>
        </w:rPr>
      </w:pPr>
      <w:bookmarkStart w:id="4" w:name="_Toc15270"/>
      <w:r>
        <w:rPr>
          <w:rFonts w:hint="eastAsia" w:ascii="仿宋_GB2312" w:hAnsi="仿宋_GB2312" w:eastAsia="仿宋_GB2312" w:cs="仿宋_GB2312"/>
          <w:b/>
          <w:bCs/>
          <w:sz w:val="32"/>
          <w:szCs w:val="32"/>
          <w:lang w:val="en-US" w:eastAsia="zh-CN"/>
        </w:rPr>
        <w:t>1、2021年食品安全监督抽检占比情况</w:t>
      </w:r>
    </w:p>
    <w:p>
      <w:pPr>
        <w:bidi w:val="0"/>
        <w:ind w:firstLine="640" w:firstLineChars="200"/>
        <w:jc w:val="left"/>
        <w:rPr>
          <w:rFonts w:hint="eastAsia" w:ascii="仿宋_GB2312" w:hAnsi="仿宋_GB2312" w:eastAsia="仿宋_GB2312" w:cs="仿宋_GB2312"/>
          <w:sz w:val="32"/>
          <w:szCs w:val="32"/>
          <w:lang w:val="en-US" w:eastAsia="zh-CN"/>
        </w:rPr>
      </w:pPr>
      <w:bookmarkStart w:id="10" w:name="_GoBack"/>
      <w:bookmarkEnd w:id="10"/>
      <w:r>
        <w:rPr>
          <w:rFonts w:hint="eastAsia" w:ascii="仿宋_GB2312" w:hAnsi="仿宋_GB2312" w:eastAsia="仿宋_GB2312" w:cs="仿宋_GB2312"/>
          <w:sz w:val="32"/>
          <w:szCs w:val="32"/>
          <w:lang w:val="en-US" w:eastAsia="zh-CN"/>
        </w:rPr>
        <w:t>2021年县局计划组织抽检1365批次食品（包括监督抽检1165批次，风险监测等200批次，组织开展“你点我检”食品专项抽检200批次），截止2021年11月30日，共抽检1365批次（包括食品安全监督抽检1165批次，送检、食品监测200批次）。</w:t>
      </w:r>
      <w:bookmarkEnd w:id="4"/>
    </w:p>
    <w:p>
      <w:pPr>
        <w:bidi w:val="0"/>
        <w:ind w:firstLine="640" w:firstLineChars="200"/>
        <w:jc w:val="left"/>
        <w:rPr>
          <w:rFonts w:hint="eastAsia" w:ascii="仿宋" w:hAnsi="仿宋" w:cs="仿宋"/>
          <w:lang w:val="en-US" w:eastAsia="zh-CN"/>
        </w:rPr>
      </w:pPr>
      <w:r>
        <w:rPr>
          <w:rFonts w:hint="eastAsia" w:ascii="仿宋_GB2312" w:hAnsi="仿宋_GB2312" w:eastAsia="仿宋_GB2312" w:cs="仿宋_GB2312"/>
          <w:sz w:val="32"/>
          <w:szCs w:val="32"/>
          <w:lang w:val="en-US" w:eastAsia="zh-CN"/>
        </w:rPr>
        <w:t>监督抽检1165批次食品（包括组织开展“你点我检”食品专项抽检2期200批），其中食用农产品抽检437批次，占总批次的37.5%；普通食品抽检728批次，占总批次的62.5%。（</w:t>
      </w:r>
      <w:r>
        <w:rPr>
          <w:rFonts w:hint="eastAsia" w:ascii="仿宋_GB2312" w:hAnsi="仿宋_GB2312" w:eastAsia="仿宋_GB2312" w:cs="仿宋_GB2312"/>
          <w:sz w:val="32"/>
          <w:szCs w:val="32"/>
        </w:rPr>
        <w:t>具体见：</w:t>
      </w:r>
      <w:r>
        <w:rPr>
          <w:rFonts w:hint="eastAsia" w:ascii="仿宋_GB2312" w:hAnsi="仿宋_GB2312" w:eastAsia="仿宋_GB2312" w:cs="仿宋_GB2312"/>
          <w:sz w:val="32"/>
          <w:szCs w:val="32"/>
          <w:lang w:val="en-US" w:eastAsia="zh-CN"/>
        </w:rPr>
        <w:t>表1 2021年食品安全监督抽检占比情况表、</w:t>
      </w:r>
      <w:r>
        <w:rPr>
          <w:rFonts w:hint="eastAsia" w:ascii="仿宋_GB2312" w:hAnsi="仿宋_GB2312" w:eastAsia="仿宋_GB2312" w:cs="仿宋_GB2312"/>
          <w:sz w:val="32"/>
          <w:szCs w:val="32"/>
        </w:rPr>
        <w:t>图1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年食品安全监督抽检占比情况</w:t>
      </w: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lang w:val="en-US" w:eastAsia="zh-CN"/>
        </w:rPr>
        <w:t>）</w:t>
      </w: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表1 2021年食品安全监督抽检占比情况表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16"/>
        <w:gridCol w:w="2640"/>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616" w:type="dxa"/>
            <w:shd w:val="clear" w:color="auto" w:fill="E2EFDA" w:themeFill="accent6" w:themeFillTint="32"/>
            <w:tcMar>
              <w:top w:w="15" w:type="dxa"/>
              <w:left w:w="15" w:type="dxa"/>
              <w:right w:w="15" w:type="dxa"/>
            </w:tcMar>
            <w:vAlign w:val="center"/>
          </w:tcPr>
          <w:p>
            <w:pPr>
              <w:bidi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食品大类</w:t>
            </w:r>
          </w:p>
        </w:tc>
        <w:tc>
          <w:tcPr>
            <w:tcW w:w="2640" w:type="dxa"/>
            <w:shd w:val="clear" w:color="auto" w:fill="E2EFDA" w:themeFill="accent6" w:themeFillTint="32"/>
            <w:tcMar>
              <w:top w:w="15" w:type="dxa"/>
              <w:left w:w="15" w:type="dxa"/>
              <w:right w:w="15" w:type="dxa"/>
            </w:tcMar>
            <w:vAlign w:val="center"/>
          </w:tcPr>
          <w:p>
            <w:pPr>
              <w:bidi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抽检批次</w:t>
            </w:r>
          </w:p>
        </w:tc>
        <w:tc>
          <w:tcPr>
            <w:tcW w:w="2685" w:type="dxa"/>
            <w:shd w:val="clear" w:color="auto" w:fill="E2EFDA" w:themeFill="accent6" w:themeFillTint="32"/>
            <w:tcMar>
              <w:top w:w="15" w:type="dxa"/>
              <w:left w:w="15" w:type="dxa"/>
              <w:right w:w="15" w:type="dxa"/>
            </w:tcMar>
            <w:vAlign w:val="center"/>
          </w:tcPr>
          <w:p>
            <w:pPr>
              <w:bidi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616" w:type="dxa"/>
            <w:tcMar>
              <w:top w:w="15" w:type="dxa"/>
              <w:left w:w="15" w:type="dxa"/>
              <w:right w:w="15" w:type="dxa"/>
            </w:tcMar>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食用农产品</w:t>
            </w:r>
          </w:p>
        </w:tc>
        <w:tc>
          <w:tcPr>
            <w:tcW w:w="2640" w:type="dxa"/>
            <w:tcMar>
              <w:top w:w="15" w:type="dxa"/>
              <w:left w:w="15" w:type="dxa"/>
              <w:right w:w="15" w:type="dxa"/>
            </w:tcMar>
            <w:vAlign w:val="center"/>
          </w:tcPr>
          <w:p>
            <w:pPr>
              <w:bidi w:val="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437</w:t>
            </w:r>
          </w:p>
        </w:tc>
        <w:tc>
          <w:tcPr>
            <w:tcW w:w="2685" w:type="dxa"/>
            <w:tcMar>
              <w:top w:w="15" w:type="dxa"/>
              <w:left w:w="15" w:type="dxa"/>
              <w:right w:w="15" w:type="dxa"/>
            </w:tcMar>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616" w:type="dxa"/>
            <w:tcMar>
              <w:top w:w="15" w:type="dxa"/>
              <w:left w:w="15" w:type="dxa"/>
              <w:right w:w="15" w:type="dxa"/>
            </w:tcMar>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普通食品</w:t>
            </w:r>
          </w:p>
        </w:tc>
        <w:tc>
          <w:tcPr>
            <w:tcW w:w="2640" w:type="dxa"/>
            <w:tcMar>
              <w:top w:w="15" w:type="dxa"/>
              <w:left w:w="15" w:type="dxa"/>
              <w:right w:w="15" w:type="dxa"/>
            </w:tcMar>
            <w:vAlign w:val="center"/>
          </w:tcPr>
          <w:p>
            <w:pPr>
              <w:bidi w:val="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728</w:t>
            </w:r>
          </w:p>
        </w:tc>
        <w:tc>
          <w:tcPr>
            <w:tcW w:w="2685" w:type="dxa"/>
            <w:tcMar>
              <w:top w:w="15" w:type="dxa"/>
              <w:left w:w="15" w:type="dxa"/>
              <w:right w:w="15" w:type="dxa"/>
            </w:tcMar>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2616" w:type="dxa"/>
            <w:tcMar>
              <w:top w:w="15" w:type="dxa"/>
              <w:left w:w="15" w:type="dxa"/>
              <w:right w:w="15" w:type="dxa"/>
            </w:tcMar>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合　　计</w:t>
            </w:r>
          </w:p>
        </w:tc>
        <w:tc>
          <w:tcPr>
            <w:tcW w:w="2640" w:type="dxa"/>
            <w:tcMar>
              <w:top w:w="15" w:type="dxa"/>
              <w:left w:w="15" w:type="dxa"/>
              <w:right w:w="15" w:type="dxa"/>
            </w:tcMar>
            <w:vAlign w:val="center"/>
          </w:tcPr>
          <w:p>
            <w:pPr>
              <w:bidi w:val="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1165</w:t>
            </w:r>
          </w:p>
        </w:tc>
        <w:tc>
          <w:tcPr>
            <w:tcW w:w="2685" w:type="dxa"/>
            <w:tcMar>
              <w:top w:w="15" w:type="dxa"/>
              <w:left w:w="15" w:type="dxa"/>
              <w:right w:w="15" w:type="dxa"/>
            </w:tcMar>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100.00%</w:t>
            </w:r>
          </w:p>
        </w:tc>
      </w:tr>
    </w:tbl>
    <w:p>
      <w:pPr>
        <w:bidi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图1 </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年食品安全监督抽检占比情况</w:t>
      </w:r>
      <w:r>
        <w:rPr>
          <w:rFonts w:hint="eastAsia" w:ascii="仿宋_GB2312" w:hAnsi="仿宋_GB2312" w:eastAsia="仿宋_GB2312" w:cs="仿宋_GB2312"/>
          <w:sz w:val="32"/>
          <w:szCs w:val="32"/>
          <w:lang w:eastAsia="zh-CN"/>
        </w:rPr>
        <w:t>图</w:t>
      </w:r>
    </w:p>
    <w:p>
      <w:pPr>
        <w:bidi w:val="0"/>
        <w:jc w:val="center"/>
        <w:rPr>
          <w:rFonts w:hint="eastAsia" w:ascii="仿宋_GB2312" w:hAnsi="仿宋_GB2312" w:eastAsia="仿宋_GB2312" w:cs="仿宋_GB2312"/>
          <w:sz w:val="32"/>
          <w:szCs w:val="32"/>
          <w:lang w:eastAsia="zh-CN"/>
        </w:rPr>
      </w:pPr>
      <w:r>
        <w:drawing>
          <wp:inline distT="0" distB="0" distL="114300" distR="114300">
            <wp:extent cx="4926965" cy="2582545"/>
            <wp:effectExtent l="4445" t="4445" r="21590" b="2286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3"/>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仿宋_GB2312" w:eastAsia="仿宋_GB2312" w:cs="仿宋_GB2312"/>
          <w:lang w:val="en-US" w:eastAsia="zh-CN"/>
        </w:rPr>
      </w:pPr>
      <w:bookmarkStart w:id="5" w:name="_Toc7238"/>
      <w:bookmarkStart w:id="6" w:name="_Toc24308"/>
      <w:r>
        <w:rPr>
          <w:rFonts w:hint="eastAsia" w:ascii="仿宋_GB2312" w:hAnsi="仿宋_GB2312" w:eastAsia="仿宋_GB2312" w:cs="仿宋_GB2312"/>
          <w:lang w:val="en-US" w:eastAsia="zh-CN"/>
        </w:rPr>
        <w:t>　　2.</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年食品安全监督抽检</w:t>
      </w:r>
      <w:r>
        <w:rPr>
          <w:rFonts w:hint="eastAsia" w:ascii="仿宋_GB2312" w:hAnsi="仿宋_GB2312" w:eastAsia="仿宋_GB2312" w:cs="仿宋_GB2312"/>
          <w:lang w:val="en-US" w:eastAsia="zh-CN"/>
        </w:rPr>
        <w:t>合格情况</w:t>
      </w:r>
      <w:bookmarkEnd w:id="5"/>
      <w:bookmarkEnd w:id="6"/>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截止2021年11月30日，2021年度县局组织共计监督抽检1165批次食品，食用农产品抽检437批次，普通食品食品抽检728批次。已出检验结果并公示1057批次，食用农产品合格383批次，不合格7批次，合格率为98.2%；普通食品合格663批次，不合格4批次，合格率为99.4%。（</w:t>
      </w:r>
      <w:r>
        <w:rPr>
          <w:rFonts w:hint="eastAsia" w:ascii="仿宋_GB2312" w:hAnsi="仿宋_GB2312" w:eastAsia="仿宋_GB2312" w:cs="仿宋_GB2312"/>
          <w:sz w:val="32"/>
          <w:szCs w:val="32"/>
        </w:rPr>
        <w:t xml:space="preserve">具体见：表2 </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年食品安全监督抽检合格情况表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图2　2021年食品安全监督抽检合格情况图</w:t>
      </w:r>
      <w:r>
        <w:rPr>
          <w:rFonts w:hint="eastAsia" w:ascii="仿宋_GB2312" w:hAnsi="仿宋_GB2312" w:eastAsia="仿宋_GB2312" w:cs="仿宋_GB2312"/>
          <w:sz w:val="32"/>
          <w:szCs w:val="32"/>
          <w:lang w:val="en-US" w:eastAsia="zh-CN"/>
        </w:rPr>
        <w:t>）</w:t>
      </w:r>
    </w:p>
    <w:p>
      <w:pPr>
        <w:bidi w:val="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表2 </w:t>
      </w:r>
      <w:r>
        <w:rPr>
          <w:rFonts w:hint="eastAsia" w:ascii="仿宋_GB2312" w:hAnsi="仿宋_GB2312" w:eastAsia="仿宋_GB2312" w:cs="仿宋_GB2312"/>
          <w:b w:val="0"/>
          <w:bCs w:val="0"/>
          <w:sz w:val="32"/>
          <w:szCs w:val="32"/>
          <w:lang w:val="en-US" w:eastAsia="zh-CN"/>
        </w:rPr>
        <w:t>2021年食品安全监督抽检情况表</w:t>
      </w:r>
    </w:p>
    <w:tbl>
      <w:tblPr>
        <w:tblStyle w:val="7"/>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6"/>
        <w:gridCol w:w="1260"/>
        <w:gridCol w:w="1965"/>
        <w:gridCol w:w="1335"/>
        <w:gridCol w:w="151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trPr>
        <w:tc>
          <w:tcPr>
            <w:tcW w:w="1626" w:type="dxa"/>
            <w:shd w:val="clear" w:color="auto" w:fill="E2EFDA" w:themeFill="accent6" w:themeFillTint="3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食品大类</w:t>
            </w:r>
          </w:p>
        </w:tc>
        <w:tc>
          <w:tcPr>
            <w:tcW w:w="1260" w:type="dxa"/>
            <w:shd w:val="clear" w:color="auto" w:fill="E2EFDA" w:themeFill="accent6" w:themeFillTint="3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抽检批次</w:t>
            </w:r>
          </w:p>
        </w:tc>
        <w:tc>
          <w:tcPr>
            <w:tcW w:w="1965" w:type="dxa"/>
            <w:shd w:val="clear" w:color="auto" w:fill="E2EFDA" w:themeFill="accent6" w:themeFillTint="3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4"/>
                <w:szCs w:val="24"/>
                <w:u w:val="none"/>
                <w:lang w:val="en-US" w:eastAsia="zh-CN" w:bidi="ar"/>
              </w:rPr>
              <w:t>已出检验结果批次</w:t>
            </w:r>
          </w:p>
        </w:tc>
        <w:tc>
          <w:tcPr>
            <w:tcW w:w="1335" w:type="dxa"/>
            <w:shd w:val="clear" w:color="auto" w:fill="E2EFDA" w:themeFill="accent6" w:themeFillTint="3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合格批次</w:t>
            </w:r>
          </w:p>
        </w:tc>
        <w:tc>
          <w:tcPr>
            <w:tcW w:w="1515" w:type="dxa"/>
            <w:shd w:val="clear" w:color="auto" w:fill="E2EFDA" w:themeFill="accent6" w:themeFillTint="3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不合格批次</w:t>
            </w:r>
          </w:p>
        </w:tc>
        <w:tc>
          <w:tcPr>
            <w:tcW w:w="1275" w:type="dxa"/>
            <w:shd w:val="clear" w:color="auto" w:fill="E2EFDA" w:themeFill="accent6" w:themeFillTint="3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162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食用农产品</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437</w:t>
            </w:r>
          </w:p>
        </w:tc>
        <w:tc>
          <w:tcPr>
            <w:tcW w:w="1965"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390</w:t>
            </w:r>
          </w:p>
        </w:tc>
        <w:tc>
          <w:tcPr>
            <w:tcW w:w="133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383</w:t>
            </w:r>
          </w:p>
        </w:tc>
        <w:tc>
          <w:tcPr>
            <w:tcW w:w="151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127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rPr>
        <w:tc>
          <w:tcPr>
            <w:tcW w:w="162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普通食品</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728</w:t>
            </w:r>
          </w:p>
        </w:tc>
        <w:tc>
          <w:tcPr>
            <w:tcW w:w="1965"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667</w:t>
            </w:r>
          </w:p>
        </w:tc>
        <w:tc>
          <w:tcPr>
            <w:tcW w:w="1335"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663</w:t>
            </w:r>
          </w:p>
        </w:tc>
        <w:tc>
          <w:tcPr>
            <w:tcW w:w="151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val="en-US" w:eastAsia="zh-CN"/>
              </w:rPr>
              <w:t>4</w:t>
            </w:r>
          </w:p>
        </w:tc>
        <w:tc>
          <w:tcPr>
            <w:tcW w:w="127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162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合计</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1165</w:t>
            </w:r>
          </w:p>
        </w:tc>
        <w:tc>
          <w:tcPr>
            <w:tcW w:w="1965"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1057</w:t>
            </w:r>
          </w:p>
        </w:tc>
        <w:tc>
          <w:tcPr>
            <w:tcW w:w="1335"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1046</w:t>
            </w:r>
          </w:p>
        </w:tc>
        <w:tc>
          <w:tcPr>
            <w:tcW w:w="151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val="en-US" w:eastAsia="zh-CN"/>
              </w:rPr>
              <w:t>11</w:t>
            </w:r>
          </w:p>
        </w:tc>
        <w:tc>
          <w:tcPr>
            <w:tcW w:w="127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98.96%</w:t>
            </w:r>
          </w:p>
        </w:tc>
      </w:tr>
    </w:tbl>
    <w:p>
      <w:pPr>
        <w:bidi w:val="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图2　2021年食品安全监督已出检验结果抽检情况图</w:t>
      </w:r>
    </w:p>
    <w:p>
      <w:pPr>
        <w:numPr>
          <w:ilvl w:val="0"/>
          <w:numId w:val="0"/>
        </w:numPr>
        <w:jc w:val="left"/>
        <w:rPr>
          <w:rFonts w:hint="eastAsia" w:ascii="仿宋_GB2312" w:hAnsi="仿宋_GB2312" w:eastAsia="仿宋_GB2312" w:cs="仿宋_GB2312"/>
          <w:b/>
          <w:bCs/>
          <w:sz w:val="32"/>
          <w:szCs w:val="32"/>
          <w:lang w:val="en-US" w:eastAsia="zh-CN"/>
        </w:rPr>
      </w:pPr>
      <w:r>
        <w:rPr>
          <w:rFonts w:hint="eastAsia" w:eastAsiaTheme="minorEastAsia"/>
          <w:lang w:eastAsia="zh-CN"/>
        </w:rPr>
        <w:drawing>
          <wp:inline distT="0" distB="0" distL="114300" distR="114300">
            <wp:extent cx="5565140" cy="3705225"/>
            <wp:effectExtent l="4445" t="4445" r="12065"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0"/>
        </w:numPr>
        <w:jc w:val="left"/>
        <w:rPr>
          <w:rFonts w:hint="eastAsia" w:ascii="黑体" w:hAnsi="黑体" w:eastAsia="黑体" w:cs="黑体"/>
          <w:b w:val="0"/>
          <w:bCs w:val="0"/>
          <w:sz w:val="32"/>
          <w:szCs w:val="32"/>
          <w:lang w:val="en-US" w:eastAsia="zh-CN"/>
        </w:rPr>
      </w:pPr>
      <w:r>
        <w:rPr>
          <w:rFonts w:hint="eastAsia" w:ascii="仿宋_GB2312" w:hAnsi="仿宋_GB2312" w:eastAsia="仿宋_GB2312" w:cs="仿宋_GB2312"/>
          <w:b/>
          <w:bCs/>
          <w:sz w:val="32"/>
          <w:szCs w:val="32"/>
          <w:lang w:val="en-US" w:eastAsia="zh-CN"/>
        </w:rPr>
        <w:t>　　</w:t>
      </w:r>
      <w:r>
        <w:rPr>
          <w:rFonts w:hint="eastAsia" w:ascii="黑体" w:hAnsi="黑体" w:eastAsia="黑体" w:cs="黑体"/>
          <w:b w:val="0"/>
          <w:bCs w:val="0"/>
          <w:sz w:val="32"/>
          <w:szCs w:val="32"/>
          <w:lang w:val="en-US" w:eastAsia="zh-CN"/>
        </w:rPr>
        <w:t>二、2021年各大类食品抽检情况</w:t>
      </w:r>
    </w:p>
    <w:p>
      <w:pPr>
        <w:numPr>
          <w:ilvl w:val="0"/>
          <w:numId w:val="0"/>
        </w:numPr>
        <w:ind w:firstLine="641"/>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1.食用农产品抽检情况</w:t>
      </w:r>
    </w:p>
    <w:p>
      <w:pPr>
        <w:numPr>
          <w:ilvl w:val="0"/>
          <w:numId w:val="0"/>
        </w:numPr>
        <w:ind w:firstLine="641"/>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（1）食用农产品种类占比情况</w:t>
      </w:r>
    </w:p>
    <w:p>
      <w:pPr>
        <w:numPr>
          <w:ilvl w:val="0"/>
          <w:numId w:val="0"/>
        </w:num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w:t>
      </w:r>
      <w:r>
        <w:rPr>
          <w:rFonts w:hint="eastAsia" w:ascii="仿宋_GB2312" w:hAnsi="仿宋_GB2312" w:eastAsia="仿宋_GB2312" w:cs="仿宋_GB2312"/>
          <w:sz w:val="32"/>
          <w:szCs w:val="32"/>
          <w:lang w:val="en-US" w:eastAsia="zh-CN"/>
        </w:rPr>
        <w:t>县局组织监督</w:t>
      </w:r>
      <w:r>
        <w:rPr>
          <w:rFonts w:hint="eastAsia" w:ascii="仿宋_GB2312" w:hAnsi="仿宋_GB2312" w:eastAsia="仿宋_GB2312" w:cs="仿宋_GB2312"/>
          <w:b w:val="0"/>
          <w:bCs w:val="0"/>
          <w:sz w:val="32"/>
          <w:szCs w:val="32"/>
          <w:lang w:val="en-US" w:eastAsia="zh-CN"/>
        </w:rPr>
        <w:t>抽检食用农产品437批次，已出结果390批次。其中畜禽肉及副产品抽检13批次，占总批次的3%；蔬菜产品抽检272批次，占总批次的70%；水产品抽检12批次，占总批次的3%；水果类产品抽检76批次，占总批次的19%；鲜蛋产品抽检10批次，占总批次的3%；豆类产品抽检5批次，占总批次的1%；生干坚果与籽类食品抽检2批次，占总批次的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具体见：</w:t>
      </w:r>
      <w:r>
        <w:rPr>
          <w:rFonts w:hint="eastAsia" w:ascii="仿宋_GB2312" w:hAnsi="仿宋_GB2312" w:eastAsia="仿宋_GB2312" w:cs="仿宋_GB2312"/>
          <w:b w:val="0"/>
          <w:bCs w:val="0"/>
          <w:sz w:val="32"/>
          <w:szCs w:val="32"/>
          <w:lang w:val="en-US" w:eastAsia="zh-CN"/>
        </w:rPr>
        <w:t xml:space="preserve">表3 </w:t>
      </w:r>
      <w:r>
        <w:rPr>
          <w:rFonts w:hint="eastAsia" w:ascii="仿宋_GB2312" w:hAnsi="仿宋_GB2312" w:eastAsia="仿宋_GB2312" w:cs="仿宋_GB2312"/>
          <w:sz w:val="32"/>
          <w:szCs w:val="32"/>
          <w:lang w:val="en-US" w:eastAsia="zh-CN"/>
        </w:rPr>
        <w:t>食用农产品种类占比情况</w:t>
      </w:r>
      <w:r>
        <w:rPr>
          <w:rFonts w:hint="eastAsia" w:ascii="仿宋_GB2312" w:hAnsi="仿宋_GB2312" w:eastAsia="仿宋_GB2312" w:cs="仿宋_GB2312"/>
          <w:b w:val="0"/>
          <w:bCs w:val="0"/>
          <w:sz w:val="32"/>
          <w:szCs w:val="32"/>
          <w:lang w:val="en-US" w:eastAsia="zh-CN"/>
        </w:rPr>
        <w:t>表、</w:t>
      </w:r>
      <w:r>
        <w:rPr>
          <w:rFonts w:hint="eastAsia" w:ascii="仿宋_GB2312" w:hAnsi="仿宋_GB2312" w:eastAsia="仿宋_GB2312" w:cs="仿宋_GB2312"/>
          <w:sz w:val="32"/>
          <w:szCs w:val="32"/>
          <w:lang w:val="en-US" w:eastAsia="zh-CN"/>
        </w:rPr>
        <w:t>图3 食用农产品种类占比情况</w:t>
      </w:r>
      <w:r>
        <w:rPr>
          <w:rFonts w:hint="eastAsia" w:ascii="仿宋_GB2312" w:hAnsi="仿宋_GB2312" w:eastAsia="仿宋_GB2312" w:cs="仿宋_GB2312"/>
          <w:b w:val="0"/>
          <w:bCs w:val="0"/>
          <w:sz w:val="32"/>
          <w:szCs w:val="32"/>
          <w:lang w:val="en-US" w:eastAsia="zh-CN"/>
        </w:rPr>
        <w:t>图）</w:t>
      </w:r>
    </w:p>
    <w:p>
      <w:pPr>
        <w:numPr>
          <w:ilvl w:val="0"/>
          <w:numId w:val="0"/>
        </w:numPr>
        <w:bidi w:val="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表3 </w:t>
      </w:r>
      <w:r>
        <w:rPr>
          <w:rFonts w:hint="eastAsia" w:ascii="仿宋_GB2312" w:hAnsi="仿宋_GB2312" w:eastAsia="仿宋_GB2312" w:cs="仿宋_GB2312"/>
          <w:sz w:val="32"/>
          <w:szCs w:val="32"/>
          <w:lang w:val="en-US" w:eastAsia="zh-CN"/>
        </w:rPr>
        <w:t>食用农产品种类占比情况</w:t>
      </w:r>
      <w:r>
        <w:rPr>
          <w:rFonts w:hint="eastAsia" w:ascii="仿宋_GB2312" w:hAnsi="仿宋_GB2312" w:eastAsia="仿宋_GB2312" w:cs="仿宋_GB2312"/>
          <w:b w:val="0"/>
          <w:bCs w:val="0"/>
          <w:sz w:val="32"/>
          <w:szCs w:val="32"/>
          <w:lang w:val="en-US" w:eastAsia="zh-CN"/>
        </w:rPr>
        <w:t>表</w:t>
      </w:r>
    </w:p>
    <w:tbl>
      <w:tblPr>
        <w:tblStyle w:val="7"/>
        <w:tblW w:w="7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85"/>
        <w:gridCol w:w="199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585" w:type="dxa"/>
            <w:tcBorders>
              <w:top w:val="single" w:color="000000" w:sz="8" w:space="0"/>
              <w:left w:val="single" w:color="000000" w:sz="8" w:space="0"/>
              <w:bottom w:val="single" w:color="000000" w:sz="8" w:space="0"/>
              <w:right w:val="single" w:color="000000" w:sz="8" w:space="0"/>
            </w:tcBorders>
            <w:shd w:val="clear" w:color="auto" w:fill="E2EFDA"/>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种类</w:t>
            </w:r>
          </w:p>
        </w:tc>
        <w:tc>
          <w:tcPr>
            <w:tcW w:w="1995" w:type="dxa"/>
            <w:tcBorders>
              <w:top w:val="single" w:color="000000" w:sz="8" w:space="0"/>
              <w:left w:val="nil"/>
              <w:bottom w:val="single" w:color="000000" w:sz="8" w:space="0"/>
              <w:right w:val="single" w:color="000000" w:sz="8" w:space="0"/>
            </w:tcBorders>
            <w:shd w:val="clear" w:color="auto" w:fill="E2EFD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抽检批次</w:t>
            </w:r>
          </w:p>
        </w:tc>
        <w:tc>
          <w:tcPr>
            <w:tcW w:w="2295" w:type="dxa"/>
            <w:tcBorders>
              <w:top w:val="single" w:color="000000" w:sz="8" w:space="0"/>
              <w:left w:val="nil"/>
              <w:bottom w:val="single" w:color="000000" w:sz="8" w:space="0"/>
              <w:right w:val="single" w:color="000000" w:sz="8" w:space="0"/>
            </w:tcBorders>
            <w:shd w:val="clear" w:color="auto" w:fill="E2EFD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5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蔬菜</w:t>
            </w:r>
          </w:p>
        </w:tc>
        <w:tc>
          <w:tcPr>
            <w:tcW w:w="19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272</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5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水果类</w:t>
            </w:r>
          </w:p>
        </w:tc>
        <w:tc>
          <w:tcPr>
            <w:tcW w:w="19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76</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5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畜禽肉及副产品</w:t>
            </w:r>
          </w:p>
        </w:tc>
        <w:tc>
          <w:tcPr>
            <w:tcW w:w="19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13</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水产品</w:t>
            </w:r>
          </w:p>
        </w:tc>
        <w:tc>
          <w:tcPr>
            <w:tcW w:w="19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12</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鲜蛋</w:t>
            </w:r>
          </w:p>
        </w:tc>
        <w:tc>
          <w:tcPr>
            <w:tcW w:w="19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10</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豆类</w:t>
            </w:r>
          </w:p>
        </w:tc>
        <w:tc>
          <w:tcPr>
            <w:tcW w:w="19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5</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5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生干坚果与籽类食品</w:t>
            </w:r>
          </w:p>
        </w:tc>
        <w:tc>
          <w:tcPr>
            <w:tcW w:w="19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合计</w:t>
            </w:r>
          </w:p>
        </w:tc>
        <w:tc>
          <w:tcPr>
            <w:tcW w:w="19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390</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100%</w:t>
            </w:r>
          </w:p>
        </w:tc>
      </w:tr>
    </w:tbl>
    <w:p>
      <w:pPr>
        <w:numPr>
          <w:ilvl w:val="0"/>
          <w:numId w:val="0"/>
        </w:num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图3 食用农产品种类占比情况</w:t>
      </w:r>
      <w:r>
        <w:rPr>
          <w:rFonts w:hint="eastAsia" w:ascii="仿宋_GB2312" w:hAnsi="仿宋_GB2312" w:eastAsia="仿宋_GB2312" w:cs="仿宋_GB2312"/>
          <w:b w:val="0"/>
          <w:bCs w:val="0"/>
          <w:sz w:val="32"/>
          <w:szCs w:val="32"/>
          <w:lang w:val="en-US" w:eastAsia="zh-CN"/>
        </w:rPr>
        <w:t>图</w:t>
      </w:r>
    </w:p>
    <w:p>
      <w:pPr>
        <w:numPr>
          <w:ilvl w:val="0"/>
          <w:numId w:val="0"/>
        </w:numPr>
        <w:jc w:val="center"/>
        <w:rPr>
          <w:rFonts w:hint="eastAsia" w:ascii="仿宋_GB2312" w:hAnsi="仿宋_GB2312" w:eastAsia="仿宋_GB2312" w:cs="仿宋_GB2312"/>
          <w:b w:val="0"/>
          <w:bCs w:val="0"/>
          <w:sz w:val="32"/>
          <w:szCs w:val="32"/>
          <w:lang w:val="en-US" w:eastAsia="zh-CN"/>
        </w:rPr>
      </w:pPr>
      <w:r>
        <w:drawing>
          <wp:inline distT="0" distB="0" distL="114300" distR="114300">
            <wp:extent cx="5105400" cy="2314575"/>
            <wp:effectExtent l="5080" t="4445" r="13970" b="508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pageBreakBefore w:val="0"/>
        <w:widowControl w:val="0"/>
        <w:kinsoku/>
        <w:wordWrap/>
        <w:overflowPunct/>
        <w:topLinePunct w:val="0"/>
        <w:autoSpaceDE/>
        <w:autoSpaceDN/>
        <w:bidi w:val="0"/>
        <w:spacing w:before="156" w:after="156" w:line="560" w:lineRule="exact"/>
        <w:ind w:left="0" w:leftChars="0" w:right="0" w:rightChars="0" w:firstLine="0" w:firstLineChars="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lang w:eastAsia="zh-CN"/>
        </w:rPr>
        <w:t>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）食用农产品不合格情况</w:t>
      </w:r>
    </w:p>
    <w:p>
      <w:pPr>
        <w:keepNext w:val="0"/>
        <w:keepLines w:val="0"/>
        <w:pageBreakBefore w:val="0"/>
        <w:widowControl w:val="0"/>
        <w:kinsoku/>
        <w:wordWrap/>
        <w:overflowPunct/>
        <w:topLinePunct w:val="0"/>
        <w:autoSpaceDE/>
        <w:autoSpaceDN/>
        <w:bidi w:val="0"/>
        <w:adjustRightInd w:val="0"/>
        <w:snapToGrid w:val="0"/>
        <w:spacing w:beforeLines="50" w:afterLines="50" w:line="560" w:lineRule="exact"/>
        <w:ind w:left="0" w:leftChars="0" w:right="0" w:rightChars="0" w:firstLine="0" w:firstLineChars="0"/>
        <w:jc w:val="both"/>
        <w:textAlignment w:val="auto"/>
        <w:outlineLvl w:val="9"/>
        <w:rPr>
          <w:rFonts w:hint="eastAsia"/>
          <w:b/>
          <w:sz w:val="24"/>
        </w:rPr>
      </w:pPr>
      <w:r>
        <w:rPr>
          <w:rFonts w:hint="eastAsia" w:ascii="仿宋_GB2312" w:hAnsi="仿宋_GB2312" w:eastAsia="仿宋_GB2312" w:cs="仿宋_GB2312"/>
          <w:sz w:val="32"/>
          <w:szCs w:val="32"/>
          <w:lang w:val="en-US" w:eastAsia="zh-CN"/>
        </w:rPr>
        <w:t>　　2021年县局组织</w:t>
      </w:r>
      <w:r>
        <w:rPr>
          <w:rFonts w:hint="eastAsia" w:ascii="仿宋_GB2312" w:hAnsi="仿宋_GB2312" w:eastAsia="仿宋_GB2312" w:cs="仿宋_GB2312"/>
          <w:sz w:val="32"/>
          <w:szCs w:val="32"/>
        </w:rPr>
        <w:t>抽检</w:t>
      </w:r>
      <w:r>
        <w:rPr>
          <w:rFonts w:hint="eastAsia" w:ascii="仿宋_GB2312" w:hAnsi="仿宋_GB2312" w:eastAsia="仿宋_GB2312" w:cs="仿宋_GB2312"/>
          <w:sz w:val="32"/>
          <w:szCs w:val="32"/>
          <w:lang w:eastAsia="zh-CN"/>
        </w:rPr>
        <w:t>所以</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eastAsia="zh-CN"/>
        </w:rPr>
        <w:t>农产品</w:t>
      </w:r>
      <w:r>
        <w:rPr>
          <w:rFonts w:hint="eastAsia" w:ascii="仿宋_GB2312" w:hAnsi="仿宋_GB2312" w:eastAsia="仿宋_GB2312" w:cs="仿宋_GB2312"/>
          <w:sz w:val="32"/>
          <w:szCs w:val="32"/>
        </w:rPr>
        <w:t>样品，包含蔬菜、水果类、豆类、畜禽肉及副产品、生干坚果与籽类食品、鲜蛋、水产品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7类食用农产品，</w:t>
      </w:r>
      <w:r>
        <w:rPr>
          <w:rFonts w:hint="eastAsia" w:ascii="仿宋_GB2312" w:hAnsi="仿宋_GB2312" w:eastAsia="仿宋_GB2312" w:cs="仿宋_GB2312"/>
          <w:sz w:val="32"/>
          <w:szCs w:val="32"/>
          <w:lang w:eastAsia="zh-CN"/>
        </w:rPr>
        <w:t>已出结果中</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批次不合格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风险监测2批次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，不合格样品类别涉及蔬菜、水果类、鲜蛋，其他食品亚类中未发现不合格样品。</w:t>
      </w:r>
      <w:r>
        <w:rPr>
          <w:rFonts w:hint="eastAsia" w:ascii="仿宋_GB2312" w:hAnsi="仿宋_GB2312" w:eastAsia="仿宋_GB2312" w:cs="仿宋_GB2312"/>
          <w:bCs/>
          <w:sz w:val="32"/>
          <w:szCs w:val="32"/>
        </w:rPr>
        <w:t>其中，蔬菜不合格批次最多，</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批次不合格样品中</w:t>
      </w:r>
      <w:r>
        <w:rPr>
          <w:rFonts w:hint="eastAsia" w:ascii="仿宋_GB2312" w:hAnsi="仿宋_GB2312" w:eastAsia="仿宋_GB2312" w:cs="仿宋_GB2312"/>
          <w:bCs/>
          <w:sz w:val="32"/>
          <w:szCs w:val="32"/>
          <w:lang w:eastAsia="zh-CN"/>
        </w:rPr>
        <w:t>蔬菜</w:t>
      </w:r>
      <w:r>
        <w:rPr>
          <w:rFonts w:hint="eastAsia" w:ascii="仿宋_GB2312" w:hAnsi="仿宋_GB2312" w:eastAsia="仿宋_GB2312" w:cs="仿宋_GB2312"/>
          <w:bCs/>
          <w:sz w:val="32"/>
          <w:szCs w:val="32"/>
        </w:rPr>
        <w:t>有</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批次不合格，占不合格样品的比例为</w:t>
      </w:r>
      <w:r>
        <w:rPr>
          <w:rFonts w:hint="eastAsia" w:ascii="仿宋_GB2312" w:hAnsi="仿宋_GB2312" w:eastAsia="仿宋_GB2312" w:cs="仿宋_GB2312"/>
          <w:bCs/>
          <w:sz w:val="32"/>
          <w:szCs w:val="32"/>
          <w:lang w:val="en-US" w:eastAsia="zh-CN"/>
        </w:rPr>
        <w:t>66.67</w:t>
      </w:r>
      <w:r>
        <w:rPr>
          <w:rFonts w:hint="eastAsia" w:ascii="仿宋_GB2312" w:hAnsi="仿宋_GB2312" w:eastAsia="仿宋_GB2312" w:cs="仿宋_GB2312"/>
          <w:bCs/>
          <w:sz w:val="32"/>
          <w:szCs w:val="32"/>
        </w:rPr>
        <w:t>%，此外，水果类不合格样品</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批次，鲜蛋不合格样品1批次。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具体见：</w:t>
      </w:r>
      <w:r>
        <w:rPr>
          <w:rFonts w:hint="eastAsia" w:ascii="仿宋_GB2312" w:hAnsi="仿宋_GB2312" w:eastAsia="仿宋_GB2312" w:cs="仿宋_GB2312"/>
          <w:b w:val="0"/>
          <w:bCs/>
          <w:sz w:val="32"/>
          <w:szCs w:val="32"/>
        </w:rPr>
        <w:t>表</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不合格样品食品类别统计表</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sz w:val="32"/>
          <w:szCs w:val="32"/>
          <w:lang w:val="en-US" w:eastAsia="zh-CN"/>
        </w:rPr>
        <w:t>图4</w:t>
      </w:r>
      <w:r>
        <w:rPr>
          <w:rFonts w:hint="eastAsia" w:ascii="仿宋_GB2312" w:hAnsi="仿宋_GB2312" w:eastAsia="仿宋_GB2312" w:cs="仿宋_GB2312"/>
          <w:b w:val="0"/>
          <w:bCs/>
          <w:sz w:val="32"/>
          <w:szCs w:val="32"/>
        </w:rPr>
        <w:t>不合格样品食品类别统计</w:t>
      </w:r>
      <w:r>
        <w:rPr>
          <w:rFonts w:hint="eastAsia" w:ascii="仿宋_GB2312" w:hAnsi="仿宋_GB2312" w:eastAsia="仿宋_GB2312" w:cs="仿宋_GB2312"/>
          <w:b w:val="0"/>
          <w:bCs/>
          <w:sz w:val="32"/>
          <w:szCs w:val="32"/>
          <w:lang w:eastAsia="zh-CN"/>
        </w:rPr>
        <w:t>图</w:t>
      </w:r>
      <w:r>
        <w:rPr>
          <w:rFonts w:hint="eastAsia" w:ascii="仿宋_GB2312" w:hAnsi="仿宋_GB2312" w:eastAsia="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before="156" w:beforeLines="50" w:line="560" w:lineRule="exact"/>
        <w:ind w:left="0" w:leftChars="0" w:right="0" w:rightChars="0" w:firstLine="0" w:firstLineChars="0"/>
        <w:jc w:val="center"/>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表</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不合格样品食品类别统计表</w:t>
      </w:r>
    </w:p>
    <w:tbl>
      <w:tblPr>
        <w:tblStyle w:val="7"/>
        <w:tblW w:w="9018" w:type="dxa"/>
        <w:jc w:val="center"/>
        <w:tblLayout w:type="fixed"/>
        <w:tblCellMar>
          <w:top w:w="0" w:type="dxa"/>
          <w:left w:w="108" w:type="dxa"/>
          <w:bottom w:w="0" w:type="dxa"/>
          <w:right w:w="108" w:type="dxa"/>
        </w:tblCellMar>
      </w:tblPr>
      <w:tblGrid>
        <w:gridCol w:w="1025"/>
        <w:gridCol w:w="2231"/>
        <w:gridCol w:w="2226"/>
        <w:gridCol w:w="3536"/>
      </w:tblGrid>
      <w:tr>
        <w:tblPrEx>
          <w:tblCellMar>
            <w:top w:w="0" w:type="dxa"/>
            <w:left w:w="108" w:type="dxa"/>
            <w:bottom w:w="0" w:type="dxa"/>
            <w:right w:w="108" w:type="dxa"/>
          </w:tblCellMar>
        </w:tblPrEx>
        <w:trPr>
          <w:trHeight w:val="333" w:hRule="atLeast"/>
          <w:jc w:val="center"/>
        </w:trPr>
        <w:tc>
          <w:tcPr>
            <w:tcW w:w="1025"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序号</w:t>
            </w:r>
          </w:p>
        </w:tc>
        <w:tc>
          <w:tcPr>
            <w:tcW w:w="2231"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食品亚类（二级）</w:t>
            </w:r>
          </w:p>
        </w:tc>
        <w:tc>
          <w:tcPr>
            <w:tcW w:w="2226"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不合格样品批次</w:t>
            </w:r>
          </w:p>
        </w:tc>
        <w:tc>
          <w:tcPr>
            <w:tcW w:w="3536"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占不合格样品总批次的比例%</w:t>
            </w:r>
          </w:p>
        </w:tc>
      </w:tr>
      <w:tr>
        <w:tblPrEx>
          <w:tblCellMar>
            <w:top w:w="0" w:type="dxa"/>
            <w:left w:w="108" w:type="dxa"/>
            <w:bottom w:w="0" w:type="dxa"/>
            <w:right w:w="108" w:type="dxa"/>
          </w:tblCellMar>
        </w:tblPrEx>
        <w:trPr>
          <w:trHeight w:val="451"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蔬菜</w:t>
            </w:r>
          </w:p>
        </w:tc>
        <w:tc>
          <w:tcPr>
            <w:tcW w:w="2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6</w:t>
            </w:r>
          </w:p>
        </w:tc>
        <w:tc>
          <w:tcPr>
            <w:tcW w:w="3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66.67</w:t>
            </w:r>
            <w:r>
              <w:rPr>
                <w:rFonts w:hint="eastAsia" w:ascii="仿宋_GB2312" w:hAnsi="仿宋_GB2312" w:eastAsia="仿宋_GB2312" w:cs="仿宋_GB2312"/>
                <w:color w:val="000000"/>
                <w:kern w:val="0"/>
                <w:sz w:val="21"/>
                <w:szCs w:val="21"/>
              </w:rPr>
              <w:t>%</w:t>
            </w:r>
          </w:p>
        </w:tc>
      </w:tr>
      <w:tr>
        <w:tblPrEx>
          <w:tblCellMar>
            <w:top w:w="0" w:type="dxa"/>
            <w:left w:w="108" w:type="dxa"/>
            <w:bottom w:w="0" w:type="dxa"/>
            <w:right w:w="108" w:type="dxa"/>
          </w:tblCellMar>
        </w:tblPrEx>
        <w:trPr>
          <w:trHeight w:val="451"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2</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水果类</w:t>
            </w:r>
          </w:p>
        </w:tc>
        <w:tc>
          <w:tcPr>
            <w:tcW w:w="2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2</w:t>
            </w:r>
          </w:p>
        </w:tc>
        <w:tc>
          <w:tcPr>
            <w:tcW w:w="3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22.22</w:t>
            </w:r>
            <w:r>
              <w:rPr>
                <w:rFonts w:hint="eastAsia" w:ascii="仿宋_GB2312" w:hAnsi="仿宋_GB2312" w:eastAsia="仿宋_GB2312" w:cs="仿宋_GB2312"/>
                <w:color w:val="000000"/>
                <w:kern w:val="0"/>
                <w:sz w:val="21"/>
                <w:szCs w:val="21"/>
              </w:rPr>
              <w:t>%</w:t>
            </w:r>
          </w:p>
        </w:tc>
      </w:tr>
      <w:tr>
        <w:tblPrEx>
          <w:tblCellMar>
            <w:top w:w="0" w:type="dxa"/>
            <w:left w:w="108" w:type="dxa"/>
            <w:bottom w:w="0" w:type="dxa"/>
            <w:right w:w="108" w:type="dxa"/>
          </w:tblCellMar>
        </w:tblPrEx>
        <w:trPr>
          <w:trHeight w:val="451"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3</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鲜蛋</w:t>
            </w:r>
          </w:p>
        </w:tc>
        <w:tc>
          <w:tcPr>
            <w:tcW w:w="2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w:t>
            </w:r>
          </w:p>
        </w:tc>
        <w:tc>
          <w:tcPr>
            <w:tcW w:w="3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11.11</w:t>
            </w:r>
            <w:r>
              <w:rPr>
                <w:rFonts w:hint="eastAsia" w:ascii="仿宋_GB2312" w:hAnsi="仿宋_GB2312" w:eastAsia="仿宋_GB2312" w:cs="仿宋_GB2312"/>
                <w:color w:val="000000"/>
                <w:kern w:val="0"/>
                <w:sz w:val="21"/>
                <w:szCs w:val="21"/>
              </w:rPr>
              <w:t>%</w:t>
            </w:r>
          </w:p>
        </w:tc>
      </w:tr>
      <w:tr>
        <w:tblPrEx>
          <w:tblCellMar>
            <w:top w:w="0" w:type="dxa"/>
            <w:left w:w="108" w:type="dxa"/>
            <w:bottom w:w="0" w:type="dxa"/>
            <w:right w:w="108" w:type="dxa"/>
          </w:tblCellMar>
        </w:tblPrEx>
        <w:trPr>
          <w:trHeight w:val="451"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总计</w:t>
            </w:r>
          </w:p>
        </w:tc>
        <w:tc>
          <w:tcPr>
            <w:tcW w:w="2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9</w:t>
            </w:r>
          </w:p>
        </w:tc>
        <w:tc>
          <w:tcPr>
            <w:tcW w:w="3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100%</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bCs/>
          <w:sz w:val="28"/>
          <w:szCs w:val="28"/>
        </w:rPr>
      </w:pPr>
      <w:r>
        <w:rPr>
          <w:rFonts w:hint="eastAsia" w:ascii="仿宋_GB2312" w:hAnsi="仿宋_GB2312" w:eastAsia="仿宋_GB2312" w:cs="仿宋_GB2312"/>
          <w:b w:val="0"/>
          <w:bCs/>
          <w:sz w:val="32"/>
          <w:szCs w:val="32"/>
          <w:lang w:val="en-US" w:eastAsia="zh-CN"/>
        </w:rPr>
        <w:t>图4</w:t>
      </w:r>
      <w:r>
        <w:rPr>
          <w:rFonts w:hint="eastAsia" w:ascii="仿宋_GB2312" w:hAnsi="仿宋_GB2312" w:eastAsia="仿宋_GB2312" w:cs="仿宋_GB2312"/>
          <w:b w:val="0"/>
          <w:bCs/>
          <w:sz w:val="32"/>
          <w:szCs w:val="32"/>
        </w:rPr>
        <w:t>不合格样品食品类别统计</w:t>
      </w:r>
      <w:r>
        <w:rPr>
          <w:rFonts w:hint="eastAsia" w:ascii="仿宋_GB2312" w:hAnsi="仿宋_GB2312" w:eastAsia="仿宋_GB2312" w:cs="仿宋_GB2312"/>
          <w:b w:val="0"/>
          <w:bCs/>
          <w:sz w:val="32"/>
          <w:szCs w:val="32"/>
          <w:lang w:eastAsia="zh-CN"/>
        </w:rPr>
        <w:t>图</w:t>
      </w:r>
    </w:p>
    <w:p>
      <w:pPr>
        <w:spacing w:line="360" w:lineRule="auto"/>
        <w:ind w:firstLine="425" w:firstLineChars="152"/>
        <w:jc w:val="both"/>
        <w:rPr>
          <w:rFonts w:hint="eastAsia" w:ascii="仿宋_GB2312" w:hAnsi="仿宋_GB2312" w:eastAsia="仿宋_GB2312" w:cs="仿宋_GB2312"/>
          <w:b/>
          <w:bCs/>
          <w:sz w:val="32"/>
          <w:szCs w:val="32"/>
          <w:lang w:val="en-US" w:eastAsia="zh-CN"/>
        </w:rPr>
      </w:pPr>
      <w:r>
        <w:rPr>
          <w:rFonts w:hint="eastAsia" w:eastAsia="宋体"/>
          <w:bCs/>
          <w:sz w:val="28"/>
          <w:szCs w:val="28"/>
          <w:lang w:eastAsia="zh-CN"/>
        </w:rPr>
        <w:drawing>
          <wp:inline distT="0" distB="0" distL="114300" distR="114300">
            <wp:extent cx="5050790" cy="2173605"/>
            <wp:effectExtent l="4445" t="4445" r="12065" b="1270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bCs/>
          <w:sz w:val="28"/>
          <w:szCs w:val="28"/>
          <w:lang w:eastAsia="zh-CN"/>
        </w:rPr>
        <w:t>　　</w:t>
      </w:r>
      <w:r>
        <w:rPr>
          <w:rFonts w:hint="eastAsia" w:ascii="仿宋_GB2312" w:hAnsi="仿宋_GB2312" w:eastAsia="仿宋_GB2312" w:cs="仿宋_GB2312"/>
          <w:b/>
          <w:bCs/>
          <w:sz w:val="32"/>
          <w:szCs w:val="32"/>
          <w:lang w:val="en-US" w:eastAsia="zh-CN"/>
        </w:rPr>
        <w:t>2.普通食品抽检情况</w:t>
      </w:r>
    </w:p>
    <w:p>
      <w:pPr>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（1）普通食品</w:t>
      </w:r>
      <w:r>
        <w:rPr>
          <w:rFonts w:hint="eastAsia" w:ascii="仿宋_GB2312" w:hAnsi="仿宋_GB2312" w:eastAsia="仿宋_GB2312" w:cs="仿宋_GB2312"/>
          <w:b w:val="0"/>
          <w:bCs w:val="0"/>
          <w:sz w:val="32"/>
          <w:szCs w:val="32"/>
          <w:lang w:val="en-US" w:eastAsia="zh-CN"/>
        </w:rPr>
        <w:t>种类占比情况</w:t>
      </w:r>
    </w:p>
    <w:p>
      <w:pPr>
        <w:numPr>
          <w:ilvl w:val="0"/>
          <w:numId w:val="0"/>
        </w:numPr>
        <w:bidi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县局组织</w:t>
      </w:r>
      <w:r>
        <w:rPr>
          <w:rFonts w:hint="eastAsia" w:ascii="仿宋_GB2312" w:hAnsi="仿宋_GB2312" w:eastAsia="仿宋_GB2312" w:cs="仿宋_GB2312"/>
          <w:b w:val="0"/>
          <w:bCs w:val="0"/>
          <w:sz w:val="32"/>
          <w:szCs w:val="32"/>
          <w:lang w:val="en-US" w:eastAsia="zh-CN"/>
        </w:rPr>
        <w:t>普通食品抽检共728批次，已出结果667批次。其中占比百分之五以上的有蔬菜及其制品、调味品、饮料、粮食加工品、餐饮食品和淀粉及淀粉制品。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具体见：</w:t>
      </w:r>
      <w:r>
        <w:rPr>
          <w:rFonts w:hint="eastAsia" w:ascii="仿宋_GB2312" w:hAnsi="仿宋_GB2312" w:eastAsia="仿宋_GB2312" w:cs="仿宋_GB2312"/>
          <w:b w:val="0"/>
          <w:bCs/>
          <w:sz w:val="32"/>
          <w:szCs w:val="32"/>
        </w:rPr>
        <w:t>表</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val="0"/>
          <w:sz w:val="32"/>
          <w:szCs w:val="32"/>
          <w:lang w:val="en-US" w:eastAsia="zh-CN"/>
        </w:rPr>
        <w:t>普通食品抽检占比情况表、图5普通食品抽检占比情况图）</w:t>
      </w:r>
    </w:p>
    <w:p>
      <w:pPr>
        <w:numPr>
          <w:ilvl w:val="0"/>
          <w:numId w:val="0"/>
        </w:numPr>
        <w:bidi w:val="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表5 普通食品抽检占比情况表</w:t>
      </w:r>
    </w:p>
    <w:tbl>
      <w:tblPr>
        <w:tblStyle w:val="7"/>
        <w:tblW w:w="88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5"/>
        <w:gridCol w:w="4289"/>
        <w:gridCol w:w="1652"/>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025" w:type="dxa"/>
            <w:tcBorders>
              <w:top w:val="single" w:color="000000" w:sz="8" w:space="0"/>
              <w:left w:val="single" w:color="000000" w:sz="8" w:space="0"/>
              <w:bottom w:val="single" w:color="000000" w:sz="8" w:space="0"/>
              <w:right w:val="single" w:color="000000" w:sz="8" w:space="0"/>
            </w:tcBorders>
            <w:shd w:val="clear" w:color="auto" w:fill="E2EFDA"/>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序号</w:t>
            </w:r>
          </w:p>
        </w:tc>
        <w:tc>
          <w:tcPr>
            <w:tcW w:w="4289" w:type="dxa"/>
            <w:tcBorders>
              <w:top w:val="single" w:color="000000" w:sz="8" w:space="0"/>
              <w:left w:val="nil"/>
              <w:bottom w:val="single" w:color="000000" w:sz="8" w:space="0"/>
              <w:right w:val="single" w:color="000000" w:sz="8" w:space="0"/>
            </w:tcBorders>
            <w:shd w:val="clear" w:color="auto" w:fill="E2EFD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种　　类</w:t>
            </w:r>
          </w:p>
        </w:tc>
        <w:tc>
          <w:tcPr>
            <w:tcW w:w="1652" w:type="dxa"/>
            <w:tcBorders>
              <w:top w:val="single" w:color="000000" w:sz="8" w:space="0"/>
              <w:left w:val="nil"/>
              <w:bottom w:val="single" w:color="000000" w:sz="8" w:space="0"/>
              <w:right w:val="single" w:color="000000" w:sz="8" w:space="0"/>
            </w:tcBorders>
            <w:shd w:val="clear" w:color="auto" w:fill="E2EFD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抽检批次</w:t>
            </w:r>
          </w:p>
        </w:tc>
        <w:tc>
          <w:tcPr>
            <w:tcW w:w="1860" w:type="dxa"/>
            <w:tcBorders>
              <w:top w:val="single" w:color="000000" w:sz="8" w:space="0"/>
              <w:left w:val="nil"/>
              <w:bottom w:val="single" w:color="000000" w:sz="8" w:space="0"/>
              <w:right w:val="single" w:color="000000" w:sz="8" w:space="0"/>
            </w:tcBorders>
            <w:shd w:val="clear" w:color="auto" w:fill="E2EFD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占　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蔬菜及其制品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140</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调味品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118</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饮料</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59</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粮食加工品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45</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餐饮食品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32</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淀粉及淀粉制品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31</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豆制品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27</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乳制品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23</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方便食品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21</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罐头</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19</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食糖</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18</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食用油、油脂及其制品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17</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饼干</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16</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酒类</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16</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肉制品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16</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糖果制品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17</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水果制品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18</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糕点</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19</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薯类和膨化食品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炒货食品及坚果制品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21</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蜂产品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22</w:t>
            </w:r>
          </w:p>
        </w:tc>
        <w:tc>
          <w:tcPr>
            <w:tcW w:w="42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蛋制品</w:t>
            </w:r>
          </w:p>
        </w:tc>
        <w:tc>
          <w:tcPr>
            <w:tcW w:w="1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18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r>
    </w:tbl>
    <w:p>
      <w:pPr>
        <w:numPr>
          <w:ilvl w:val="0"/>
          <w:numId w:val="0"/>
        </w:numPr>
        <w:bidi w:val="0"/>
        <w:jc w:val="center"/>
        <w:rPr>
          <w:rFonts w:hint="eastAsia" w:ascii="仿宋_GB2312" w:hAnsi="仿宋_GB2312" w:eastAsia="仿宋_GB2312" w:cs="仿宋_GB2312"/>
          <w:b w:val="0"/>
          <w:bCs w:val="0"/>
          <w:sz w:val="32"/>
          <w:szCs w:val="32"/>
          <w:lang w:val="en-US" w:eastAsia="zh-CN"/>
        </w:rPr>
      </w:pPr>
      <w:r>
        <w:drawing>
          <wp:anchor distT="0" distB="0" distL="114300" distR="114300" simplePos="0" relativeHeight="251659264" behindDoc="1" locked="0" layoutInCell="1" allowOverlap="1">
            <wp:simplePos x="0" y="0"/>
            <wp:positionH relativeFrom="column">
              <wp:posOffset>-71755</wp:posOffset>
            </wp:positionH>
            <wp:positionV relativeFrom="paragraph">
              <wp:posOffset>376555</wp:posOffset>
            </wp:positionV>
            <wp:extent cx="5728335" cy="3274060"/>
            <wp:effectExtent l="4445" t="4445" r="20320" b="17145"/>
            <wp:wrapTight wrapText="bothSides">
              <wp:wrapPolygon>
                <wp:start x="-17" y="-29"/>
                <wp:lineTo x="-17" y="21462"/>
                <wp:lineTo x="21533" y="21462"/>
                <wp:lineTo x="21533" y="-29"/>
                <wp:lineTo x="-17" y="-29"/>
              </wp:wrapPolygon>
            </wp:wrapTight>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_GB2312" w:hAnsi="仿宋_GB2312" w:eastAsia="仿宋_GB2312" w:cs="仿宋_GB2312"/>
          <w:b w:val="0"/>
          <w:bCs w:val="0"/>
          <w:sz w:val="32"/>
          <w:szCs w:val="32"/>
          <w:lang w:val="en-US" w:eastAsia="zh-CN"/>
        </w:rPr>
        <w:t xml:space="preserve"> 普通食品抽检占比情况图</w:t>
      </w:r>
    </w:p>
    <w:p>
      <w:pPr>
        <w:pStyle w:val="3"/>
        <w:pageBreakBefore w:val="0"/>
        <w:widowControl w:val="0"/>
        <w:numPr>
          <w:ilvl w:val="0"/>
          <w:numId w:val="0"/>
        </w:numPr>
        <w:kinsoku/>
        <w:wordWrap/>
        <w:overflowPunct/>
        <w:topLinePunct w:val="0"/>
        <w:autoSpaceDE/>
        <w:autoSpaceDN/>
        <w:bidi w:val="0"/>
        <w:spacing w:before="156" w:after="156" w:line="560" w:lineRule="exact"/>
        <w:ind w:leftChars="0" w:right="0" w:rightChars="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）普通食品不合格情况</w:t>
      </w:r>
    </w:p>
    <w:p>
      <w:pPr>
        <w:keepNext w:val="0"/>
        <w:keepLines w:val="0"/>
        <w:pageBreakBefore w:val="0"/>
        <w:widowControl w:val="0"/>
        <w:kinsoku/>
        <w:wordWrap/>
        <w:overflowPunct/>
        <w:topLinePunct w:val="0"/>
        <w:autoSpaceDE/>
        <w:autoSpaceDN/>
        <w:bidi w:val="0"/>
        <w:adjustRightInd w:val="0"/>
        <w:snapToGrid w:val="0"/>
        <w:spacing w:beforeLines="50" w:afterLines="50" w:line="56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县局组织</w:t>
      </w:r>
      <w:r>
        <w:rPr>
          <w:rFonts w:hint="eastAsia" w:ascii="仿宋_GB2312" w:hAnsi="仿宋_GB2312" w:eastAsia="仿宋_GB2312" w:cs="仿宋_GB2312"/>
          <w:b w:val="0"/>
          <w:bCs/>
          <w:sz w:val="32"/>
          <w:szCs w:val="32"/>
          <w:lang w:eastAsia="zh-CN"/>
        </w:rPr>
        <w:t>普通食品</w:t>
      </w:r>
      <w:r>
        <w:rPr>
          <w:rFonts w:hint="eastAsia" w:ascii="仿宋_GB2312" w:hAnsi="仿宋_GB2312" w:eastAsia="仿宋_GB2312" w:cs="仿宋_GB2312"/>
          <w:sz w:val="32"/>
          <w:szCs w:val="32"/>
        </w:rPr>
        <w:t>抽检</w:t>
      </w:r>
      <w:r>
        <w:rPr>
          <w:rFonts w:hint="eastAsia" w:ascii="仿宋_GB2312" w:hAnsi="仿宋_GB2312" w:eastAsia="仿宋_GB2312" w:cs="仿宋_GB2312"/>
          <w:sz w:val="32"/>
          <w:szCs w:val="32"/>
          <w:lang w:val="en-US" w:eastAsia="zh-CN"/>
        </w:rPr>
        <w:t>共728</w:t>
      </w:r>
      <w:r>
        <w:rPr>
          <w:rFonts w:hint="eastAsia" w:ascii="仿宋_GB2312" w:hAnsi="仿宋_GB2312" w:eastAsia="仿宋_GB2312" w:cs="仿宋_GB2312"/>
          <w:sz w:val="32"/>
          <w:szCs w:val="32"/>
        </w:rPr>
        <w:t>批次，包含</w:t>
      </w:r>
      <w:r>
        <w:rPr>
          <w:rFonts w:hint="eastAsia" w:ascii="仿宋_GB2312" w:hAnsi="仿宋_GB2312" w:eastAsia="仿宋_GB2312" w:cs="仿宋_GB2312"/>
          <w:sz w:val="32"/>
          <w:szCs w:val="32"/>
          <w:lang w:eastAsia="zh-CN"/>
        </w:rPr>
        <w:t>粮食加工品、调味品、乳制品、方便食品、速冻食品等</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批次不合格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不合格样品类别涉及炒货食品及坚果制品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2批次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、淀粉及淀粉制品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1批次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、糕点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1批次</w:t>
      </w:r>
      <w:r>
        <w:rPr>
          <w:rFonts w:hint="eastAsia" w:ascii="仿宋_GB2312" w:hAnsi="仿宋_GB2312" w:eastAsia="仿宋_GB2312" w:cs="仿宋_GB2312"/>
          <w:sz w:val="32"/>
          <w:szCs w:val="32"/>
          <w:lang w:eastAsia="zh-CN"/>
        </w:rPr>
        <w:t>）、餐饮食品（</w:t>
      </w:r>
      <w:r>
        <w:rPr>
          <w:rFonts w:hint="eastAsia" w:ascii="仿宋_GB2312" w:hAnsi="仿宋_GB2312" w:eastAsia="仿宋_GB2312" w:cs="仿宋_GB2312"/>
          <w:sz w:val="32"/>
          <w:szCs w:val="32"/>
          <w:lang w:val="en-US" w:eastAsia="zh-CN"/>
        </w:rPr>
        <w:t>4批次</w:t>
      </w:r>
      <w:r>
        <w:rPr>
          <w:rFonts w:hint="eastAsia" w:ascii="仿宋_GB2312" w:hAnsi="仿宋_GB2312" w:eastAsia="仿宋_GB2312" w:cs="仿宋_GB2312"/>
          <w:sz w:val="32"/>
          <w:szCs w:val="32"/>
          <w:lang w:eastAsia="zh-CN"/>
        </w:rPr>
        <w:t>）、饮料（2批次）、食用油、油脂及其制品（1批次）、</w:t>
      </w:r>
      <w:r>
        <w:rPr>
          <w:rFonts w:hint="eastAsia" w:ascii="仿宋_GB2312" w:hAnsi="仿宋_GB2312" w:eastAsia="仿宋_GB2312" w:cs="仿宋_GB2312"/>
          <w:sz w:val="32"/>
          <w:szCs w:val="32"/>
        </w:rPr>
        <w:t>其他食品亚类中未发现不合格样品。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具体见：</w:t>
      </w:r>
      <w:r>
        <w:rPr>
          <w:rFonts w:hint="eastAsia" w:ascii="仿宋_GB2312" w:hAnsi="仿宋_GB2312" w:eastAsia="仿宋_GB2312" w:cs="仿宋_GB2312"/>
          <w:b w:val="0"/>
          <w:bCs/>
          <w:sz w:val="32"/>
          <w:szCs w:val="32"/>
        </w:rPr>
        <w:t>表</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不合格样品食品类别统计表</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sz w:val="32"/>
          <w:szCs w:val="32"/>
          <w:lang w:val="en-US" w:eastAsia="zh-CN"/>
        </w:rPr>
        <w:t>图6</w:t>
      </w:r>
      <w:r>
        <w:rPr>
          <w:rFonts w:hint="eastAsia" w:ascii="仿宋_GB2312" w:hAnsi="仿宋_GB2312" w:eastAsia="仿宋_GB2312" w:cs="仿宋_GB2312"/>
          <w:b w:val="0"/>
          <w:bCs/>
          <w:sz w:val="32"/>
          <w:szCs w:val="32"/>
        </w:rPr>
        <w:t>不合格样品食品类别统计</w:t>
      </w:r>
      <w:r>
        <w:rPr>
          <w:rFonts w:hint="eastAsia" w:ascii="仿宋_GB2312" w:hAnsi="仿宋_GB2312" w:eastAsia="仿宋_GB2312" w:cs="仿宋_GB2312"/>
          <w:b w:val="0"/>
          <w:bCs/>
          <w:sz w:val="32"/>
          <w:szCs w:val="32"/>
          <w:lang w:eastAsia="zh-CN"/>
        </w:rPr>
        <w:t>图</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50" w:afterLines="50" w:line="56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表</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不合格样品食品类别统计表</w:t>
      </w:r>
    </w:p>
    <w:tbl>
      <w:tblPr>
        <w:tblStyle w:val="7"/>
        <w:tblW w:w="8894" w:type="dxa"/>
        <w:jc w:val="center"/>
        <w:tblLayout w:type="fixed"/>
        <w:tblCellMar>
          <w:top w:w="0" w:type="dxa"/>
          <w:left w:w="108" w:type="dxa"/>
          <w:bottom w:w="0" w:type="dxa"/>
          <w:right w:w="108" w:type="dxa"/>
        </w:tblCellMar>
      </w:tblPr>
      <w:tblGrid>
        <w:gridCol w:w="796"/>
        <w:gridCol w:w="2416"/>
        <w:gridCol w:w="2196"/>
        <w:gridCol w:w="3486"/>
      </w:tblGrid>
      <w:tr>
        <w:tblPrEx>
          <w:tblCellMar>
            <w:top w:w="0" w:type="dxa"/>
            <w:left w:w="108" w:type="dxa"/>
            <w:bottom w:w="0" w:type="dxa"/>
            <w:right w:w="108" w:type="dxa"/>
          </w:tblCellMar>
        </w:tblPrEx>
        <w:trPr>
          <w:trHeight w:val="429" w:hRule="atLeast"/>
          <w:jc w:val="center"/>
        </w:trPr>
        <w:tc>
          <w:tcPr>
            <w:tcW w:w="796"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2416"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食品亚类（二级）</w:t>
            </w:r>
          </w:p>
        </w:tc>
        <w:tc>
          <w:tcPr>
            <w:tcW w:w="2196"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不合格样品批次</w:t>
            </w:r>
          </w:p>
        </w:tc>
        <w:tc>
          <w:tcPr>
            <w:tcW w:w="3486"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占不合格样品总批次的比例%</w:t>
            </w:r>
          </w:p>
        </w:tc>
      </w:tr>
      <w:tr>
        <w:tblPrEx>
          <w:tblCellMar>
            <w:top w:w="0" w:type="dxa"/>
            <w:left w:w="108" w:type="dxa"/>
            <w:bottom w:w="0" w:type="dxa"/>
            <w:right w:w="108" w:type="dxa"/>
          </w:tblCellMar>
        </w:tblPrEx>
        <w:trPr>
          <w:trHeight w:val="46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bookmarkStart w:id="7" w:name="OLE_LINK1" w:colFirst="1" w:colLast="2"/>
            <w:r>
              <w:rPr>
                <w:rFonts w:hint="eastAsia" w:ascii="仿宋_GB2312" w:hAnsi="仿宋_GB2312" w:eastAsia="仿宋_GB2312" w:cs="仿宋_GB2312"/>
                <w:color w:val="000000"/>
                <w:kern w:val="0"/>
                <w:sz w:val="24"/>
                <w:szCs w:val="24"/>
              </w:rPr>
              <w:t>1</w:t>
            </w:r>
          </w:p>
        </w:tc>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蔬菜</w:t>
            </w:r>
            <w:r>
              <w:rPr>
                <w:rFonts w:hint="eastAsia" w:ascii="仿宋_GB2312" w:hAnsi="仿宋_GB2312" w:eastAsia="仿宋_GB2312" w:cs="仿宋_GB2312"/>
                <w:sz w:val="24"/>
                <w:szCs w:val="24"/>
              </w:rPr>
              <w:t>制品</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3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50</w:t>
            </w:r>
            <w:r>
              <w:rPr>
                <w:rFonts w:hint="eastAsia" w:ascii="仿宋_GB2312" w:hAnsi="仿宋_GB2312" w:eastAsia="仿宋_GB2312" w:cs="仿宋_GB2312"/>
                <w:color w:val="000000"/>
                <w:kern w:val="0"/>
                <w:sz w:val="24"/>
                <w:szCs w:val="24"/>
              </w:rPr>
              <w:t>%</w:t>
            </w:r>
          </w:p>
        </w:tc>
      </w:tr>
      <w:tr>
        <w:tblPrEx>
          <w:tblCellMar>
            <w:top w:w="0" w:type="dxa"/>
            <w:left w:w="108" w:type="dxa"/>
            <w:bottom w:w="0" w:type="dxa"/>
            <w:right w:w="108" w:type="dxa"/>
          </w:tblCellMar>
        </w:tblPrEx>
        <w:trPr>
          <w:trHeight w:val="34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淀粉及淀粉制品</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p>
        </w:tc>
        <w:tc>
          <w:tcPr>
            <w:tcW w:w="3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25</w:t>
            </w:r>
            <w:r>
              <w:rPr>
                <w:rFonts w:hint="eastAsia" w:ascii="仿宋_GB2312" w:hAnsi="仿宋_GB2312" w:eastAsia="仿宋_GB2312" w:cs="仿宋_GB2312"/>
                <w:color w:val="000000"/>
                <w:kern w:val="0"/>
                <w:sz w:val="24"/>
                <w:szCs w:val="24"/>
              </w:rPr>
              <w:t>%</w:t>
            </w:r>
          </w:p>
        </w:tc>
      </w:tr>
      <w:tr>
        <w:tblPrEx>
          <w:tblCellMar>
            <w:top w:w="0" w:type="dxa"/>
            <w:left w:w="108" w:type="dxa"/>
            <w:bottom w:w="0" w:type="dxa"/>
            <w:right w:w="108" w:type="dxa"/>
          </w:tblCellMar>
        </w:tblPrEx>
        <w:trPr>
          <w:trHeight w:val="39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餐饮食品</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p>
        </w:tc>
        <w:tc>
          <w:tcPr>
            <w:tcW w:w="3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25</w:t>
            </w:r>
            <w:r>
              <w:rPr>
                <w:rFonts w:hint="eastAsia" w:ascii="仿宋_GB2312" w:hAnsi="仿宋_GB2312" w:eastAsia="仿宋_GB2312" w:cs="仿宋_GB2312"/>
                <w:color w:val="000000"/>
                <w:kern w:val="0"/>
                <w:sz w:val="24"/>
                <w:szCs w:val="24"/>
              </w:rPr>
              <w:t>%</w:t>
            </w:r>
          </w:p>
        </w:tc>
      </w:tr>
      <w:bookmarkEnd w:id="7"/>
      <w:tr>
        <w:tblPrEx>
          <w:tblCellMar>
            <w:top w:w="0" w:type="dxa"/>
            <w:left w:w="108" w:type="dxa"/>
            <w:bottom w:w="0" w:type="dxa"/>
            <w:right w:w="108" w:type="dxa"/>
          </w:tblCellMar>
        </w:tblPrEx>
        <w:trPr>
          <w:trHeight w:val="397" w:hRule="atLeast"/>
          <w:jc w:val="center"/>
        </w:trPr>
        <w:tc>
          <w:tcPr>
            <w:tcW w:w="3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合　　</w:t>
            </w:r>
            <w:r>
              <w:rPr>
                <w:rFonts w:hint="eastAsia" w:ascii="仿宋_GB2312" w:hAnsi="仿宋_GB2312" w:eastAsia="仿宋_GB2312" w:cs="仿宋_GB2312"/>
                <w:color w:val="000000"/>
                <w:kern w:val="0"/>
                <w:sz w:val="24"/>
                <w:szCs w:val="24"/>
              </w:rPr>
              <w:t>计</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w:t>
            </w:r>
          </w:p>
        </w:tc>
        <w:tc>
          <w:tcPr>
            <w:tcW w:w="3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w:t>
            </w:r>
          </w:p>
        </w:tc>
      </w:tr>
    </w:tbl>
    <w:p>
      <w:pPr>
        <w:numPr>
          <w:ilvl w:val="0"/>
          <w:numId w:val="0"/>
        </w:numPr>
        <w:jc w:val="center"/>
        <w:rPr>
          <w:rFonts w:hint="eastAsia" w:ascii="仿宋_GB2312" w:hAnsi="仿宋_GB2312" w:eastAsia="仿宋_GB2312" w:cs="仿宋_GB2312"/>
          <w:sz w:val="32"/>
          <w:szCs w:val="32"/>
        </w:rPr>
      </w:pPr>
    </w:p>
    <w:p>
      <w:pPr>
        <w:numPr>
          <w:ilvl w:val="0"/>
          <w:numId w:val="0"/>
        </w:num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图</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不合格样品食品类别统计</w:t>
      </w:r>
      <w:r>
        <w:rPr>
          <w:rFonts w:hint="eastAsia" w:ascii="仿宋_GB2312" w:hAnsi="仿宋_GB2312" w:eastAsia="仿宋_GB2312" w:cs="仿宋_GB2312"/>
          <w:sz w:val="32"/>
          <w:szCs w:val="32"/>
          <w:lang w:eastAsia="zh-CN"/>
        </w:rPr>
        <w:t>图</w:t>
      </w:r>
    </w:p>
    <w:p>
      <w:pPr>
        <w:numPr>
          <w:ilvl w:val="0"/>
          <w:numId w:val="0"/>
        </w:numPr>
        <w:bidi w:val="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inline distT="0" distB="0" distL="114300" distR="114300">
            <wp:extent cx="5432425" cy="2600960"/>
            <wp:effectExtent l="4445" t="4445" r="11430" b="2349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0"/>
        </w:numPr>
        <w:spacing w:line="360" w:lineRule="auto"/>
        <w:jc w:val="both"/>
        <w:rPr>
          <w:rFonts w:hint="eastAsia" w:ascii="仿宋_GB2312" w:hAnsi="仿宋_GB2312" w:eastAsia="仿宋_GB2312" w:cs="仿宋_GB2312"/>
          <w:b/>
          <w:bCs/>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numPr>
          <w:ilvl w:val="0"/>
          <w:numId w:val="0"/>
        </w:num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3.2021年其他抽检产品情况</w:t>
      </w:r>
    </w:p>
    <w:p>
      <w:pPr>
        <w:numPr>
          <w:ilvl w:val="0"/>
          <w:numId w:val="0"/>
        </w:numPr>
        <w:spacing w:line="360" w:lineRule="auto"/>
        <w:ind w:firstLine="320" w:firstLineChars="1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val="0"/>
          <w:bCs w:val="0"/>
          <w:sz w:val="32"/>
          <w:szCs w:val="32"/>
          <w:lang w:val="en-US" w:eastAsia="zh-CN"/>
        </w:rPr>
        <w:t>（1）我县送检、风险监测</w:t>
      </w:r>
      <w:r>
        <w:rPr>
          <w:rFonts w:hint="eastAsia" w:ascii="仿宋_GB2312" w:hAnsi="仿宋_GB2312" w:eastAsia="仿宋_GB2312" w:cs="仿宋_GB2312"/>
          <w:bCs/>
          <w:sz w:val="32"/>
          <w:szCs w:val="32"/>
          <w:lang w:eastAsia="zh-CN"/>
        </w:rPr>
        <w:t>发现</w:t>
      </w:r>
      <w:r>
        <w:rPr>
          <w:rFonts w:hint="eastAsia" w:ascii="仿宋_GB2312" w:hAnsi="仿宋_GB2312" w:eastAsia="仿宋_GB2312" w:cs="仿宋_GB2312"/>
          <w:b w:val="0"/>
          <w:bCs w:val="0"/>
          <w:sz w:val="32"/>
          <w:szCs w:val="32"/>
          <w:lang w:val="en-US" w:eastAsia="zh-CN"/>
        </w:rPr>
        <w:t>在我县区域内生产、销售的</w:t>
      </w:r>
      <w:r>
        <w:rPr>
          <w:rFonts w:hint="eastAsia" w:ascii="仿宋_GB2312" w:hAnsi="仿宋_GB2312" w:eastAsia="仿宋_GB2312" w:cs="仿宋_GB2312"/>
          <w:bCs/>
          <w:sz w:val="32"/>
          <w:szCs w:val="32"/>
          <w:lang w:eastAsia="zh-CN"/>
        </w:rPr>
        <w:t>不合格产品情况</w:t>
      </w:r>
    </w:p>
    <w:p>
      <w:pPr>
        <w:numPr>
          <w:ilvl w:val="0"/>
          <w:numId w:val="0"/>
        </w:numPr>
        <w:spacing w:line="360" w:lineRule="auto"/>
        <w:ind w:firstLine="642"/>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截止2021年11月30日，</w:t>
      </w:r>
      <w:r>
        <w:rPr>
          <w:rFonts w:hint="eastAsia" w:ascii="仿宋_GB2312" w:hAnsi="仿宋_GB2312" w:eastAsia="仿宋_GB2312" w:cs="仿宋_GB2312"/>
          <w:bCs/>
          <w:sz w:val="32"/>
          <w:szCs w:val="32"/>
          <w:lang w:eastAsia="zh-CN"/>
        </w:rPr>
        <w:t>2021年我县</w:t>
      </w:r>
      <w:r>
        <w:rPr>
          <w:rFonts w:hint="eastAsia" w:ascii="仿宋_GB2312" w:hAnsi="仿宋_GB2312" w:eastAsia="仿宋_GB2312" w:cs="仿宋_GB2312"/>
          <w:b w:val="0"/>
          <w:bCs w:val="0"/>
          <w:sz w:val="32"/>
          <w:szCs w:val="32"/>
          <w:lang w:val="en-US" w:eastAsia="zh-CN"/>
        </w:rPr>
        <w:t>送检、风险监测</w:t>
      </w:r>
      <w:r>
        <w:rPr>
          <w:rFonts w:hint="eastAsia" w:ascii="仿宋_GB2312" w:hAnsi="仿宋_GB2312" w:eastAsia="仿宋_GB2312" w:cs="仿宋_GB2312"/>
          <w:bCs/>
          <w:sz w:val="32"/>
          <w:szCs w:val="32"/>
          <w:lang w:eastAsia="zh-CN"/>
        </w:rPr>
        <w:t>发现</w:t>
      </w:r>
      <w:r>
        <w:rPr>
          <w:rFonts w:hint="eastAsia" w:ascii="仿宋_GB2312" w:hAnsi="仿宋_GB2312" w:eastAsia="仿宋_GB2312" w:cs="仿宋_GB2312"/>
          <w:b w:val="0"/>
          <w:bCs w:val="0"/>
          <w:sz w:val="32"/>
          <w:szCs w:val="32"/>
          <w:lang w:val="en-US" w:eastAsia="zh-CN"/>
        </w:rPr>
        <w:t>在我县区域内生产、销售的</w:t>
      </w:r>
      <w:r>
        <w:rPr>
          <w:rFonts w:hint="eastAsia" w:ascii="仿宋_GB2312" w:hAnsi="仿宋_GB2312" w:eastAsia="仿宋_GB2312" w:cs="仿宋_GB2312"/>
          <w:bCs/>
          <w:sz w:val="32"/>
          <w:szCs w:val="32"/>
          <w:lang w:eastAsia="zh-CN"/>
        </w:rPr>
        <w:t>不合格产品共</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批次。其中包含豆芽（</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批次），已移送公安机关。</w:t>
      </w:r>
    </w:p>
    <w:p>
      <w:pPr>
        <w:numPr>
          <w:ilvl w:val="0"/>
          <w:numId w:val="0"/>
        </w:numPr>
        <w:spacing w:line="360" w:lineRule="auto"/>
        <w:ind w:firstLine="320" w:firstLineChars="1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（2）国抽、省抽、市抽发现在我县生产的不合格产品情况</w:t>
      </w:r>
    </w:p>
    <w:p>
      <w:pPr>
        <w:numPr>
          <w:ilvl w:val="0"/>
          <w:numId w:val="0"/>
        </w:numPr>
        <w:spacing w:line="360" w:lineRule="auto"/>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lang w:val="en-US" w:eastAsia="zh-CN"/>
        </w:rPr>
        <w:t>截止2021年11月30日，</w:t>
      </w:r>
      <w:r>
        <w:rPr>
          <w:rFonts w:hint="eastAsia" w:ascii="仿宋_GB2312" w:hAnsi="仿宋_GB2312" w:eastAsia="仿宋_GB2312" w:cs="仿宋_GB2312"/>
          <w:b w:val="0"/>
          <w:bCs w:val="0"/>
          <w:sz w:val="32"/>
          <w:szCs w:val="32"/>
          <w:lang w:val="en-US" w:eastAsia="zh-CN"/>
        </w:rPr>
        <w:t>2021年国抽、省抽、市抽发现在我县生产的不合格产品共0批次。其中国抽不合格产品0批次，省抽不合格产品0批次，市抽不合格产品0批次。</w:t>
      </w:r>
      <w:r>
        <w:rPr>
          <w:rFonts w:hint="eastAsia" w:ascii="仿宋_GB2312" w:hAnsi="仿宋_GB2312" w:eastAsia="仿宋_GB2312" w:cs="仿宋_GB2312"/>
          <w:bCs/>
          <w:sz w:val="32"/>
          <w:szCs w:val="32"/>
          <w:lang w:eastAsia="zh-CN"/>
        </w:rPr>
        <w:t>　　</w:t>
      </w:r>
    </w:p>
    <w:p>
      <w:pPr>
        <w:numPr>
          <w:ilvl w:val="0"/>
          <w:numId w:val="0"/>
        </w:numPr>
        <w:spacing w:line="360" w:lineRule="auto"/>
        <w:ind w:firstLine="320" w:firstLineChars="1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eastAsia="zh-CN"/>
        </w:rPr>
        <w:t>）本省、外省市抽及县抽食品安全监督抽检发现</w:t>
      </w:r>
      <w:r>
        <w:rPr>
          <w:rFonts w:hint="eastAsia" w:ascii="仿宋_GB2312" w:hAnsi="仿宋_GB2312" w:eastAsia="仿宋_GB2312" w:cs="仿宋_GB2312"/>
          <w:b w:val="0"/>
          <w:bCs w:val="0"/>
          <w:sz w:val="32"/>
          <w:szCs w:val="32"/>
          <w:lang w:val="en-US" w:eastAsia="zh-CN"/>
        </w:rPr>
        <w:t>在我县生产的</w:t>
      </w:r>
      <w:r>
        <w:rPr>
          <w:rFonts w:hint="eastAsia" w:ascii="仿宋_GB2312" w:hAnsi="仿宋_GB2312" w:eastAsia="仿宋_GB2312" w:cs="仿宋_GB2312"/>
          <w:bCs/>
          <w:sz w:val="32"/>
          <w:szCs w:val="32"/>
          <w:lang w:eastAsia="zh-CN"/>
        </w:rPr>
        <w:t>不合格产品情况</w:t>
      </w:r>
    </w:p>
    <w:p>
      <w:pPr>
        <w:numPr>
          <w:ilvl w:val="0"/>
          <w:numId w:val="0"/>
        </w:numPr>
        <w:spacing w:line="360" w:lineRule="auto"/>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sz w:val="32"/>
          <w:szCs w:val="32"/>
          <w:lang w:val="en-US" w:eastAsia="zh-CN"/>
        </w:rPr>
        <w:t>截止2021年11月30日，</w:t>
      </w:r>
      <w:r>
        <w:rPr>
          <w:rFonts w:hint="eastAsia" w:ascii="仿宋_GB2312" w:hAnsi="仿宋_GB2312" w:eastAsia="仿宋_GB2312" w:cs="仿宋_GB2312"/>
          <w:bCs/>
          <w:sz w:val="32"/>
          <w:szCs w:val="32"/>
          <w:lang w:eastAsia="zh-CN"/>
        </w:rPr>
        <w:t>2021年本省、外省市、县两级食品安全监督抽检发现</w:t>
      </w:r>
      <w:r>
        <w:rPr>
          <w:rFonts w:hint="eastAsia" w:ascii="仿宋_GB2312" w:hAnsi="仿宋_GB2312" w:eastAsia="仿宋_GB2312" w:cs="仿宋_GB2312"/>
          <w:b w:val="0"/>
          <w:bCs w:val="0"/>
          <w:sz w:val="32"/>
          <w:szCs w:val="32"/>
          <w:lang w:val="en-US" w:eastAsia="zh-CN"/>
        </w:rPr>
        <w:t>在我县生产的</w:t>
      </w:r>
      <w:r>
        <w:rPr>
          <w:rFonts w:hint="eastAsia" w:ascii="仿宋_GB2312" w:hAnsi="仿宋_GB2312" w:eastAsia="仿宋_GB2312" w:cs="仿宋_GB2312"/>
          <w:bCs/>
          <w:sz w:val="32"/>
          <w:szCs w:val="32"/>
          <w:lang w:eastAsia="zh-CN"/>
        </w:rPr>
        <w:t>不合格产品共</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批次。其中外省抽检不合格产品</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批次（其中外省市抽不合格产品批次</w:t>
      </w:r>
      <w:r>
        <w:rPr>
          <w:rFonts w:hint="eastAsia" w:ascii="仿宋_GB2312" w:hAnsi="仿宋_GB2312" w:eastAsia="仿宋_GB2312" w:cs="仿宋_GB2312"/>
          <w:bCs/>
          <w:sz w:val="32"/>
          <w:szCs w:val="32"/>
          <w:lang w:val="en-US" w:eastAsia="zh-CN"/>
        </w:rPr>
        <w:t>1批次、外省县抽不合格批次0批次</w:t>
      </w:r>
      <w:r>
        <w:rPr>
          <w:rFonts w:hint="eastAsia" w:ascii="仿宋_GB2312" w:hAnsi="仿宋_GB2312" w:eastAsia="仿宋_GB2312" w:cs="仿宋_GB2312"/>
          <w:bCs/>
          <w:sz w:val="32"/>
          <w:szCs w:val="32"/>
          <w:lang w:eastAsia="zh-CN"/>
        </w:rPr>
        <w:t>），本省抽检不合格产品</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批次（其中本省市抽不合格产品批次</w:t>
      </w:r>
      <w:r>
        <w:rPr>
          <w:rFonts w:hint="eastAsia" w:ascii="仿宋_GB2312" w:hAnsi="仿宋_GB2312" w:eastAsia="仿宋_GB2312" w:cs="仿宋_GB2312"/>
          <w:bCs/>
          <w:sz w:val="32"/>
          <w:szCs w:val="32"/>
          <w:lang w:val="en-US" w:eastAsia="zh-CN"/>
        </w:rPr>
        <w:t>0批次、本省县抽不合格批次1批次</w:t>
      </w:r>
      <w:r>
        <w:rPr>
          <w:rFonts w:hint="eastAsia" w:ascii="仿宋_GB2312" w:hAnsi="仿宋_GB2312" w:eastAsia="仿宋_GB2312" w:cs="仿宋_GB2312"/>
          <w:bCs/>
          <w:sz w:val="32"/>
          <w:szCs w:val="32"/>
          <w:lang w:eastAsia="zh-CN"/>
        </w:rPr>
        <w:t>），包含食醋（</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批次）。（具体见：</w:t>
      </w:r>
      <w:r>
        <w:rPr>
          <w:rFonts w:hint="eastAsia" w:ascii="仿宋_GB2312" w:hAnsi="仿宋_GB2312" w:eastAsia="仿宋_GB2312" w:cs="仿宋_GB2312"/>
          <w:i w:val="0"/>
          <w:color w:val="000000"/>
          <w:kern w:val="0"/>
          <w:sz w:val="32"/>
          <w:szCs w:val="32"/>
          <w:u w:val="none"/>
          <w:lang w:val="en-US" w:eastAsia="zh-CN" w:bidi="ar"/>
        </w:rPr>
        <w:t xml:space="preserve"> 表8　</w:t>
      </w:r>
      <w:r>
        <w:rPr>
          <w:rFonts w:hint="eastAsia" w:ascii="仿宋_GB2312" w:hAnsi="仿宋_GB2312" w:eastAsia="仿宋_GB2312" w:cs="仿宋_GB2312"/>
          <w:bCs/>
          <w:sz w:val="32"/>
          <w:szCs w:val="32"/>
          <w:lang w:eastAsia="zh-CN"/>
        </w:rPr>
        <w:t>2021年本省、外省市抽及县抽食品安全监督抽检不合格信息统计表）</w:t>
      </w:r>
    </w:p>
    <w:tbl>
      <w:tblPr>
        <w:tblStyle w:val="7"/>
        <w:tblW w:w="135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3"/>
        <w:gridCol w:w="1607"/>
        <w:gridCol w:w="1064"/>
        <w:gridCol w:w="1064"/>
        <w:gridCol w:w="1064"/>
        <w:gridCol w:w="1561"/>
        <w:gridCol w:w="1097"/>
        <w:gridCol w:w="1069"/>
        <w:gridCol w:w="1331"/>
        <w:gridCol w:w="1074"/>
        <w:gridCol w:w="1064"/>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13575" w:type="dxa"/>
            <w:gridSpan w:val="12"/>
            <w:tcBorders>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仿宋_GB2312" w:hAnsi="仿宋_GB2312" w:eastAsia="仿宋_GB2312" w:cs="仿宋_GB2312"/>
                <w:i w:val="0"/>
                <w:color w:val="000000"/>
                <w:kern w:val="0"/>
                <w:sz w:val="32"/>
                <w:szCs w:val="32"/>
                <w:u w:val="none"/>
                <w:lang w:val="en-US" w:eastAsia="zh-CN" w:bidi="ar"/>
              </w:rPr>
              <w:t xml:space="preserve"> 表8　</w:t>
            </w:r>
            <w:r>
              <w:rPr>
                <w:rFonts w:hint="eastAsia" w:ascii="仿宋_GB2312" w:hAnsi="仿宋_GB2312" w:eastAsia="仿宋_GB2312" w:cs="仿宋_GB2312"/>
                <w:b w:val="0"/>
                <w:bCs/>
                <w:i w:val="0"/>
                <w:color w:val="000000"/>
                <w:kern w:val="0"/>
                <w:sz w:val="32"/>
                <w:szCs w:val="32"/>
                <w:u w:val="none"/>
                <w:lang w:val="en-US" w:eastAsia="zh-CN" w:bidi="ar"/>
              </w:rPr>
              <w:t>2021年本省、外省市抽及县抽食品安全监督抽检不合格信息统计表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5" w:hRule="atLeast"/>
        </w:trPr>
        <w:tc>
          <w:tcPr>
            <w:tcW w:w="523"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607"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标称生产　　　企业名称</w:t>
            </w:r>
          </w:p>
        </w:tc>
        <w:tc>
          <w:tcPr>
            <w:tcW w:w="1064"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标称生产企业地址</w:t>
            </w:r>
          </w:p>
        </w:tc>
        <w:tc>
          <w:tcPr>
            <w:tcW w:w="1064"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被抽样单位名称</w:t>
            </w:r>
          </w:p>
        </w:tc>
        <w:tc>
          <w:tcPr>
            <w:tcW w:w="1064"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被抽样单位地址</w:t>
            </w:r>
          </w:p>
        </w:tc>
        <w:tc>
          <w:tcPr>
            <w:tcW w:w="1561"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食品名称</w:t>
            </w:r>
          </w:p>
        </w:tc>
        <w:tc>
          <w:tcPr>
            <w:tcW w:w="1097"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规格型号</w:t>
            </w:r>
          </w:p>
        </w:tc>
        <w:tc>
          <w:tcPr>
            <w:tcW w:w="1069"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商标</w:t>
            </w:r>
          </w:p>
        </w:tc>
        <w:tc>
          <w:tcPr>
            <w:tcW w:w="1331"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生产日期/批号</w:t>
            </w:r>
          </w:p>
        </w:tc>
        <w:tc>
          <w:tcPr>
            <w:tcW w:w="1074"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不合格项目║检验结果║标准值</w:t>
            </w:r>
          </w:p>
        </w:tc>
        <w:tc>
          <w:tcPr>
            <w:tcW w:w="1064"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分类</w:t>
            </w:r>
          </w:p>
        </w:tc>
        <w:tc>
          <w:tcPr>
            <w:tcW w:w="1057"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任务来源/项目名称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山西清泉醋业有限公司</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兴县康宁镇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交口县回龙乡佰得润购物超市</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清泉老陈醋(酿造食醋)</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2.2L/桶</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白清泉</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2017-04-12</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总酸(以乙酸计),g/100mL</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食醋</w:t>
            </w:r>
          </w:p>
        </w:tc>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交口县市场监督管理局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atLeast"/>
        </w:trPr>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山西清泉醋业有限公司</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兴县康宁镇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天津华润万家生活超市有限公司开发区黄海路分店</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清泉陈醋（酿造食醋）</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800mL/瓶</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清泉+图形商标</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2021-03-28</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不挥发酸(以乳酸计),g/100mL</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食醋</w:t>
            </w:r>
          </w:p>
        </w:tc>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天津市市场监督管理委员会</w:t>
            </w:r>
          </w:p>
        </w:tc>
      </w:tr>
    </w:tbl>
    <w:p>
      <w:pPr>
        <w:numPr>
          <w:ilvl w:val="0"/>
          <w:numId w:val="0"/>
        </w:numPr>
        <w:spacing w:line="360" w:lineRule="auto"/>
        <w:jc w:val="both"/>
        <w:rPr>
          <w:rFonts w:hint="eastAsia" w:ascii="仿宋_GB2312" w:hAnsi="仿宋_GB2312" w:eastAsia="仿宋_GB2312" w:cs="仿宋_GB2312"/>
          <w:bCs/>
          <w:sz w:val="32"/>
          <w:szCs w:val="32"/>
          <w:lang w:eastAsia="zh-CN"/>
        </w:rPr>
        <w:sectPr>
          <w:pgSz w:w="16838" w:h="11906" w:orient="landscape"/>
          <w:pgMar w:top="1803" w:right="1440" w:bottom="1803" w:left="1440" w:header="851" w:footer="992" w:gutter="0"/>
          <w:cols w:space="0" w:num="1"/>
          <w:rtlGutter w:val="0"/>
          <w:docGrid w:type="lines" w:linePitch="319" w:charSpace="0"/>
        </w:sectPr>
      </w:pPr>
    </w:p>
    <w:p>
      <w:pPr>
        <w:pStyle w:val="11"/>
        <w:numPr>
          <w:ilvl w:val="0"/>
          <w:numId w:val="1"/>
        </w:numPr>
        <w:spacing w:line="360" w:lineRule="auto"/>
        <w:ind w:firstLine="640" w:firstLineChars="200"/>
        <w:outlineLvl w:val="0"/>
        <w:rPr>
          <w:rFonts w:hint="eastAsia" w:ascii="黑体" w:hAnsi="黑体" w:eastAsia="黑体" w:cs="黑体"/>
          <w:b w:val="0"/>
          <w:bCs/>
          <w:sz w:val="32"/>
          <w:szCs w:val="32"/>
        </w:rPr>
      </w:pPr>
      <w:bookmarkStart w:id="8" w:name="_Toc503973931"/>
      <w:r>
        <w:rPr>
          <w:rFonts w:hint="eastAsia" w:ascii="黑体" w:hAnsi="黑体" w:eastAsia="黑体" w:cs="黑体"/>
          <w:b w:val="0"/>
          <w:bCs/>
          <w:sz w:val="32"/>
          <w:szCs w:val="32"/>
        </w:rPr>
        <w:t>食品安全抽检</w:t>
      </w:r>
      <w:r>
        <w:rPr>
          <w:rFonts w:hint="eastAsia" w:ascii="黑体" w:hAnsi="黑体" w:eastAsia="黑体" w:cs="黑体"/>
          <w:b w:val="0"/>
          <w:bCs/>
          <w:sz w:val="32"/>
          <w:szCs w:val="32"/>
          <w:lang w:eastAsia="zh-CN"/>
        </w:rPr>
        <w:t>不合格</w:t>
      </w:r>
      <w:r>
        <w:rPr>
          <w:rFonts w:hint="eastAsia" w:ascii="黑体" w:hAnsi="黑体" w:eastAsia="黑体" w:cs="黑体"/>
          <w:sz w:val="32"/>
          <w:szCs w:val="32"/>
          <w:lang w:val="en-US" w:eastAsia="zh-CN"/>
        </w:rPr>
        <w:t>项目</w:t>
      </w:r>
      <w:r>
        <w:rPr>
          <w:rFonts w:hint="eastAsia" w:ascii="黑体" w:hAnsi="黑体" w:eastAsia="黑体" w:cs="黑体"/>
          <w:b w:val="0"/>
          <w:bCs/>
          <w:sz w:val="32"/>
          <w:szCs w:val="32"/>
        </w:rPr>
        <w:t>分析</w:t>
      </w:r>
      <w:bookmarkEnd w:id="8"/>
    </w:p>
    <w:p>
      <w:pPr>
        <w:spacing w:line="360" w:lineRule="auto"/>
        <w:ind w:firstLine="640" w:firstLineChars="200"/>
        <w:rPr>
          <w:rFonts w:hint="eastAsia" w:ascii="黑体" w:hAnsi="黑体" w:eastAsia="黑体" w:cs="黑体"/>
          <w:b w:val="0"/>
          <w:bCs/>
          <w:sz w:val="32"/>
          <w:szCs w:val="32"/>
        </w:rPr>
      </w:pPr>
      <w:r>
        <w:rPr>
          <w:rFonts w:hint="eastAsia" w:ascii="仿宋" w:hAnsi="仿宋" w:eastAsia="仿宋" w:cs="仿宋"/>
          <w:sz w:val="32"/>
          <w:szCs w:val="32"/>
          <w:lang w:eastAsia="zh-CN"/>
        </w:rPr>
        <w:t>县局组织2021年食用农产品及预包装</w:t>
      </w:r>
      <w:r>
        <w:rPr>
          <w:rFonts w:hint="eastAsia" w:ascii="仿宋" w:hAnsi="仿宋" w:eastAsia="仿宋" w:cs="仿宋"/>
          <w:sz w:val="32"/>
          <w:szCs w:val="32"/>
        </w:rPr>
        <w:t>食品抽检</w:t>
      </w:r>
      <w:r>
        <w:rPr>
          <w:rFonts w:hint="eastAsia" w:ascii="仿宋" w:hAnsi="仿宋" w:eastAsia="仿宋" w:cs="仿宋"/>
          <w:sz w:val="32"/>
          <w:szCs w:val="32"/>
          <w:lang w:eastAsia="zh-CN"/>
        </w:rPr>
        <w:t>共</w:t>
      </w:r>
      <w:r>
        <w:rPr>
          <w:rFonts w:hint="eastAsia" w:ascii="仿宋" w:hAnsi="仿宋" w:eastAsia="仿宋" w:cs="仿宋"/>
          <w:sz w:val="32"/>
          <w:szCs w:val="32"/>
        </w:rPr>
        <w:t>计</w:t>
      </w:r>
      <w:r>
        <w:rPr>
          <w:rFonts w:hint="eastAsia" w:ascii="仿宋" w:hAnsi="仿宋" w:eastAsia="仿宋" w:cs="仿宋"/>
          <w:sz w:val="32"/>
          <w:szCs w:val="32"/>
          <w:lang w:val="en-US" w:eastAsia="zh-CN"/>
        </w:rPr>
        <w:t>1365</w:t>
      </w:r>
      <w:r>
        <w:rPr>
          <w:rFonts w:hint="eastAsia" w:ascii="仿宋" w:hAnsi="仿宋" w:eastAsia="仿宋" w:cs="仿宋"/>
          <w:sz w:val="32"/>
          <w:szCs w:val="32"/>
        </w:rPr>
        <w:t>批次</w:t>
      </w:r>
      <w:r>
        <w:rPr>
          <w:rFonts w:hint="eastAsia" w:ascii="仿宋" w:hAnsi="仿宋" w:eastAsia="仿宋" w:cs="仿宋"/>
          <w:sz w:val="32"/>
          <w:szCs w:val="32"/>
          <w:lang w:eastAsia="zh-CN"/>
        </w:rPr>
        <w:t>（其中监督抽检</w:t>
      </w:r>
      <w:r>
        <w:rPr>
          <w:rFonts w:hint="eastAsia" w:ascii="仿宋" w:hAnsi="仿宋" w:eastAsia="仿宋" w:cs="仿宋"/>
          <w:sz w:val="32"/>
          <w:szCs w:val="32"/>
          <w:lang w:val="en-US" w:eastAsia="zh-CN"/>
        </w:rPr>
        <w:t>1165</w:t>
      </w:r>
      <w:r>
        <w:rPr>
          <w:rFonts w:hint="eastAsia" w:ascii="仿宋" w:hAnsi="仿宋" w:eastAsia="仿宋" w:cs="仿宋"/>
          <w:sz w:val="32"/>
          <w:szCs w:val="32"/>
        </w:rPr>
        <w:t>批次</w:t>
      </w:r>
      <w:r>
        <w:rPr>
          <w:rFonts w:hint="eastAsia" w:ascii="仿宋" w:hAnsi="仿宋" w:eastAsia="仿宋" w:cs="仿宋"/>
          <w:sz w:val="32"/>
          <w:szCs w:val="32"/>
          <w:lang w:eastAsia="zh-CN"/>
        </w:rPr>
        <w:t>，风险监测</w:t>
      </w:r>
      <w:r>
        <w:rPr>
          <w:rFonts w:hint="eastAsia" w:ascii="仿宋" w:hAnsi="仿宋" w:eastAsia="仿宋" w:cs="仿宋"/>
          <w:sz w:val="32"/>
          <w:szCs w:val="32"/>
          <w:lang w:val="en-US" w:eastAsia="zh-CN"/>
        </w:rPr>
        <w:t>200批次</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已出结果</w:t>
      </w:r>
      <w:r>
        <w:rPr>
          <w:rFonts w:hint="eastAsia" w:ascii="仿宋" w:hAnsi="仿宋" w:eastAsia="仿宋" w:cs="仿宋"/>
          <w:sz w:val="32"/>
          <w:szCs w:val="32"/>
          <w:lang w:val="en-US" w:eastAsia="zh-CN"/>
        </w:rPr>
        <w:t>1100批次。</w:t>
      </w:r>
      <w:r>
        <w:rPr>
          <w:rFonts w:hint="eastAsia" w:ascii="仿宋" w:hAnsi="仿宋" w:eastAsia="仿宋" w:cs="仿宋"/>
          <w:sz w:val="32"/>
          <w:szCs w:val="32"/>
        </w:rPr>
        <w:t>通过检测发现不合格样品</w:t>
      </w:r>
      <w:r>
        <w:rPr>
          <w:rFonts w:hint="eastAsia" w:ascii="仿宋" w:hAnsi="仿宋" w:eastAsia="仿宋" w:cs="仿宋"/>
          <w:sz w:val="32"/>
          <w:szCs w:val="32"/>
          <w:lang w:val="en-US" w:eastAsia="zh-CN"/>
        </w:rPr>
        <w:t>13</w:t>
      </w:r>
      <w:r>
        <w:rPr>
          <w:rFonts w:hint="eastAsia" w:ascii="仿宋" w:hAnsi="仿宋" w:eastAsia="仿宋" w:cs="仿宋"/>
          <w:sz w:val="32"/>
          <w:szCs w:val="32"/>
        </w:rPr>
        <w:t>批次，不合格项目类别包括</w:t>
      </w:r>
      <w:r>
        <w:rPr>
          <w:rFonts w:hint="eastAsia" w:ascii="仿宋" w:hAnsi="仿宋" w:eastAsia="仿宋" w:cs="仿宋"/>
          <w:sz w:val="32"/>
          <w:szCs w:val="32"/>
          <w:lang w:eastAsia="zh-CN"/>
        </w:rPr>
        <w:t>农药残留、理化指标</w:t>
      </w:r>
      <w:r>
        <w:rPr>
          <w:rFonts w:hint="eastAsia" w:ascii="仿宋" w:hAnsi="仿宋" w:eastAsia="仿宋" w:cs="仿宋"/>
          <w:sz w:val="32"/>
          <w:szCs w:val="32"/>
        </w:rPr>
        <w:t>、</w:t>
      </w:r>
      <w:r>
        <w:rPr>
          <w:rFonts w:hint="eastAsia" w:ascii="仿宋" w:hAnsi="仿宋" w:eastAsia="仿宋" w:cs="仿宋"/>
          <w:sz w:val="32"/>
          <w:szCs w:val="32"/>
          <w:lang w:eastAsia="zh-CN"/>
        </w:rPr>
        <w:t>食品添加剂等。（具体见：</w:t>
      </w:r>
      <w:r>
        <w:rPr>
          <w:rFonts w:hint="eastAsia" w:ascii="仿宋_GB2312" w:hAnsi="仿宋_GB2312" w:eastAsia="仿宋_GB2312" w:cs="仿宋_GB2312"/>
          <w:i w:val="0"/>
          <w:color w:val="000000"/>
          <w:kern w:val="0"/>
          <w:sz w:val="32"/>
          <w:szCs w:val="32"/>
          <w:u w:val="none"/>
          <w:lang w:val="en-US" w:eastAsia="zh-CN" w:bidi="ar"/>
        </w:rPr>
        <w:t xml:space="preserve"> 表9　</w:t>
      </w:r>
      <w:r>
        <w:rPr>
          <w:rFonts w:hint="eastAsia" w:ascii="仿宋" w:hAnsi="仿宋" w:eastAsia="仿宋" w:cs="仿宋"/>
          <w:sz w:val="32"/>
          <w:szCs w:val="32"/>
          <w:lang w:eastAsia="zh-CN"/>
        </w:rPr>
        <w:t>2021年不合格样品明细表）</w:t>
      </w:r>
    </w:p>
    <w:tbl>
      <w:tblPr>
        <w:tblStyle w:val="7"/>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83"/>
        <w:gridCol w:w="8751"/>
        <w:gridCol w:w="1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13960"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 xml:space="preserve"> 表9　2021年不合格样品明细表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8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样品名称</w:t>
            </w:r>
          </w:p>
        </w:tc>
        <w:tc>
          <w:tcPr>
            <w:tcW w:w="87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不合格项目</w:t>
            </w:r>
          </w:p>
        </w:tc>
        <w:tc>
          <w:tcPr>
            <w:tcW w:w="152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韭菜</w:t>
            </w:r>
          </w:p>
        </w:tc>
        <w:tc>
          <w:tcPr>
            <w:tcW w:w="8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腐霉利║2.28mg/kg║≤0.2；</w:t>
            </w:r>
          </w:p>
        </w:tc>
        <w:tc>
          <w:tcPr>
            <w:tcW w:w="15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湿粉条</w:t>
            </w:r>
          </w:p>
        </w:tc>
        <w:tc>
          <w:tcPr>
            <w:tcW w:w="8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铝的残留量(干样品，以 Al 计）检出║1158mg/kg║≤200mg/kg</w:t>
            </w:r>
          </w:p>
        </w:tc>
        <w:tc>
          <w:tcPr>
            <w:tcW w:w="15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生姜</w:t>
            </w:r>
          </w:p>
        </w:tc>
        <w:tc>
          <w:tcPr>
            <w:tcW w:w="8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噻虫胺║0.58mg/kg║≤0.2 mg/kg</w:t>
            </w:r>
          </w:p>
        </w:tc>
        <w:tc>
          <w:tcPr>
            <w:tcW w:w="15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香蕉</w:t>
            </w:r>
          </w:p>
        </w:tc>
        <w:tc>
          <w:tcPr>
            <w:tcW w:w="8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吡虫啉║0.079mg/kg║≤0.05 mg/kg</w:t>
            </w:r>
          </w:p>
        </w:tc>
        <w:tc>
          <w:tcPr>
            <w:tcW w:w="15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油麦菜</w:t>
            </w:r>
          </w:p>
        </w:tc>
        <w:tc>
          <w:tcPr>
            <w:tcW w:w="8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甲拌磷║0.24mg/kg║≤0.01mg/kg</w:t>
            </w:r>
          </w:p>
        </w:tc>
        <w:tc>
          <w:tcPr>
            <w:tcW w:w="15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冰花肉</w:t>
            </w:r>
          </w:p>
        </w:tc>
        <w:tc>
          <w:tcPr>
            <w:tcW w:w="8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山梨酸及其钾盐(以山梨酸计)║0.341g/kg║≤0.075g/kg</w:t>
            </w:r>
          </w:p>
        </w:tc>
        <w:tc>
          <w:tcPr>
            <w:tcW w:w="15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鸡蛋</w:t>
            </w:r>
          </w:p>
        </w:tc>
        <w:tc>
          <w:tcPr>
            <w:tcW w:w="8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恩诺沙星║56.2μg/kg║不得检出</w:t>
            </w:r>
          </w:p>
        </w:tc>
        <w:tc>
          <w:tcPr>
            <w:tcW w:w="15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沃柑</w:t>
            </w:r>
          </w:p>
        </w:tc>
        <w:tc>
          <w:tcPr>
            <w:tcW w:w="8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氯唑磷║0.040mg/kg║≤0.01mg/kg</w:t>
            </w:r>
          </w:p>
        </w:tc>
        <w:tc>
          <w:tcPr>
            <w:tcW w:w="15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芹菜</w:t>
            </w:r>
          </w:p>
        </w:tc>
        <w:tc>
          <w:tcPr>
            <w:tcW w:w="8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甲拌磷║0.042mg/kg║≤0.01mg/kg</w:t>
            </w:r>
          </w:p>
        </w:tc>
        <w:tc>
          <w:tcPr>
            <w:tcW w:w="15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豆芽</w:t>
            </w:r>
          </w:p>
        </w:tc>
        <w:tc>
          <w:tcPr>
            <w:tcW w:w="8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4-氯苯氧乙酸钠(以4-氯苯氧乙酸计)║136ug/kg║不得检出；</w:t>
            </w:r>
          </w:p>
        </w:tc>
        <w:tc>
          <w:tcPr>
            <w:tcW w:w="15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434"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合　　　计</w:t>
            </w:r>
          </w:p>
        </w:tc>
        <w:tc>
          <w:tcPr>
            <w:tcW w:w="1526"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w:t>
            </w:r>
            <w:r>
              <w:rPr>
                <w:rFonts w:hint="eastAsia" w:ascii="仿宋_GB2312" w:hAnsi="宋体" w:eastAsia="仿宋_GB2312" w:cs="仿宋_GB2312"/>
                <w:i w:val="0"/>
                <w:iCs w:val="0"/>
                <w:color w:val="000000"/>
                <w:kern w:val="0"/>
                <w:sz w:val="22"/>
                <w:szCs w:val="22"/>
                <w:u w:val="none"/>
                <w:lang w:val="en-US" w:eastAsia="zh-CN" w:bidi="ar"/>
              </w:rPr>
              <w:t>3</w:t>
            </w:r>
          </w:p>
        </w:tc>
      </w:tr>
    </w:tbl>
    <w:p>
      <w:pPr>
        <w:spacing w:line="360" w:lineRule="auto"/>
        <w:rPr>
          <w:rFonts w:hint="eastAsia" w:ascii="仿宋" w:hAnsi="仿宋" w:eastAsia="仿宋" w:cs="仿宋"/>
          <w:sz w:val="32"/>
          <w:szCs w:val="32"/>
          <w:lang w:eastAsia="zh-CN"/>
        </w:rPr>
        <w:sectPr>
          <w:pgSz w:w="16838" w:h="11906" w:orient="landscape"/>
          <w:pgMar w:top="1803" w:right="1440" w:bottom="1803" w:left="1440" w:header="851" w:footer="992" w:gutter="0"/>
          <w:cols w:space="0" w:num="1"/>
          <w:rtlGutter w:val="0"/>
          <w:docGrid w:type="lines" w:linePitch="319" w:charSpace="0"/>
        </w:sectPr>
      </w:pPr>
    </w:p>
    <w:p>
      <w:pPr>
        <w:spacing w:line="360" w:lineRule="auto"/>
        <w:ind w:firstLine="643" w:firstLineChars="200"/>
        <w:rPr>
          <w:rFonts w:hint="eastAsia" w:ascii="仿宋" w:hAnsi="仿宋" w:eastAsia="仿宋" w:cs="仿宋"/>
          <w:b/>
          <w:bCs/>
          <w:sz w:val="32"/>
          <w:szCs w:val="32"/>
          <w:lang w:val="en-US" w:eastAsia="zh-CN"/>
        </w:rPr>
      </w:pP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腐霉利</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腐霉利是一种低毒内吸性杀菌剂，具有保护和治疗双重作用，主要用于蔬菜及果树的灰霉病防治。《食品安全国家标准食品中农药最大残留限量》（GB 2763—2016）中规定，腐霉利在韭菜中的最大残留限量为0.2mg/kg。少量的农药残留不会引起人体急性中毒，但长期食用农药残留超标的食品，对人体健康有一定影响。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321" w:firstLineChars="100"/>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2、铝的残留量(干样品，以Al 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硫酸铝钾(又名钾明矾)、硫酸铝铵(又名铵明矾)是食品加工中常用的膨松剂和稳定剂，使用后产生铝残留。</w:t>
      </w:r>
    </w:p>
    <w:p>
      <w:pPr>
        <w:spacing w:line="360" w:lineRule="auto"/>
        <w:ind w:firstLine="640" w:firstLineChars="200"/>
        <w:rPr>
          <w:rFonts w:hint="eastAsia" w:ascii="仿宋" w:hAnsi="仿宋" w:eastAsia="仿宋" w:cs="仿宋"/>
          <w:b/>
          <w:bCs/>
          <w:sz w:val="32"/>
          <w:szCs w:val="32"/>
          <w:lang w:val="en-US" w:eastAsia="zh-CN"/>
        </w:rPr>
      </w:pPr>
      <w:r>
        <w:rPr>
          <w:rFonts w:hint="eastAsia" w:ascii="仿宋_GB2312" w:hAnsi="仿宋_GB2312" w:eastAsia="仿宋_GB2312" w:cs="仿宋_GB2312"/>
          <w:kern w:val="0"/>
          <w:sz w:val="32"/>
          <w:szCs w:val="32"/>
          <w:lang w:val="en-US" w:eastAsia="zh-CN" w:bidi="ar"/>
        </w:rPr>
        <w:t>铝的残留量项目不合格可能是商家违规过量使用所致，铝不是人体必需微量元素，不参与正常生理代谢，具有蓄积性，过量摄入会影响人体对铁、钙等成分的吸收，导致骨质疏松、贫血，甚至影响神经细胞的发育。</w:t>
      </w:r>
    </w:p>
    <w:p>
      <w:pPr>
        <w:spacing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3、噻虫胺</w:t>
      </w:r>
    </w:p>
    <w:p>
      <w:pPr>
        <w:spacing w:line="360" w:lineRule="auto"/>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噻虫胺是新烟碱类中的一种杀虫剂，是一类高效安全、高选择性的新型杀虫剂，其作用与烟碱乙酰胆碱受体类似，具有触杀、胃毒和内吸活性。GB 2763-2019《食品安全国家标准 食品中农药最大残留限量》中规定生姜中噻虫胺残留限量值不得超过0.2mg/kg。少量的农药残留不会引起人类急性中毒，但长期食用农药残留超标的蔬菜，对人体健康有一定影响。</w:t>
      </w:r>
    </w:p>
    <w:p>
      <w:pPr>
        <w:spacing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4、吡虫啉</w:t>
      </w:r>
    </w:p>
    <w:p>
      <w:pPr>
        <w:spacing w:line="360" w:lineRule="auto"/>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吡虫啉是烟碱类超高效杀虫剂，具有广谱、高效、低毒、低残留，害虫不易产生抗性，对人、畜、植物和天敌安全等特点，并有触杀、胃毒和内吸等多重作用。但摄入过量对人体的肝脏和神经系统造成危害，特别是对代谢排毒的能力较弱的老人、孕妇、小孩危害更明显。</w:t>
      </w:r>
    </w:p>
    <w:p>
      <w:pPr>
        <w:autoSpaceDE w:val="0"/>
        <w:autoSpaceDN w:val="0"/>
        <w:adjustRightInd w:val="0"/>
        <w:spacing w:line="6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5、甲拌磷</w:t>
      </w:r>
    </w:p>
    <w:p>
      <w:pPr>
        <w:spacing w:line="360" w:lineRule="auto"/>
        <w:ind w:firstLine="640" w:firstLineChars="200"/>
        <w:rPr>
          <w:rFonts w:hint="default" w:ascii="仿宋" w:hAnsi="仿宋" w:eastAsia="仿宋" w:cs="仿宋"/>
          <w:b/>
          <w:bCs/>
          <w:sz w:val="32"/>
          <w:szCs w:val="32"/>
          <w:lang w:val="en-US" w:eastAsia="zh-CN"/>
        </w:rPr>
      </w:pPr>
      <w:r>
        <w:rPr>
          <w:rFonts w:hint="eastAsia" w:ascii="仿宋" w:hAnsi="仿宋" w:eastAsia="仿宋" w:cs="仿宋_GB2312"/>
          <w:bCs/>
          <w:sz w:val="32"/>
          <w:szCs w:val="32"/>
        </w:rPr>
        <w:t>甲拌磷是一种高毒的内吸性杀虫剂、杀螨剂，具有触杀、胃毒、熏蒸等作用。《食品安全国家标准 食品中农药最大残留限量》（GB 2763—2019）中规定，鳞茎类蔬菜中甲拌磷的最大残留限量为0.01mg/kg。</w:t>
      </w:r>
      <w:r>
        <w:rPr>
          <w:rFonts w:hint="eastAsia" w:ascii="仿宋" w:hAnsi="仿宋" w:eastAsia="仿宋" w:cs="仿宋_GB2312"/>
          <w:sz w:val="32"/>
          <w:szCs w:val="32"/>
          <w:lang w:val="en-US" w:eastAsia="zh-CN"/>
        </w:rPr>
        <w:t>油麦菜</w:t>
      </w:r>
      <w:r>
        <w:rPr>
          <w:rFonts w:hint="eastAsia" w:ascii="仿宋" w:hAnsi="仿宋" w:eastAsia="仿宋" w:cs="仿宋_GB2312"/>
          <w:bCs/>
          <w:sz w:val="32"/>
          <w:szCs w:val="32"/>
        </w:rPr>
        <w:t>中甲拌磷超标的原因，可能是菜农对使用农药的安全间隔期不了解，从而违规使用或滥用农药。</w:t>
      </w:r>
      <w:r>
        <w:rPr>
          <w:rFonts w:hint="eastAsia" w:ascii="仿宋" w:hAnsi="仿宋" w:eastAsia="仿宋" w:cs="仿宋_GB2312"/>
          <w:sz w:val="32"/>
          <w:szCs w:val="32"/>
          <w:lang w:val="en-US" w:eastAsia="zh-CN"/>
        </w:rPr>
        <w:t xml:space="preserve">  </w:t>
      </w:r>
    </w:p>
    <w:p>
      <w:pPr>
        <w:numPr>
          <w:ilvl w:val="0"/>
          <w:numId w:val="0"/>
        </w:numPr>
        <w:autoSpaceDE w:val="0"/>
        <w:autoSpaceDN w:val="0"/>
        <w:adjustRightInd w:val="0"/>
        <w:spacing w:line="640" w:lineRule="exact"/>
        <w:ind w:firstLine="643" w:firstLineChars="200"/>
        <w:rPr>
          <w:rFonts w:hint="eastAsia" w:ascii="仿宋" w:hAnsi="仿宋" w:eastAsia="仿宋" w:cs="仿宋_GB2312"/>
          <w:b/>
          <w:bCs/>
          <w:sz w:val="32"/>
          <w:szCs w:val="32"/>
        </w:rPr>
      </w:pPr>
      <w:r>
        <w:rPr>
          <w:rFonts w:hint="eastAsia" w:ascii="仿宋" w:hAnsi="仿宋" w:eastAsia="仿宋" w:cs="仿宋"/>
          <w:b/>
          <w:bCs/>
          <w:sz w:val="32"/>
          <w:szCs w:val="32"/>
          <w:lang w:val="en-US" w:eastAsia="zh-CN"/>
        </w:rPr>
        <w:t>6、</w:t>
      </w:r>
      <w:bookmarkStart w:id="9" w:name="OLE_LINK21"/>
      <w:r>
        <w:rPr>
          <w:rFonts w:hint="eastAsia" w:ascii="仿宋" w:hAnsi="仿宋" w:eastAsia="仿宋" w:cs="仿宋_GB2312"/>
          <w:b/>
          <w:bCs/>
          <w:sz w:val="32"/>
          <w:szCs w:val="32"/>
        </w:rPr>
        <w:t>山梨酸及其钾盐(以山梨酸计)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山梨酸及其钾盐是一种酸性防腐剂，具有较好的抑菌效果和防霉性能，对霉菌、酵母菌和好氧性细菌的生长发育均有抑制作用。《食品安全国家标准 食品添加剂使用标准》（GB 2760—2014）中规定，糕点中山梨酸及其钾盐的最大使用量为1.0g/kg。山梨酸及其钾盐是一种相对无毒的食品添加剂，在生物体内可被代谢为二氧化碳和水排出体外。但如果长期食用山梨酸及其钾盐超标的食品，可能会对人体的骨骼生长、肾脏、肝脏健康造成一定影响。造成山梨酸及其钾盐（以山梨酸计）不合格的原因，可能是企业为延长产品保质期或者为弥补产品生产中卫生条件不佳而超限量使用。</w:t>
      </w:r>
    </w:p>
    <w:bookmarkEnd w:id="9"/>
    <w:p>
      <w:pPr>
        <w:numPr>
          <w:ilvl w:val="0"/>
          <w:numId w:val="0"/>
        </w:numPr>
        <w:autoSpaceDE w:val="0"/>
        <w:autoSpaceDN w:val="0"/>
        <w:adjustRightInd w:val="0"/>
        <w:spacing w:line="640" w:lineRule="exact"/>
        <w:ind w:left="630" w:leftChars="0"/>
        <w:rPr>
          <w:rFonts w:hint="eastAsia" w:ascii="仿宋" w:hAnsi="仿宋" w:eastAsia="仿宋" w:cs="仿宋_GB2312"/>
          <w:b/>
          <w:bCs/>
          <w:kern w:val="2"/>
          <w:sz w:val="32"/>
          <w:szCs w:val="32"/>
          <w:lang w:val="en-US" w:eastAsia="zh-CN" w:bidi="ar-SA"/>
        </w:rPr>
      </w:pPr>
      <w:r>
        <w:rPr>
          <w:rFonts w:hint="eastAsia" w:ascii="仿宋" w:hAnsi="仿宋" w:eastAsia="仿宋" w:cs="仿宋_GB2312"/>
          <w:b/>
          <w:bCs/>
          <w:kern w:val="2"/>
          <w:sz w:val="32"/>
          <w:szCs w:val="32"/>
          <w:lang w:val="en-US" w:eastAsia="zh-CN" w:bidi="ar-SA"/>
        </w:rPr>
        <w:t>7、恩诺沙星</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40" w:lineRule="exact"/>
        <w:ind w:left="0" w:leftChars="0" w:firstLine="640" w:firstLineChars="200"/>
        <w:textAlignment w:val="auto"/>
        <w:rPr>
          <w:rFonts w:hint="default" w:ascii="仿宋" w:hAnsi="仿宋" w:eastAsia="仿宋" w:cs="仿宋_GB2312"/>
          <w:kern w:val="2"/>
          <w:sz w:val="32"/>
          <w:szCs w:val="32"/>
          <w:lang w:val="en-US" w:eastAsia="zh-CN" w:bidi="ar-SA"/>
        </w:rPr>
      </w:pPr>
      <w:r>
        <w:rPr>
          <w:rFonts w:hint="default" w:ascii="仿宋" w:hAnsi="仿宋" w:eastAsia="仿宋" w:cs="仿宋_GB2312"/>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在人体中蓄积，进而对人体机能产生危害，还可能使人体产生耐药性菌株。《食品安全国家标准 食品中兽药最大残留限量》（GB 31650—2019）中规定，恩诺沙星在鱼的皮＋肉中最大残留限量值均为100μg/kg。淡水鱼中恩诺沙星超标的原因，可能是在养殖过程中为快速控制疫病，养殖户违规加大用药量或不遵守休药期规定，致使产品上市销售时药物残留超标。</w:t>
      </w:r>
    </w:p>
    <w:p>
      <w:pPr>
        <w:numPr>
          <w:ilvl w:val="0"/>
          <w:numId w:val="0"/>
        </w:numPr>
        <w:autoSpaceDE w:val="0"/>
        <w:autoSpaceDN w:val="0"/>
        <w:adjustRightInd w:val="0"/>
        <w:spacing w:line="640" w:lineRule="exact"/>
        <w:ind w:left="630" w:leftChars="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8、氯唑磷</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40" w:lineRule="exact"/>
        <w:ind w:left="0" w:leftChars="0" w:firstLine="640" w:firstLineChars="200"/>
        <w:textAlignment w:val="auto"/>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氯唑磷是一种有机磷杀虫剂，具有触杀、胃杀和内吸作用。《食品安全国家标准 食品中农药最大残留限量》（GB 2763—2016）中规定，氯唑磷在柑橘类水果中的最大残留限量为0.01mg/kg。口腔吸入氯唑磷会造成皮肤的刺激作用，少量的农药残留不会引起人体急性中毒，但长期食用农药残留超标的食品，可能会对人体有一定影响。</w:t>
      </w:r>
    </w:p>
    <w:p>
      <w:pPr>
        <w:spacing w:line="360" w:lineRule="auto"/>
        <w:ind w:firstLine="643" w:firstLineChars="200"/>
        <w:rPr>
          <w:rFonts w:hint="eastAsia" w:ascii="仿宋" w:hAnsi="仿宋" w:eastAsia="仿宋" w:cs="仿宋_GB2312"/>
          <w:b/>
          <w:bCs/>
          <w:sz w:val="32"/>
          <w:szCs w:val="32"/>
          <w:highlight w:val="none"/>
        </w:rPr>
      </w:pPr>
      <w:r>
        <w:rPr>
          <w:rFonts w:hint="eastAsia" w:ascii="仿宋" w:hAnsi="仿宋" w:eastAsia="仿宋" w:cs="仿宋"/>
          <w:b/>
          <w:bCs/>
          <w:sz w:val="32"/>
          <w:szCs w:val="32"/>
          <w:lang w:val="en-US" w:eastAsia="zh-CN"/>
        </w:rPr>
        <w:t>9、</w:t>
      </w:r>
      <w:r>
        <w:rPr>
          <w:rFonts w:hint="eastAsia" w:ascii="仿宋" w:hAnsi="仿宋" w:eastAsia="仿宋" w:cs="仿宋_GB2312"/>
          <w:b/>
          <w:bCs/>
          <w:sz w:val="32"/>
          <w:szCs w:val="32"/>
          <w:highlight w:val="none"/>
        </w:rPr>
        <w:t>甲拌磷</w:t>
      </w:r>
    </w:p>
    <w:p>
      <w:pPr>
        <w:autoSpaceDE w:val="0"/>
        <w:autoSpaceDN w:val="0"/>
        <w:adjustRightInd w:val="0"/>
        <w:spacing w:line="64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bCs/>
          <w:sz w:val="32"/>
          <w:szCs w:val="32"/>
          <w:highlight w:val="none"/>
        </w:rPr>
        <w:t>甲拌磷是一种高毒的内吸性杀虫剂、杀螨剂，具有触杀、</w:t>
      </w:r>
      <w:r>
        <w:rPr>
          <w:rFonts w:hint="eastAsia" w:ascii="仿宋" w:hAnsi="仿宋" w:eastAsia="仿宋" w:cs="仿宋_GB2312"/>
          <w:bCs/>
          <w:sz w:val="32"/>
          <w:szCs w:val="32"/>
        </w:rPr>
        <w:t>胃毒、熏蒸等作用。《食品安全国家标准 食品中农药最大残留限量》（GB 2763—2019）中规定，鳞茎类蔬菜中甲拌磷的最大残留限量为0.01mg/kg。</w:t>
      </w:r>
      <w:r>
        <w:rPr>
          <w:rFonts w:hint="eastAsia" w:ascii="仿宋" w:hAnsi="仿宋" w:eastAsia="仿宋" w:cs="仿宋_GB2312"/>
          <w:bCs/>
          <w:sz w:val="32"/>
          <w:szCs w:val="32"/>
          <w:lang w:eastAsia="zh-CN"/>
        </w:rPr>
        <w:t>芹菜</w:t>
      </w:r>
      <w:r>
        <w:rPr>
          <w:rFonts w:hint="eastAsia" w:ascii="仿宋" w:hAnsi="仿宋" w:eastAsia="仿宋" w:cs="仿宋_GB2312"/>
          <w:bCs/>
          <w:sz w:val="32"/>
          <w:szCs w:val="32"/>
        </w:rPr>
        <w:t>中甲拌磷超标的原因，可能是菜农对使用农药的安全间隔期不了解，从而违规使用或滥用农药。</w:t>
      </w:r>
      <w:r>
        <w:rPr>
          <w:rFonts w:hint="eastAsia" w:ascii="仿宋" w:hAnsi="仿宋" w:eastAsia="仿宋"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10、总酸(以乙酸计)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总酸是食醋的品质指标，是反映产品特色的重要特征性指标之一。对酿造食醋来说，酸度越高说明发酵程度越高，食醋的酸味也就越浓，质量也就越好。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总酸含量未达标的原因可能就是在生产过程当中工艺控制不严格或者是未按照标准执行、产品与标签标注等级不匹配等造成。并不会对人体造成一定的伤害，只是影响了产品的品质。</w:t>
      </w:r>
    </w:p>
    <w:p>
      <w:pPr>
        <w:spacing w:line="360" w:lineRule="auto"/>
        <w:ind w:firstLine="643" w:firstLineChars="200"/>
        <w:rPr>
          <w:rFonts w:hint="eastAsia" w:ascii="仿宋" w:hAnsi="仿宋" w:eastAsia="仿宋" w:cs="仿宋"/>
          <w:b/>
          <w:bCs/>
          <w:sz w:val="32"/>
          <w:szCs w:val="32"/>
          <w:lang w:eastAsia="zh-CN"/>
        </w:rPr>
      </w:pPr>
      <w:r>
        <w:rPr>
          <w:rFonts w:hint="eastAsia" w:ascii="仿宋_GB2312" w:hAnsi="仿宋_GB2312" w:eastAsia="仿宋_GB2312" w:cs="仿宋_GB2312"/>
          <w:b/>
          <w:bCs/>
          <w:kern w:val="0"/>
          <w:sz w:val="32"/>
          <w:szCs w:val="32"/>
          <w:lang w:val="en-US" w:eastAsia="zh-CN" w:bidi="ar"/>
        </w:rPr>
        <w:t>11、</w:t>
      </w:r>
      <w:r>
        <w:rPr>
          <w:rFonts w:hint="eastAsia" w:ascii="仿宋" w:hAnsi="仿宋" w:eastAsia="仿宋" w:cs="仿宋"/>
          <w:b/>
          <w:bCs/>
          <w:sz w:val="32"/>
          <w:szCs w:val="32"/>
          <w:lang w:eastAsia="zh-CN"/>
        </w:rPr>
        <w:t>霉菌和菌落总数</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霉菌和菌落总数超标反应的是食品被微生物污染的程度，菌落总数和霉菌是指示性微生物，并非致病菌，主要用来评价食品清洁度，反映食品在生产过程中是否符合卫生要求，食品检出菌落总数和霉菌超标并不代表食品有毒，并且造成产品菌落总数和霉菌超标的原因不是唯一的，可能是多方面的。一是可能食品原料携带的，由于生产环节和检测环节控制不严导致；也有可能是储存条件管理不够规范，导致温湿度适合微生物生长；此外，还可能与产品包装密封不严，储运条件控制不当等有关。所以，对于生产企业来说要加强产品原料和成品自检，把好原料关，加强库房和运输管理。</w:t>
      </w:r>
      <w:r>
        <w:rPr>
          <w:rFonts w:hint="eastAsia" w:ascii="仿宋" w:hAnsi="仿宋" w:eastAsia="仿宋" w:cs="仿宋"/>
          <w:sz w:val="32"/>
          <w:szCs w:val="32"/>
          <w:lang w:val="en-US" w:eastAsia="zh-CN"/>
        </w:rPr>
        <w:t xml:space="preserve">  </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lang w:eastAsia="zh-CN"/>
        </w:rPr>
        <w:t>大肠菌群</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大肠菌群是国内外通用的食品污染常用指示菌之一。食品中检出大肠菌群，提示有被致病菌(如沙门氏菌、志贺氏菌、致病性大肠杆菌)污染的可能。</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大肠菌群超标可能由于产品的加工原料、包装材料受污染，或在生产过程中产品受人员、工具器具等生产设备、环境的污染而导致。食用污染严重的食物，可引起肠胃不适或痢疾。</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13、</w:t>
      </w:r>
      <w:r>
        <w:rPr>
          <w:rFonts w:hint="eastAsia" w:ascii="仿宋" w:hAnsi="仿宋" w:eastAsia="仿宋" w:cs="仿宋"/>
          <w:b/>
          <w:bCs/>
          <w:sz w:val="32"/>
          <w:szCs w:val="32"/>
          <w:lang w:eastAsia="zh-CN"/>
        </w:rPr>
        <w:t>亚硝酸盐</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亚硝酸盐一定程度上能反映食物被污染的情况。水中的亚硝酸盐可由硝酸盐转化</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而来，硝酸盐有天然来源和人为来源，水体被细菌污染后，在一定温度下细菌会释放硝酸盐还原酶，将水中的硝酸盐还原成亚硝酸盐，另外如果消毒控制不当，也会导致输水系统中亚硝酸盐浓度升高。若饮用亚硝酸盐严重超标的水可能会引起中毒。</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14、</w:t>
      </w:r>
      <w:r>
        <w:rPr>
          <w:rFonts w:hint="eastAsia" w:ascii="仿宋" w:hAnsi="仿宋" w:eastAsia="仿宋" w:cs="仿宋"/>
          <w:b/>
          <w:bCs/>
          <w:sz w:val="32"/>
          <w:szCs w:val="32"/>
          <w:lang w:eastAsia="zh-CN"/>
        </w:rPr>
        <w:t>乙酰甲胺磷</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乙酰甲胺磷是一种低毒有机磷杀虫剂。含量过高或长期暴露对人体会有一定的健康隐患，一次性大量摄入体内会抑制血液和组织中胆碱酯酶活性，引起出汗、震颜、精神紊乱等-系列神经毒表现。可能原因是种植过程违规使用。</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15、</w:t>
      </w:r>
      <w:r>
        <w:rPr>
          <w:rFonts w:hint="eastAsia" w:ascii="仿宋" w:hAnsi="仿宋" w:eastAsia="仿宋" w:cs="仿宋"/>
          <w:b/>
          <w:bCs/>
          <w:sz w:val="32"/>
          <w:szCs w:val="32"/>
          <w:lang w:eastAsia="zh-CN"/>
        </w:rPr>
        <w:t>氧乐果</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氧化乐果又叫氧乐果。原为无色透明油头液体。工业品为淡黄色油状液体。遇碱易分解，在中性及偏酸性溶液中较稳定。属高毒、高效、广谱性有机磷杀虫、杀螨剂。对害虫击倒力快，具有较强的内吸、触杀和一定的胃毒作用。对人、畜毒性高。剂型为40%乳油。</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16、</w:t>
      </w:r>
      <w:r>
        <w:rPr>
          <w:rFonts w:hint="eastAsia" w:ascii="仿宋" w:hAnsi="仿宋" w:eastAsia="仿宋" w:cs="仿宋"/>
          <w:b/>
          <w:bCs/>
          <w:sz w:val="32"/>
          <w:szCs w:val="32"/>
          <w:lang w:eastAsia="zh-CN"/>
        </w:rPr>
        <w:t>4-氯苯氧乙酸钠(以4-氯苯氧乙酸计)</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豆芽的生长调节剂。主要用于培育无根黄豆芽和无根绿豆芽，提高豆芽产量和质量，所生豆芽肥嫩、粗壮、爽口。所用本品浓度高时，可使豆芽色泽灰暗，根部发红，皮层发泡，应立即降低溶液的浓度。发芽温度超过27℃时，先淋水降温至25℃，然后再用本品处理。溶液处理2~5h后，方可继续淋水。使用范围及使用量可按我国《食品添加剂使用卫生标准》（GB2760―1996）规定：用于豆芽，残留量应小于1.0 mg/kg。 鉴定方法： 称取约5g样品，加少量盐酸溶液使溶液成为糊状，点燃煤气灯或酒精灯，用铂丝顶端约5mm蘸取少量试样，沿水平方向立即送入无色火焰中进行试验，焰色反应呈黄色，持续4s。是一种广泛使用的添加于植物生长培养基的细胞分裂素，为诸如以下培养 基所用：Murashige and Skoog培养基、Gamborg培养基以及Chu’s N6培养 基。6-BA是第一个人工合成的细胞分裂素。具有抑制植物叶内叶绿素、核 酸、蛋白质的分解，保绿防老；将氨基酸、生长素、无机盐等向处理部位调 运等多种效能，广泛用在农业、果树和园艺作物从发芽到收获的各个阶段 。2015年4月13日，国家食品药品监督管理总局、农业部、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且目前豆芽生产过程中使用上述物质的安全性尚无结论。为确保豆芽食 用安全，现重申：生产者不得在豆芽生产过程中使用6-苄基腺嘌呤、4-氯苯 氧乙酸钠、赤霉素等物质，豆芽经营者不得经营含有6-苄基腺嘌呤、4-氯苯 氧乙酸钠、赤霉素等物质的豆芽。凡在豆芽生产和经营过程中违反上述规定的，由食品药品监管、农业等相关部门依照法律法规予以处理。 </w:t>
      </w:r>
    </w:p>
    <w:p>
      <w:pPr>
        <w:numPr>
          <w:ilvl w:val="0"/>
          <w:numId w:val="0"/>
        </w:numPr>
        <w:spacing w:line="360" w:lineRule="auto"/>
        <w:ind w:firstLine="643" w:firstLineChars="200"/>
        <w:jc w:val="both"/>
        <w:rPr>
          <w:rFonts w:hint="eastAsia" w:ascii="仿宋_GB2312" w:hAnsi="仿宋_GB2312" w:eastAsia="仿宋_GB2312" w:cs="仿宋_GB2312"/>
          <w:bCs/>
          <w:sz w:val="32"/>
          <w:szCs w:val="32"/>
          <w:lang w:eastAsia="zh-CN"/>
        </w:rPr>
      </w:pPr>
      <w:r>
        <w:rPr>
          <w:rFonts w:hint="eastAsia" w:ascii="仿宋" w:hAnsi="仿宋" w:eastAsia="仿宋" w:cs="仿宋"/>
          <w:b/>
          <w:bCs/>
          <w:sz w:val="32"/>
          <w:szCs w:val="32"/>
          <w:lang w:val="en-US" w:eastAsia="zh-CN"/>
        </w:rPr>
        <w:t>17、</w:t>
      </w:r>
      <w:r>
        <w:rPr>
          <w:rFonts w:hint="eastAsia" w:ascii="仿宋_GB2312" w:hAnsi="仿宋_GB2312" w:eastAsia="仿宋_GB2312" w:cs="仿宋_GB2312"/>
          <w:b/>
          <w:bCs w:val="0"/>
          <w:sz w:val="32"/>
          <w:szCs w:val="32"/>
          <w:lang w:eastAsia="zh-CN"/>
        </w:rPr>
        <w:t>6-苄基腺嘌呤</w:t>
      </w:r>
    </w:p>
    <w:p>
      <w:pPr>
        <w:spacing w:line="360" w:lineRule="auto"/>
        <w:ind w:firstLine="640" w:firstLineChars="200"/>
        <w:rPr>
          <w:rFonts w:hint="eastAsia" w:ascii="仿宋" w:hAnsi="仿宋" w:eastAsia="仿宋" w:cs="仿宋"/>
          <w:b/>
          <w:bCs/>
          <w:sz w:val="32"/>
          <w:szCs w:val="32"/>
          <w:lang w:val="en-US" w:eastAsia="zh-CN"/>
        </w:rPr>
      </w:pPr>
      <w:r>
        <w:rPr>
          <w:rFonts w:hint="eastAsia" w:ascii="仿宋_GB2312" w:hAnsi="仿宋_GB2312" w:eastAsia="仿宋_GB2312" w:cs="仿宋_GB2312"/>
          <w:bCs/>
          <w:sz w:val="32"/>
          <w:szCs w:val="32"/>
          <w:lang w:eastAsia="zh-CN"/>
        </w:rPr>
        <w:t>6-苄基腺嘌呤是一种人工合成的植物生长调节剂，它主要用于促进细胞分裂、促进果实生长、促进细胞增大、促进种子发芽等，是常说的“无根豆芽素”的最主要成分，在国际上被广泛应用于农业园艺，包括葡萄、苹果、水稻、西瓜等作物都广泛应用到。但在我国，6-苄基腺嘌呤在豆芽生产上的应用，却经历了从“允许”到“禁止”的转变过程。6-苄基腺嘌呤超标可能是在生产过程中超范围使用造成。</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18、</w:t>
      </w:r>
      <w:r>
        <w:rPr>
          <w:rFonts w:hint="eastAsia" w:ascii="仿宋" w:hAnsi="仿宋" w:eastAsia="仿宋" w:cs="仿宋"/>
          <w:b/>
          <w:bCs/>
          <w:sz w:val="32"/>
          <w:szCs w:val="32"/>
          <w:lang w:eastAsia="zh-CN"/>
        </w:rPr>
        <w:t>酸价</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酸价是脂肪中游离脂肪酸含量的标志，可作为酸败的指标。酸价越小，说明油脂质量越好，新鲜度和精练程度越好。</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酸价超标有可能原因是所使用的原料油脂在生产、流通运输过程中因为环境条件的变化，有可能导致产品在保质期内出现酸价超标，另外一个原因就是在生产过程中，温度控制不当，使油脂在较高的温度、充分的氧接触环境中使酸价升高。在一般情况下，酸价略有升高不会对人体的健康产生损害，但如果酸价过高，则会导致人体肠胃不适、腹泻并损害肝脏。</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val="en-US" w:eastAsia="zh-CN"/>
        </w:rPr>
        <w:t>19、</w:t>
      </w:r>
      <w:r>
        <w:rPr>
          <w:rFonts w:hint="eastAsia" w:ascii="仿宋" w:hAnsi="仿宋" w:eastAsia="仿宋" w:cs="仿宋"/>
          <w:b/>
          <w:bCs/>
          <w:sz w:val="32"/>
          <w:szCs w:val="32"/>
          <w:lang w:eastAsia="zh-CN"/>
        </w:rPr>
        <w:t>脱氢乙酸</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脱氢乙酸及其钠盐属于防腐剂，对霉菌、酵母菌、细菌等具有很好的抑制作用。目前广泛用于肉类、鱼类、蔬菜、水果、饮料类、糕点类等食品类的防腐保鲜。防腐剂超标的主要原因可能是因为在生产过程中，为了追求防腐效果，过量使用防腐剂导致的。</w:t>
      </w:r>
    </w:p>
    <w:p>
      <w:pPr>
        <w:numPr>
          <w:ilvl w:val="0"/>
          <w:numId w:val="0"/>
        </w:numPr>
        <w:spacing w:line="360" w:lineRule="auto"/>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b/>
          <w:bCs w:val="0"/>
          <w:sz w:val="32"/>
          <w:szCs w:val="32"/>
          <w:lang w:val="en-US" w:eastAsia="zh-CN"/>
        </w:rPr>
        <w:t>20、</w:t>
      </w:r>
      <w:r>
        <w:rPr>
          <w:rFonts w:hint="eastAsia" w:ascii="仿宋_GB2312" w:hAnsi="仿宋_GB2312" w:eastAsia="仿宋_GB2312" w:cs="仿宋_GB2312"/>
          <w:b/>
          <w:bCs w:val="0"/>
          <w:sz w:val="32"/>
          <w:szCs w:val="32"/>
          <w:lang w:eastAsia="zh-CN"/>
        </w:rPr>
        <w:t>吡唑醚菌酯</w:t>
      </w:r>
    </w:p>
    <w:p>
      <w:pPr>
        <w:numPr>
          <w:ilvl w:val="0"/>
          <w:numId w:val="0"/>
        </w:numPr>
        <w:spacing w:line="360" w:lineRule="auto"/>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　　吡唑醚菌酯是一种新型广谱杀菌剂，在农业上的使用非常多，近几年中的是需求也在不断增加，它的优秀特点及高效的防治效果受到了广大农民的欢迎。该制剂对鱼剧毒，对鸟、蜜蜂、蚯蚓低毒。吡唑醚菌酯经田间药效试验结果表明对黄瓜白粉病、霜霉病和香蕉黑星病、叶斑病、菌核病等有较好的防治效果。</w:t>
      </w:r>
    </w:p>
    <w:p>
      <w:pPr>
        <w:numPr>
          <w:ilvl w:val="0"/>
          <w:numId w:val="0"/>
        </w:numPr>
        <w:spacing w:line="360" w:lineRule="auto"/>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　　我国批准吡唑醚菌酯在香蕉树上以适宜浓度防治叶斑病、黑星病等病害，同时也允许吡唑醚菌酯浸果防治香蕉炭疽病、轴腐病等病害，使用方法为香蕉分梳后在适宜浓度的药液中浸泡2分钟，捞出后晾干，装入聚乙烯袋密封贮存。吡唑醚菌酯的使用应确保其残留量符合国家标准GB2763的限量要求。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
          <w:bCs w:val="0"/>
          <w:sz w:val="32"/>
          <w:szCs w:val="32"/>
          <w:lang w:val="en-US" w:eastAsia="zh-CN"/>
        </w:rPr>
        <w:t>21、</w:t>
      </w:r>
      <w:r>
        <w:rPr>
          <w:rFonts w:hint="eastAsia" w:ascii="仿宋_GB2312" w:hAnsi="仿宋_GB2312" w:eastAsia="仿宋_GB2312" w:cs="仿宋_GB2312"/>
          <w:b/>
          <w:bCs/>
          <w:kern w:val="0"/>
          <w:sz w:val="32"/>
          <w:szCs w:val="32"/>
          <w:lang w:val="en-US" w:eastAsia="zh-CN" w:bidi="ar"/>
        </w:rPr>
        <w:t>酒精度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酒精度又叫酒度，是指在20℃时，100毫升白酒中含有乙醇（酒精）的毫升数，即体积（容量）的百分数。酒精度是白酒的一个理化指标。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白酒中酒精度不达标会影响白酒的品质，原因或是生产企业检验能力不足，造成检验结果偏差，或是包装不严密造成酒精挥发，导致酒精度降低以致不合格，或是为企业降低成本，用低度酒冒充高度酒，仅影响产品品质，一般情况下对人体无危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22、糖精钠(以糖精计)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糖精钠是一种常见食品添加剂。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不合格原因可能是企业为增加产品甜味，超范围使用甜味剂。体内不被分解，由肾排出体外。但不排除长期大量食用引起的机体变化。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23、甜蜜素(以环己基氨基磺酸计)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甜蜜素，其化学名称为环己基氨基磺酸钠，属于食品添加剂中的甜末剂，目前广泛应用于食品加工制造中。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甜蜜素超标的原因可能是个别企业为降低生产成本，同时为改善产品的口感，在白酒中添加甜蜜素等甜味剂来调节口感，达到以次充好、以假乱真的目的，谋求不当利益，经常食用甜蜜素含量超标的饮料或其他食品，就会因摄入过量对人体的肝脏和神经系统造成危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24、铜绿假单胞菌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铜绿假单胞菌是一种常见的革兰氏阴性杆菌，该菌为专性需氧菌，生长温度范围25~42℃，最适生长温度为25~30℃。因对营养要求不高，善于利用各种碳源和氨化化合物作为氮源，所以在水、土壤、食品以及医院等环境中广泛存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因对消毒剂、干燥、紫外线等理化因素具有很强的抵抗力，所以对抵抗力较弱的人群存在较大健康风险，容易引起急性肠道炎、脑膜炎、败血症和皮肤炎症等疾病。</w:t>
      </w:r>
    </w:p>
    <w:p>
      <w:pPr>
        <w:numPr>
          <w:ilvl w:val="0"/>
          <w:numId w:val="0"/>
        </w:numPr>
        <w:spacing w:line="360" w:lineRule="auto"/>
        <w:ind w:firstLine="640"/>
        <w:jc w:val="both"/>
        <w:rPr>
          <w:rFonts w:hint="eastAsia" w:ascii="黑体" w:hAnsi="黑体" w:eastAsia="黑体" w:cs="黑体"/>
          <w:bCs/>
          <w:sz w:val="32"/>
          <w:szCs w:val="32"/>
          <w:lang w:eastAsia="zh-CN"/>
        </w:rPr>
      </w:pPr>
      <w:r>
        <w:rPr>
          <w:rFonts w:hint="eastAsia" w:ascii="黑体" w:hAnsi="黑体" w:eastAsia="黑体" w:cs="黑体"/>
          <w:bCs/>
          <w:sz w:val="32"/>
          <w:szCs w:val="32"/>
          <w:lang w:eastAsia="zh-CN"/>
        </w:rPr>
        <w:t>四、监管建议</w:t>
      </w:r>
    </w:p>
    <w:p>
      <w:pPr>
        <w:numPr>
          <w:ilvl w:val="0"/>
          <w:numId w:val="0"/>
        </w:numPr>
        <w:spacing w:line="360" w:lineRule="auto"/>
        <w:jc w:val="both"/>
        <w:rPr>
          <w:rFonts w:hint="eastAsia" w:ascii="仿宋_GB2312" w:hAnsi="仿宋_GB2312" w:eastAsia="仿宋_GB2312" w:cs="仿宋_GB2312"/>
          <w:bCs/>
          <w:sz w:val="32"/>
          <w:szCs w:val="32"/>
          <w:lang w:eastAsia="zh-CN"/>
        </w:rPr>
      </w:pPr>
      <w:r>
        <w:rPr>
          <w:rFonts w:hint="eastAsia" w:ascii="黑体" w:hAnsi="黑体" w:eastAsia="黑体" w:cs="黑体"/>
          <w:bCs/>
          <w:sz w:val="32"/>
          <w:szCs w:val="32"/>
          <w:lang w:eastAsia="zh-CN"/>
        </w:rPr>
        <w:t>　　</w:t>
      </w:r>
      <w:r>
        <w:rPr>
          <w:rFonts w:hint="eastAsia" w:ascii="仿宋_GB2312" w:hAnsi="仿宋_GB2312" w:eastAsia="仿宋_GB2312" w:cs="仿宋_GB2312"/>
          <w:bCs/>
          <w:sz w:val="32"/>
          <w:szCs w:val="32"/>
          <w:lang w:eastAsia="zh-CN"/>
        </w:rPr>
        <w:t>食品安全是“产出来”的，也是“管出来”的。对食品安全进行严格监管，才能给公众注入信心，让公众吃得放心。执法监管是一场攻坚战，也是一场持久战，核心是把专项整治和日常执法监管结合起来。深化食品安全监管机制改革是一项基础性、长远性、战略性工作。当前，应认真总结食品安全监管经验，紧紧抓住食品安全领域存在的突出矛盾和问题，持之以恒加强源头治理，强化监管措施，增强监管统一性和专业性，切实履行属地管理责任和监管职责，完善体制机制，创新监管办法，不断提高食品安全治理能力和保障水平，守护好“舌尖上的安全”。</w:t>
      </w:r>
    </w:p>
    <w:p>
      <w:pPr>
        <w:numPr>
          <w:ilvl w:val="0"/>
          <w:numId w:val="0"/>
        </w:numPr>
        <w:spacing w:line="360" w:lineRule="auto"/>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lang w:eastAsia="zh-CN"/>
        </w:rPr>
        <w:t>加强日常监管　</w:t>
      </w:r>
      <w:r>
        <w:rPr>
          <w:rFonts w:hint="eastAsia" w:ascii="仿宋_GB2312" w:hAnsi="仿宋_GB2312" w:eastAsia="仿宋_GB2312" w:cs="仿宋_GB2312"/>
          <w:bCs/>
          <w:sz w:val="32"/>
          <w:szCs w:val="32"/>
          <w:lang w:eastAsia="zh-CN"/>
        </w:rPr>
        <w:t>企业是食品生产经营主体，也是责任主体，应对其加强过程控制和日常监管。当前，应从整体上规划整合产业布局，通过政策引导，推动食品种养殖、生产加工、仓储物流、销售等环节从分散向集中转变，实现规模化、标准化、品牌化经营。在食品生产、加工、储运、销售等环节实行企业第一责任人制度，确保食品来源可查、去向可追。对出现问题食品的企业和品种，要列为重点监管企业和重点监管品种。所在生产企业的辖区监管部门要加大对企业的产业引导和品种质量检验督导。</w:t>
      </w:r>
    </w:p>
    <w:p>
      <w:pPr>
        <w:numPr>
          <w:ilvl w:val="0"/>
          <w:numId w:val="0"/>
        </w:numPr>
        <w:spacing w:line="360" w:lineRule="auto"/>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eastAsia="zh-CN"/>
        </w:rPr>
        <w:t>　　</w:t>
      </w: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lang w:eastAsia="zh-CN"/>
        </w:rPr>
        <w:t>明确监管职责　</w:t>
      </w:r>
      <w:r>
        <w:rPr>
          <w:rFonts w:hint="eastAsia" w:ascii="仿宋_GB2312" w:hAnsi="仿宋_GB2312" w:eastAsia="仿宋_GB2312" w:cs="仿宋_GB2312"/>
          <w:bCs/>
          <w:sz w:val="32"/>
          <w:szCs w:val="32"/>
          <w:lang w:eastAsia="zh-CN"/>
        </w:rPr>
        <w:t>规范并严格执行基层食品安全监管责任制，将“保证食品安全、保障公众健康”作为必须遵守的基本原则，使各监管部门真正确立保障食品安全的责任意识。重点提高基层监管专业化、规范化水平，围绕人民群众反映强烈的突出问题，下移关口，补齐短板，抓住关键环节，通过各部门通力协作、共同监管，形成良好的基层食品安全行业生态，完善有利于食品安全监管的体制环境。</w:t>
      </w:r>
    </w:p>
    <w:p>
      <w:pPr>
        <w:numPr>
          <w:ilvl w:val="0"/>
          <w:numId w:val="0"/>
        </w:numPr>
        <w:spacing w:line="360" w:lineRule="auto"/>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b/>
          <w:bCs w:val="0"/>
          <w:sz w:val="32"/>
          <w:szCs w:val="32"/>
          <w:lang w:val="en-US" w:eastAsia="zh-CN"/>
        </w:rPr>
        <w:t>3.</w:t>
      </w:r>
      <w:r>
        <w:rPr>
          <w:rFonts w:hint="eastAsia" w:ascii="仿宋_GB2312" w:hAnsi="仿宋_GB2312" w:eastAsia="仿宋_GB2312" w:cs="仿宋_GB2312"/>
          <w:b/>
          <w:bCs w:val="0"/>
          <w:sz w:val="32"/>
          <w:szCs w:val="32"/>
          <w:lang w:eastAsia="zh-CN"/>
        </w:rPr>
        <w:t>建立长效机制</w:t>
      </w:r>
      <w:r>
        <w:rPr>
          <w:rFonts w:hint="eastAsia" w:ascii="仿宋_GB2312" w:hAnsi="仿宋_GB2312" w:eastAsia="仿宋_GB2312" w:cs="仿宋_GB2312"/>
          <w:bCs/>
          <w:sz w:val="32"/>
          <w:szCs w:val="32"/>
          <w:lang w:eastAsia="zh-CN"/>
        </w:rPr>
        <w:t>　在食品监管部门内部建立长效机制，全面加强基层监管力量。食品监管部门应制定规划，将人员培训与考核结合起来，大力提升人员素质与能力。对城乡接合部、农村村镇、校园及其周边等重点区域，对群众日常大宗消费食品、低价食品、企业食品等重点品种，建立长期专项检查机制，打通监管毛细血管，建立全方位覆盖和城乡一体化监管体系。加强基层食品安全监管大数据平台建设，真正构建起从农田到餐桌全链条闭环式数据平台，实现监管协同化、智能化和专业化。</w:t>
      </w:r>
    </w:p>
    <w:p>
      <w:pPr>
        <w:numPr>
          <w:ilvl w:val="0"/>
          <w:numId w:val="0"/>
        </w:numPr>
        <w:spacing w:line="360" w:lineRule="auto"/>
        <w:ind w:firstLine="64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val="en-US" w:eastAsia="zh-CN"/>
        </w:rPr>
        <w:t>4.</w:t>
      </w:r>
      <w:r>
        <w:rPr>
          <w:rFonts w:hint="eastAsia" w:ascii="仿宋_GB2312" w:hAnsi="仿宋_GB2312" w:eastAsia="仿宋_GB2312" w:cs="仿宋_GB2312"/>
          <w:b/>
          <w:bCs w:val="0"/>
          <w:sz w:val="32"/>
          <w:szCs w:val="32"/>
          <w:lang w:eastAsia="zh-CN"/>
        </w:rPr>
        <w:t>严格规范执法</w:t>
      </w:r>
      <w:r>
        <w:rPr>
          <w:rFonts w:hint="eastAsia" w:ascii="仿宋_GB2312" w:hAnsi="仿宋_GB2312" w:eastAsia="仿宋_GB2312" w:cs="仿宋_GB2312"/>
          <w:bCs/>
          <w:sz w:val="32"/>
          <w:szCs w:val="32"/>
          <w:lang w:eastAsia="zh-CN"/>
        </w:rPr>
        <w:t>　一些基层出现食品安全问题，一个重要原因在于处罚不严格、违法成本低，难以形成震慑效应。对此，在执法层面要严格规范执法。只有严格规范执法，敬畏意识与底线意识才能在人们心中确立起来，法律的尊严与效力才能落地生根。基层食品安全执法面对众多厂家商贩，一方面要对他们加大宣传培训力度，使其牢固树立知法守法观念；另一方面，在监管执法中既要严格规范执法，又要运用适当方式方法，构筑起切实有效的食品安全屏障。</w:t>
      </w:r>
    </w:p>
    <w:p>
      <w:pPr>
        <w:numPr>
          <w:ilvl w:val="0"/>
          <w:numId w:val="0"/>
        </w:numPr>
        <w:spacing w:line="360" w:lineRule="auto"/>
        <w:ind w:firstLine="64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val="en-US" w:eastAsia="zh-CN"/>
        </w:rPr>
        <w:t>5.</w:t>
      </w:r>
      <w:r>
        <w:rPr>
          <w:rFonts w:hint="eastAsia" w:ascii="仿宋_GB2312" w:hAnsi="仿宋_GB2312" w:eastAsia="仿宋_GB2312" w:cs="仿宋_GB2312"/>
          <w:b/>
          <w:bCs w:val="0"/>
          <w:sz w:val="32"/>
          <w:szCs w:val="32"/>
          <w:lang w:eastAsia="zh-CN"/>
        </w:rPr>
        <w:t>提高宣传力度</w:t>
      </w:r>
      <w:r>
        <w:rPr>
          <w:rFonts w:hint="eastAsia" w:ascii="仿宋_GB2312" w:hAnsi="仿宋_GB2312" w:eastAsia="仿宋_GB2312" w:cs="仿宋_GB2312"/>
          <w:bCs/>
          <w:sz w:val="32"/>
          <w:szCs w:val="32"/>
          <w:lang w:eastAsia="zh-CN"/>
        </w:rPr>
        <w:t>　为保障广大群众的身体健康，市场监管部门应加大宣传微生物超标、添加剂乱用、理化指标不符合标准等对人体健康影响的知识，加强对消费者的正确引导，</w:t>
      </w:r>
      <w:r>
        <w:rPr>
          <w:rFonts w:hint="eastAsia" w:ascii="仿宋_GB2312" w:hAnsi="仿宋_GB2312" w:eastAsia="仿宋_GB2312" w:cs="仿宋_GB2312"/>
          <w:i w:val="0"/>
          <w:caps w:val="0"/>
          <w:color w:val="191919"/>
          <w:spacing w:val="0"/>
          <w:sz w:val="32"/>
          <w:szCs w:val="32"/>
          <w:shd w:val="clear" w:fill="FFFFFF"/>
        </w:rPr>
        <w:t>不断营造食品安全共治</w:t>
      </w:r>
      <w:r>
        <w:rPr>
          <w:rFonts w:hint="eastAsia" w:ascii="仿宋_GB2312" w:hAnsi="仿宋_GB2312" w:eastAsia="仿宋_GB2312" w:cs="仿宋_GB2312"/>
          <w:i w:val="0"/>
          <w:caps w:val="0"/>
          <w:color w:val="191919"/>
          <w:spacing w:val="0"/>
          <w:sz w:val="32"/>
          <w:szCs w:val="32"/>
          <w:shd w:val="clear" w:fill="FFFFFF"/>
          <w:lang w:eastAsia="zh-CN"/>
        </w:rPr>
        <w:t>的</w:t>
      </w:r>
      <w:r>
        <w:rPr>
          <w:rFonts w:hint="eastAsia" w:ascii="仿宋_GB2312" w:hAnsi="仿宋_GB2312" w:eastAsia="仿宋_GB2312" w:cs="仿宋_GB2312"/>
          <w:i w:val="0"/>
          <w:caps w:val="0"/>
          <w:color w:val="191919"/>
          <w:spacing w:val="0"/>
          <w:sz w:val="32"/>
          <w:szCs w:val="32"/>
          <w:shd w:val="clear" w:fill="FFFFFF"/>
        </w:rPr>
        <w:t>浓厚氛围</w:t>
      </w:r>
      <w:r>
        <w:rPr>
          <w:rFonts w:hint="eastAsia" w:ascii="仿宋_GB2312" w:hAnsi="仿宋_GB2312" w:eastAsia="仿宋_GB2312" w:cs="仿宋_GB2312"/>
          <w:bCs/>
          <w:sz w:val="32"/>
          <w:szCs w:val="32"/>
          <w:lang w:eastAsia="zh-CN"/>
        </w:rPr>
        <w:t>。　　</w:t>
      </w:r>
    </w:p>
    <w:p>
      <w:pPr>
        <w:numPr>
          <w:ilvl w:val="0"/>
          <w:numId w:val="0"/>
        </w:numPr>
        <w:spacing w:line="360" w:lineRule="auto"/>
        <w:ind w:firstLine="640"/>
        <w:jc w:val="both"/>
        <w:rPr>
          <w:rFonts w:hint="eastAsia" w:ascii="仿宋_GB2312" w:hAnsi="仿宋_GB2312" w:eastAsia="仿宋_GB2312" w:cs="仿宋_GB2312"/>
          <w:bCs/>
          <w:sz w:val="32"/>
          <w:szCs w:val="32"/>
          <w:lang w:eastAsia="zh-CN"/>
        </w:rPr>
      </w:pPr>
    </w:p>
    <w:p>
      <w:pPr>
        <w:numPr>
          <w:ilvl w:val="0"/>
          <w:numId w:val="0"/>
        </w:numPr>
        <w:spacing w:line="360" w:lineRule="auto"/>
        <w:ind w:firstLine="2560" w:firstLineChars="800"/>
        <w:jc w:val="both"/>
        <w:rPr>
          <w:rFonts w:hint="eastAsia" w:ascii="仿宋_GB2312" w:hAnsi="仿宋_GB2312" w:eastAsia="仿宋_GB2312" w:cs="仿宋_GB2312"/>
          <w:bCs/>
          <w:sz w:val="32"/>
          <w:szCs w:val="32"/>
          <w:lang w:eastAsia="zh-CN"/>
        </w:rPr>
      </w:pPr>
    </w:p>
    <w:p>
      <w:pPr>
        <w:numPr>
          <w:ilvl w:val="0"/>
          <w:numId w:val="0"/>
        </w:numPr>
        <w:spacing w:line="360" w:lineRule="auto"/>
        <w:ind w:firstLine="4480" w:firstLineChars="14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兴县市场监督管理局</w:t>
      </w:r>
    </w:p>
    <w:p>
      <w:pPr>
        <w:numPr>
          <w:ilvl w:val="0"/>
          <w:numId w:val="0"/>
        </w:numPr>
        <w:spacing w:line="360" w:lineRule="auto"/>
        <w:ind w:firstLine="4800" w:firstLineChars="15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2021年11月30日</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B718E"/>
    <w:multiLevelType w:val="singleLevel"/>
    <w:tmpl w:val="670B71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A69FF"/>
    <w:rsid w:val="001201C6"/>
    <w:rsid w:val="00602141"/>
    <w:rsid w:val="007068A7"/>
    <w:rsid w:val="00E16FE2"/>
    <w:rsid w:val="011B5AD9"/>
    <w:rsid w:val="01BC5B3D"/>
    <w:rsid w:val="02150AA0"/>
    <w:rsid w:val="02353CF9"/>
    <w:rsid w:val="02821775"/>
    <w:rsid w:val="03880069"/>
    <w:rsid w:val="041A6554"/>
    <w:rsid w:val="042A5D54"/>
    <w:rsid w:val="04401645"/>
    <w:rsid w:val="04485841"/>
    <w:rsid w:val="045B3F86"/>
    <w:rsid w:val="04C0645A"/>
    <w:rsid w:val="04C656D2"/>
    <w:rsid w:val="04F1425A"/>
    <w:rsid w:val="051444A2"/>
    <w:rsid w:val="053D30A9"/>
    <w:rsid w:val="059E3F7F"/>
    <w:rsid w:val="05AC3183"/>
    <w:rsid w:val="06220804"/>
    <w:rsid w:val="066A15E6"/>
    <w:rsid w:val="071C5A18"/>
    <w:rsid w:val="07205C38"/>
    <w:rsid w:val="074567DB"/>
    <w:rsid w:val="085030D2"/>
    <w:rsid w:val="08CA7A3C"/>
    <w:rsid w:val="0935598B"/>
    <w:rsid w:val="09380261"/>
    <w:rsid w:val="098F7C45"/>
    <w:rsid w:val="099C403C"/>
    <w:rsid w:val="0A183A2E"/>
    <w:rsid w:val="0A792901"/>
    <w:rsid w:val="0ACE1706"/>
    <w:rsid w:val="0AD70872"/>
    <w:rsid w:val="0AD9504D"/>
    <w:rsid w:val="0AF72B20"/>
    <w:rsid w:val="0BB01DFD"/>
    <w:rsid w:val="0C0E04A6"/>
    <w:rsid w:val="0C0F301B"/>
    <w:rsid w:val="0C742886"/>
    <w:rsid w:val="0DBE3F31"/>
    <w:rsid w:val="0DF83240"/>
    <w:rsid w:val="0E0914A5"/>
    <w:rsid w:val="0E1F4857"/>
    <w:rsid w:val="0E256FCA"/>
    <w:rsid w:val="0E384570"/>
    <w:rsid w:val="0F045632"/>
    <w:rsid w:val="0F095D73"/>
    <w:rsid w:val="0F0A004B"/>
    <w:rsid w:val="0F984877"/>
    <w:rsid w:val="0FBB64D0"/>
    <w:rsid w:val="0FE82F9C"/>
    <w:rsid w:val="0FEB2846"/>
    <w:rsid w:val="10073674"/>
    <w:rsid w:val="11427629"/>
    <w:rsid w:val="11CF576F"/>
    <w:rsid w:val="12205858"/>
    <w:rsid w:val="12F61C73"/>
    <w:rsid w:val="1303454E"/>
    <w:rsid w:val="137F693F"/>
    <w:rsid w:val="13FA6651"/>
    <w:rsid w:val="14C4339D"/>
    <w:rsid w:val="14C72051"/>
    <w:rsid w:val="15BA12C1"/>
    <w:rsid w:val="15BF7FC7"/>
    <w:rsid w:val="16104199"/>
    <w:rsid w:val="166D5AC2"/>
    <w:rsid w:val="1670126F"/>
    <w:rsid w:val="167C2304"/>
    <w:rsid w:val="16D570C0"/>
    <w:rsid w:val="17560C0E"/>
    <w:rsid w:val="17B8607B"/>
    <w:rsid w:val="180057BA"/>
    <w:rsid w:val="18512631"/>
    <w:rsid w:val="186736D6"/>
    <w:rsid w:val="187C6C48"/>
    <w:rsid w:val="18884C71"/>
    <w:rsid w:val="18D234FD"/>
    <w:rsid w:val="18EF4ECF"/>
    <w:rsid w:val="18F32223"/>
    <w:rsid w:val="18FA2AC3"/>
    <w:rsid w:val="195D791C"/>
    <w:rsid w:val="19687E48"/>
    <w:rsid w:val="19692889"/>
    <w:rsid w:val="1A863067"/>
    <w:rsid w:val="1A9B14F8"/>
    <w:rsid w:val="1B1C4B58"/>
    <w:rsid w:val="1B1C4FF7"/>
    <w:rsid w:val="1B6F2C80"/>
    <w:rsid w:val="1B740177"/>
    <w:rsid w:val="1B7F3431"/>
    <w:rsid w:val="1B833C92"/>
    <w:rsid w:val="1B860A5A"/>
    <w:rsid w:val="1BB45FC6"/>
    <w:rsid w:val="1BF86725"/>
    <w:rsid w:val="1C1C251C"/>
    <w:rsid w:val="1C693835"/>
    <w:rsid w:val="1C8078F3"/>
    <w:rsid w:val="1CC1525F"/>
    <w:rsid w:val="1CCA0355"/>
    <w:rsid w:val="1CDD74AC"/>
    <w:rsid w:val="1D074692"/>
    <w:rsid w:val="1D9A25D0"/>
    <w:rsid w:val="1E3E28FC"/>
    <w:rsid w:val="1E456307"/>
    <w:rsid w:val="1EAB5D46"/>
    <w:rsid w:val="1EF234E6"/>
    <w:rsid w:val="1F51773C"/>
    <w:rsid w:val="1F542870"/>
    <w:rsid w:val="1F5F4663"/>
    <w:rsid w:val="1FA2368F"/>
    <w:rsid w:val="1FD44EA9"/>
    <w:rsid w:val="203F1DD3"/>
    <w:rsid w:val="20451808"/>
    <w:rsid w:val="208653A5"/>
    <w:rsid w:val="209907A2"/>
    <w:rsid w:val="20DB7089"/>
    <w:rsid w:val="216D7B7E"/>
    <w:rsid w:val="21934DCF"/>
    <w:rsid w:val="21C261F8"/>
    <w:rsid w:val="21C93D1D"/>
    <w:rsid w:val="21F47F61"/>
    <w:rsid w:val="224A04E4"/>
    <w:rsid w:val="23392005"/>
    <w:rsid w:val="23463A15"/>
    <w:rsid w:val="23697BFC"/>
    <w:rsid w:val="23724E5A"/>
    <w:rsid w:val="239F1C3D"/>
    <w:rsid w:val="23A411F9"/>
    <w:rsid w:val="23C82E51"/>
    <w:rsid w:val="23F47716"/>
    <w:rsid w:val="247C29D4"/>
    <w:rsid w:val="24E27136"/>
    <w:rsid w:val="24E831BF"/>
    <w:rsid w:val="25C826A5"/>
    <w:rsid w:val="25D35341"/>
    <w:rsid w:val="25D45EB0"/>
    <w:rsid w:val="26075411"/>
    <w:rsid w:val="2625590F"/>
    <w:rsid w:val="26906B90"/>
    <w:rsid w:val="2691539E"/>
    <w:rsid w:val="26CC444E"/>
    <w:rsid w:val="27402D47"/>
    <w:rsid w:val="279444FF"/>
    <w:rsid w:val="27C1202F"/>
    <w:rsid w:val="28337082"/>
    <w:rsid w:val="28592A48"/>
    <w:rsid w:val="288141C4"/>
    <w:rsid w:val="290D474A"/>
    <w:rsid w:val="29393A56"/>
    <w:rsid w:val="29E33EEE"/>
    <w:rsid w:val="29F405ED"/>
    <w:rsid w:val="2A291E1D"/>
    <w:rsid w:val="2A365A36"/>
    <w:rsid w:val="2A5606EA"/>
    <w:rsid w:val="2AB43414"/>
    <w:rsid w:val="2C2B1344"/>
    <w:rsid w:val="2CF639F8"/>
    <w:rsid w:val="2D3C2615"/>
    <w:rsid w:val="2D5C4BBA"/>
    <w:rsid w:val="2D955F8F"/>
    <w:rsid w:val="2DC17A0B"/>
    <w:rsid w:val="2E353E26"/>
    <w:rsid w:val="2E3A6F3F"/>
    <w:rsid w:val="2E985FFA"/>
    <w:rsid w:val="2EC42116"/>
    <w:rsid w:val="2F2B68BB"/>
    <w:rsid w:val="2F3E336F"/>
    <w:rsid w:val="2F7A324F"/>
    <w:rsid w:val="2F7A7F0E"/>
    <w:rsid w:val="2FAB7376"/>
    <w:rsid w:val="2FC76202"/>
    <w:rsid w:val="3009434D"/>
    <w:rsid w:val="30137AFA"/>
    <w:rsid w:val="30206F54"/>
    <w:rsid w:val="30212C44"/>
    <w:rsid w:val="30476B27"/>
    <w:rsid w:val="306C1A55"/>
    <w:rsid w:val="30853DC3"/>
    <w:rsid w:val="30C75106"/>
    <w:rsid w:val="30CD53A8"/>
    <w:rsid w:val="310D7721"/>
    <w:rsid w:val="310F1D66"/>
    <w:rsid w:val="31572449"/>
    <w:rsid w:val="31A42E36"/>
    <w:rsid w:val="31B13D79"/>
    <w:rsid w:val="324500E0"/>
    <w:rsid w:val="32BD5BA8"/>
    <w:rsid w:val="32C26DD6"/>
    <w:rsid w:val="333A6AF5"/>
    <w:rsid w:val="33C9220F"/>
    <w:rsid w:val="34171B32"/>
    <w:rsid w:val="354C4099"/>
    <w:rsid w:val="35863EA6"/>
    <w:rsid w:val="358F6A30"/>
    <w:rsid w:val="35CD33A0"/>
    <w:rsid w:val="35D704DC"/>
    <w:rsid w:val="3618540F"/>
    <w:rsid w:val="364A16EB"/>
    <w:rsid w:val="36857B92"/>
    <w:rsid w:val="36C2213A"/>
    <w:rsid w:val="36CF36A1"/>
    <w:rsid w:val="37B11C9A"/>
    <w:rsid w:val="37BF0E80"/>
    <w:rsid w:val="37C62757"/>
    <w:rsid w:val="37C6654C"/>
    <w:rsid w:val="37E95BB2"/>
    <w:rsid w:val="387639B6"/>
    <w:rsid w:val="389C04B4"/>
    <w:rsid w:val="3A584FAA"/>
    <w:rsid w:val="3A842D5C"/>
    <w:rsid w:val="3ACC7983"/>
    <w:rsid w:val="3AF03DBF"/>
    <w:rsid w:val="3B945917"/>
    <w:rsid w:val="3B9E5AC1"/>
    <w:rsid w:val="3BF84C04"/>
    <w:rsid w:val="3C302EFA"/>
    <w:rsid w:val="3C4F217B"/>
    <w:rsid w:val="3C6109FB"/>
    <w:rsid w:val="3CA62D51"/>
    <w:rsid w:val="3D932239"/>
    <w:rsid w:val="3DA55A8B"/>
    <w:rsid w:val="3DEB2C72"/>
    <w:rsid w:val="3E0043BC"/>
    <w:rsid w:val="3E276C95"/>
    <w:rsid w:val="3E6626C3"/>
    <w:rsid w:val="3E8041C7"/>
    <w:rsid w:val="3EEE4B76"/>
    <w:rsid w:val="3F351110"/>
    <w:rsid w:val="3FE25960"/>
    <w:rsid w:val="406D2A08"/>
    <w:rsid w:val="41A84AFF"/>
    <w:rsid w:val="41A91232"/>
    <w:rsid w:val="41CA7727"/>
    <w:rsid w:val="42332F1C"/>
    <w:rsid w:val="426A1ACC"/>
    <w:rsid w:val="426E5D3B"/>
    <w:rsid w:val="427965AE"/>
    <w:rsid w:val="42AC1362"/>
    <w:rsid w:val="42D64D01"/>
    <w:rsid w:val="43201701"/>
    <w:rsid w:val="43335141"/>
    <w:rsid w:val="434B7135"/>
    <w:rsid w:val="43A17488"/>
    <w:rsid w:val="44626FEB"/>
    <w:rsid w:val="44670548"/>
    <w:rsid w:val="446931A9"/>
    <w:rsid w:val="447B7033"/>
    <w:rsid w:val="44E96329"/>
    <w:rsid w:val="45464014"/>
    <w:rsid w:val="45971467"/>
    <w:rsid w:val="45B778DE"/>
    <w:rsid w:val="4600525D"/>
    <w:rsid w:val="4635068C"/>
    <w:rsid w:val="46484076"/>
    <w:rsid w:val="468B269E"/>
    <w:rsid w:val="46F74D8F"/>
    <w:rsid w:val="47684254"/>
    <w:rsid w:val="47B5698E"/>
    <w:rsid w:val="47F048E0"/>
    <w:rsid w:val="47FB13E8"/>
    <w:rsid w:val="4820507A"/>
    <w:rsid w:val="482F2753"/>
    <w:rsid w:val="48A90FD5"/>
    <w:rsid w:val="4901283C"/>
    <w:rsid w:val="49436FAA"/>
    <w:rsid w:val="495A77C3"/>
    <w:rsid w:val="49770E4F"/>
    <w:rsid w:val="49B16ED9"/>
    <w:rsid w:val="4A825B1C"/>
    <w:rsid w:val="4A8E7F8F"/>
    <w:rsid w:val="4B3F3BDE"/>
    <w:rsid w:val="4B59658C"/>
    <w:rsid w:val="4B6B06B2"/>
    <w:rsid w:val="4BB01AEA"/>
    <w:rsid w:val="4C2318D2"/>
    <w:rsid w:val="4CB4013C"/>
    <w:rsid w:val="4CC76E7E"/>
    <w:rsid w:val="4D2C5042"/>
    <w:rsid w:val="4D7C7519"/>
    <w:rsid w:val="4DA3126A"/>
    <w:rsid w:val="4E95780A"/>
    <w:rsid w:val="4F156903"/>
    <w:rsid w:val="4FAB7E8A"/>
    <w:rsid w:val="4FD9189E"/>
    <w:rsid w:val="505A355E"/>
    <w:rsid w:val="514C37B4"/>
    <w:rsid w:val="51B73AEB"/>
    <w:rsid w:val="51CA1868"/>
    <w:rsid w:val="51F1732C"/>
    <w:rsid w:val="520D2DC5"/>
    <w:rsid w:val="53BE0977"/>
    <w:rsid w:val="53C74F23"/>
    <w:rsid w:val="53F2018C"/>
    <w:rsid w:val="54117329"/>
    <w:rsid w:val="541D720C"/>
    <w:rsid w:val="547B4372"/>
    <w:rsid w:val="5492009A"/>
    <w:rsid w:val="54A016A6"/>
    <w:rsid w:val="54DF6A4A"/>
    <w:rsid w:val="54FE4BE1"/>
    <w:rsid w:val="55131B83"/>
    <w:rsid w:val="555D2724"/>
    <w:rsid w:val="556A3738"/>
    <w:rsid w:val="55A25A4F"/>
    <w:rsid w:val="561C7ED4"/>
    <w:rsid w:val="56461F33"/>
    <w:rsid w:val="564A3DD1"/>
    <w:rsid w:val="56DC6649"/>
    <w:rsid w:val="56F253BF"/>
    <w:rsid w:val="57203535"/>
    <w:rsid w:val="57383D5C"/>
    <w:rsid w:val="575D05EF"/>
    <w:rsid w:val="575E4863"/>
    <w:rsid w:val="57B41B8B"/>
    <w:rsid w:val="57E72BBA"/>
    <w:rsid w:val="58022BA3"/>
    <w:rsid w:val="58212A36"/>
    <w:rsid w:val="583B6117"/>
    <w:rsid w:val="58556180"/>
    <w:rsid w:val="58A83950"/>
    <w:rsid w:val="58C4569D"/>
    <w:rsid w:val="58E55426"/>
    <w:rsid w:val="58EC58F5"/>
    <w:rsid w:val="593A76E0"/>
    <w:rsid w:val="59420786"/>
    <w:rsid w:val="5966592D"/>
    <w:rsid w:val="59C538A4"/>
    <w:rsid w:val="59F43F3B"/>
    <w:rsid w:val="5A1126E3"/>
    <w:rsid w:val="5A3419FA"/>
    <w:rsid w:val="5A504FD9"/>
    <w:rsid w:val="5A993B7F"/>
    <w:rsid w:val="5ABD59D3"/>
    <w:rsid w:val="5AFE0ECF"/>
    <w:rsid w:val="5B2639A5"/>
    <w:rsid w:val="5B312AEE"/>
    <w:rsid w:val="5B6D0A66"/>
    <w:rsid w:val="5BBF7396"/>
    <w:rsid w:val="5BCA69FF"/>
    <w:rsid w:val="5C152433"/>
    <w:rsid w:val="5C4F7DE2"/>
    <w:rsid w:val="5CFB36FD"/>
    <w:rsid w:val="5D5B76D9"/>
    <w:rsid w:val="5DA87513"/>
    <w:rsid w:val="5EB30E78"/>
    <w:rsid w:val="5ECF5F8B"/>
    <w:rsid w:val="5F33258E"/>
    <w:rsid w:val="5F353669"/>
    <w:rsid w:val="5F591C27"/>
    <w:rsid w:val="5FFC2665"/>
    <w:rsid w:val="60740C67"/>
    <w:rsid w:val="608B21A9"/>
    <w:rsid w:val="61027CA8"/>
    <w:rsid w:val="620558F2"/>
    <w:rsid w:val="62144A0C"/>
    <w:rsid w:val="622C13F9"/>
    <w:rsid w:val="62407D27"/>
    <w:rsid w:val="62E358DA"/>
    <w:rsid w:val="636E4A9B"/>
    <w:rsid w:val="63945655"/>
    <w:rsid w:val="63AA425E"/>
    <w:rsid w:val="64393415"/>
    <w:rsid w:val="64AD02E8"/>
    <w:rsid w:val="64DA24F2"/>
    <w:rsid w:val="64FF0D10"/>
    <w:rsid w:val="655C601D"/>
    <w:rsid w:val="661A5CCC"/>
    <w:rsid w:val="662A1A8D"/>
    <w:rsid w:val="66433CB9"/>
    <w:rsid w:val="667100E3"/>
    <w:rsid w:val="66963B98"/>
    <w:rsid w:val="669E00CD"/>
    <w:rsid w:val="66D63D62"/>
    <w:rsid w:val="674618F4"/>
    <w:rsid w:val="674E6312"/>
    <w:rsid w:val="67D05CA5"/>
    <w:rsid w:val="68455084"/>
    <w:rsid w:val="68AA7E13"/>
    <w:rsid w:val="68D054CA"/>
    <w:rsid w:val="68F14651"/>
    <w:rsid w:val="68F374DE"/>
    <w:rsid w:val="6932539A"/>
    <w:rsid w:val="696310DA"/>
    <w:rsid w:val="697E39D9"/>
    <w:rsid w:val="6981681B"/>
    <w:rsid w:val="69B1222D"/>
    <w:rsid w:val="69EE023A"/>
    <w:rsid w:val="69EE2B47"/>
    <w:rsid w:val="6A335CF8"/>
    <w:rsid w:val="6A56677B"/>
    <w:rsid w:val="6A892731"/>
    <w:rsid w:val="6AF95EF1"/>
    <w:rsid w:val="6B8B00FB"/>
    <w:rsid w:val="6BC91BA2"/>
    <w:rsid w:val="6BCE798C"/>
    <w:rsid w:val="6C572B82"/>
    <w:rsid w:val="6C5C39AE"/>
    <w:rsid w:val="6C7822A1"/>
    <w:rsid w:val="6C9B622B"/>
    <w:rsid w:val="6D666971"/>
    <w:rsid w:val="6DDC57D3"/>
    <w:rsid w:val="6EE24B1E"/>
    <w:rsid w:val="6F09426C"/>
    <w:rsid w:val="6F687F18"/>
    <w:rsid w:val="6F9E14C2"/>
    <w:rsid w:val="708C1DDD"/>
    <w:rsid w:val="71510C60"/>
    <w:rsid w:val="71A85019"/>
    <w:rsid w:val="723B7236"/>
    <w:rsid w:val="72633676"/>
    <w:rsid w:val="72727C36"/>
    <w:rsid w:val="72EA1BEE"/>
    <w:rsid w:val="72F90B71"/>
    <w:rsid w:val="74010115"/>
    <w:rsid w:val="740D571B"/>
    <w:rsid w:val="74810555"/>
    <w:rsid w:val="74D573F7"/>
    <w:rsid w:val="74DD5792"/>
    <w:rsid w:val="751320A8"/>
    <w:rsid w:val="75207BC7"/>
    <w:rsid w:val="75694609"/>
    <w:rsid w:val="757602CE"/>
    <w:rsid w:val="75A708DD"/>
    <w:rsid w:val="75DA5DBC"/>
    <w:rsid w:val="75FE0467"/>
    <w:rsid w:val="768413EE"/>
    <w:rsid w:val="7697609F"/>
    <w:rsid w:val="76A12CDB"/>
    <w:rsid w:val="771B460E"/>
    <w:rsid w:val="77AD2CE2"/>
    <w:rsid w:val="780D05A4"/>
    <w:rsid w:val="78250F0A"/>
    <w:rsid w:val="7871501A"/>
    <w:rsid w:val="787637C4"/>
    <w:rsid w:val="78FD502C"/>
    <w:rsid w:val="7925725F"/>
    <w:rsid w:val="794E5BD0"/>
    <w:rsid w:val="7A4B22FA"/>
    <w:rsid w:val="7A643E80"/>
    <w:rsid w:val="7AE12409"/>
    <w:rsid w:val="7B155540"/>
    <w:rsid w:val="7B5B5713"/>
    <w:rsid w:val="7B9B50AD"/>
    <w:rsid w:val="7BBB6F1E"/>
    <w:rsid w:val="7BDB6EA4"/>
    <w:rsid w:val="7CEF247B"/>
    <w:rsid w:val="7D18743C"/>
    <w:rsid w:val="7D3D2E0B"/>
    <w:rsid w:val="7D41766E"/>
    <w:rsid w:val="7DA65D21"/>
    <w:rsid w:val="7DBF48AF"/>
    <w:rsid w:val="7E933D3D"/>
    <w:rsid w:val="7ECE7793"/>
    <w:rsid w:val="7F125449"/>
    <w:rsid w:val="7F69685E"/>
    <w:rsid w:val="7F6E453A"/>
    <w:rsid w:val="7F9C00AF"/>
    <w:rsid w:val="7FC710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rFonts w:ascii="Times New Roman" w:hAnsi="Times New Roman" w:eastAsia="仿宋"/>
      <w:b/>
      <w:kern w:val="44"/>
      <w:sz w:val="36"/>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仿宋"/>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eastAsia="仿宋"/>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1 Char"/>
    <w:link w:val="2"/>
    <w:qFormat/>
    <w:uiPriority w:val="0"/>
    <w:rPr>
      <w:rFonts w:ascii="Times New Roman" w:hAnsi="Times New Roman" w:eastAsia="仿宋"/>
      <w:b/>
      <w:kern w:val="44"/>
      <w:sz w:val="36"/>
    </w:rPr>
  </w:style>
  <w:style w:type="table" w:customStyle="1" w:styleId="10">
    <w:name w:val="Plain Table 2"/>
    <w:basedOn w:val="7"/>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11">
    <w:name w:val="_Style 1"/>
    <w:basedOn w:val="1"/>
    <w:qFormat/>
    <w:uiPriority w:val="34"/>
    <w:pPr>
      <w:spacing w:line="240" w:lineRule="auto"/>
      <w:ind w:firstLine="420" w:firstLineChars="200"/>
    </w:pPr>
    <w:rPr>
      <w:rFonts w:ascii="Calibri" w:hAnsi="Calibri" w:eastAsia="宋体" w:cs="Times New Roman"/>
      <w:sz w:val="21"/>
      <w:szCs w:val="22"/>
    </w:rPr>
  </w:style>
  <w:style w:type="character" w:customStyle="1" w:styleId="12">
    <w:name w:val="font21"/>
    <w:basedOn w:val="8"/>
    <w:qFormat/>
    <w:uiPriority w:val="0"/>
    <w:rPr>
      <w:rFonts w:hint="eastAsia" w:ascii="宋体" w:hAnsi="宋体" w:eastAsia="宋体" w:cs="宋体"/>
      <w:color w:val="000000"/>
      <w:sz w:val="20"/>
      <w:szCs w:val="20"/>
      <w:u w:val="none"/>
    </w:rPr>
  </w:style>
  <w:style w:type="character" w:customStyle="1" w:styleId="13">
    <w:name w:val="font4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1367;&#23447;\&#25277;&#26816;\2021&#24180;&#25277;&#26816;&#36827;&#24230;&#26126;&#3245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1367;&#23447;\&#25277;&#26816;\2021&#24180;&#25277;&#26816;&#36827;&#24230;&#26126;&#3245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1367;&#23447;\&#25277;&#26816;\2021&#24180;&#25277;&#26816;&#36827;&#24230;&#26126;&#32454;.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'[2021年抽检进度明细.xlsx]筛选分析-表3 食用农产品种类占比情况表 (计数)'!$B$1</c:f>
              <c:strCache>
                <c:ptCount val="1"/>
                <c:pt idx="0">
                  <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食用农产品3</a:t>
                    </a:r>
                    <a:r>
                      <a:rPr lang="en-US" altLang="zh-CN"/>
                      <a:t>7.5</a:t>
                    </a:r>
                    <a:r>
                      <a:t>%</a:t>
                    </a:r>
                  </a:p>
                </c:rich>
              </c:tx>
              <c:dLblPos val="ctr"/>
              <c:showLegendKey val="0"/>
              <c:showVal val="0"/>
              <c:showCatName val="0"/>
              <c:showSerName val="0"/>
              <c:showPercent val="1"/>
              <c:showBubbleSize val="1"/>
              <c:extLst>
                <c:ext xmlns:c15="http://schemas.microsoft.com/office/drawing/2012/chart" uri="{CE6537A1-D6FC-4f65-9D91-7224C49458BB}"/>
              </c:extLst>
            </c:dLbl>
            <c:dLbl>
              <c:idx val="1"/>
              <c:layout>
                <c:manualLayout>
                  <c:x val="0.188512078811917"/>
                  <c:y val="-0.0966111154901723"/>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普通食品62</a:t>
                    </a:r>
                    <a:r>
                      <a:rPr lang="en-US" altLang="zh-CN"/>
                      <a:t>.5</a:t>
                    </a:r>
                    <a:r>
                      <a:t>%</a:t>
                    </a:r>
                  </a:p>
                </c:rich>
              </c:tx>
              <c:dLblPos val="bestFit"/>
              <c:showLegendKey val="0"/>
              <c:showVal val="0"/>
              <c:showCatName val="0"/>
              <c:showSerName val="0"/>
              <c:showPercent val="1"/>
              <c:showBubbleSize val="1"/>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1"/>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'[2021年抽检进度明细.xlsx]筛选分析-表3 食用农产品种类占比情况表 (计数)'!$A$2:$A$3</c:f>
              <c:strCache>
                <c:ptCount val="2"/>
                <c:pt idx="0">
                  <c:v>食用农产品</c:v>
                </c:pt>
                <c:pt idx="1">
                  <c:v>普通食品</c:v>
                </c:pt>
              </c:strCache>
            </c:strRef>
          </c:cat>
          <c:val>
            <c:numRef>
              <c:f>'[2021年抽检进度明细.xlsx]筛选分析-表3 食用农产品种类占比情况表 (计数)'!$B$2:$B$3</c:f>
              <c:numCache>
                <c:formatCode>General</c:formatCode>
                <c:ptCount val="2"/>
                <c:pt idx="0">
                  <c:v>437</c:v>
                </c:pt>
                <c:pt idx="1">
                  <c:v>728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抽检批次</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食用农产品</c:v>
                </c:pt>
                <c:pt idx="1">
                  <c:v>普通食品</c:v>
                </c:pt>
              </c:strCache>
            </c:strRef>
          </c:cat>
          <c:val>
            <c:numRef>
              <c:f>Sheet1!$B$2:$B$3</c:f>
              <c:numCache>
                <c:formatCode>General</c:formatCode>
                <c:ptCount val="2"/>
                <c:pt idx="0">
                  <c:v>437</c:v>
                </c:pt>
                <c:pt idx="1">
                  <c:v>728</c:v>
                </c:pt>
              </c:numCache>
            </c:numRef>
          </c:val>
        </c:ser>
        <c:ser>
          <c:idx val="1"/>
          <c:order val="1"/>
          <c:tx>
            <c:strRef>
              <c:f>Sheet1!$C$1</c:f>
              <c:strCache>
                <c:ptCount val="1"/>
                <c:pt idx="0">
                  <c:v>合格批次</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食用农产品</c:v>
                </c:pt>
                <c:pt idx="1">
                  <c:v>普通食品</c:v>
                </c:pt>
              </c:strCache>
            </c:strRef>
          </c:cat>
          <c:val>
            <c:numRef>
              <c:f>Sheet1!$C$2:$C$3</c:f>
              <c:numCache>
                <c:formatCode>General</c:formatCode>
                <c:ptCount val="2"/>
                <c:pt idx="0">
                  <c:v>383</c:v>
                </c:pt>
                <c:pt idx="1">
                  <c:v>663</c:v>
                </c:pt>
              </c:numCache>
            </c:numRef>
          </c:val>
        </c:ser>
        <c:ser>
          <c:idx val="2"/>
          <c:order val="2"/>
          <c:tx>
            <c:strRef>
              <c:f>Sheet1!$D$1</c:f>
              <c:strCache>
                <c:ptCount val="1"/>
                <c:pt idx="0">
                  <c:v>不合格批次</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食用农产品</c:v>
                </c:pt>
                <c:pt idx="1">
                  <c:v>普通食品</c:v>
                </c:pt>
              </c:strCache>
            </c:strRef>
          </c:cat>
          <c:val>
            <c:numRef>
              <c:f>Sheet1!$D$2:$D$3</c:f>
              <c:numCache>
                <c:formatCode>General</c:formatCode>
                <c:ptCount val="2"/>
                <c:pt idx="0">
                  <c:v>7</c:v>
                </c:pt>
                <c:pt idx="1">
                  <c:v>4</c:v>
                </c:pt>
              </c:numCache>
            </c:numRef>
          </c:val>
        </c:ser>
        <c:dLbls>
          <c:showLegendKey val="0"/>
          <c:showVal val="1"/>
          <c:showCatName val="0"/>
          <c:showSerName val="0"/>
          <c:showPercent val="0"/>
          <c:showBubbleSize val="0"/>
        </c:dLbls>
        <c:gapWidth val="444"/>
        <c:overlap val="-90"/>
        <c:axId val="95400906"/>
        <c:axId val="357078920"/>
      </c:barChart>
      <c:catAx>
        <c:axId val="95400906"/>
        <c:scaling>
          <c:orientation val="minMax"/>
        </c:scaling>
        <c:delete val="0"/>
        <c:axPos val="b"/>
        <c:majorGridlines>
          <c:spPr>
            <a:ln w="9525" cap="flat" cmpd="sng" algn="ctr">
              <a:solidFill>
                <a:schemeClr val="tx1">
                  <a:lumMod val="15000"/>
                  <a:lumOff val="85000"/>
                </a:schemeClr>
              </a:solidFill>
              <a:round/>
            </a:ln>
            <a:effectLst/>
          </c:spPr>
        </c:majorGridlines>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357078920"/>
        <c:crosses val="autoZero"/>
        <c:auto val="1"/>
        <c:lblAlgn val="ctr"/>
        <c:lblOffset val="100"/>
        <c:noMultiLvlLbl val="0"/>
      </c:catAx>
      <c:valAx>
        <c:axId val="357078920"/>
        <c:scaling>
          <c:orientation val="minMax"/>
        </c:scaling>
        <c:delete val="0"/>
        <c:axPos val="l"/>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40090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0"/>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'[2021年抽检进度明细.xlsx]筛选分析-表3 食用农产品种类占比情况表 (计数)'!$B$1</c:f>
              <c:strCache>
                <c:ptCount val="1"/>
                <c:pt idx="0">
                  <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1"/>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'[2021年抽检进度明细.xlsx]筛选分析-表3 食用农产品种类占比情况表 (计数)'!$A$2:$A$8</c:f>
              <c:strCache>
                <c:ptCount val="7"/>
                <c:pt idx="0">
                  <c:v>蔬菜</c:v>
                </c:pt>
                <c:pt idx="1">
                  <c:v>水果类</c:v>
                </c:pt>
                <c:pt idx="2">
                  <c:v>畜禽肉及副产品</c:v>
                </c:pt>
                <c:pt idx="3">
                  <c:v>水产品</c:v>
                </c:pt>
                <c:pt idx="4">
                  <c:v>鲜蛋</c:v>
                </c:pt>
                <c:pt idx="5">
                  <c:v>豆类</c:v>
                </c:pt>
                <c:pt idx="6">
                  <c:v>生干坚果与籽类食品</c:v>
                </c:pt>
              </c:strCache>
            </c:strRef>
          </c:cat>
          <c:val>
            <c:numRef>
              <c:f>'[2021年抽检进度明细.xlsx]筛选分析-表3 食用农产品种类占比情况表 (计数)'!$B$2:$B$8</c:f>
              <c:numCache>
                <c:formatCode>General</c:formatCode>
                <c:ptCount val="7"/>
                <c:pt idx="0">
                  <c:v>272</c:v>
                </c:pt>
                <c:pt idx="1">
                  <c:v>76</c:v>
                </c:pt>
                <c:pt idx="2">
                  <c:v>13</c:v>
                </c:pt>
                <c:pt idx="3">
                  <c:v>12</c:v>
                </c:pt>
                <c:pt idx="4">
                  <c:v>10</c:v>
                </c:pt>
                <c:pt idx="5">
                  <c:v>5</c:v>
                </c:pt>
                <c:pt idx="6">
                  <c:v>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不合格样品批次</c:v>
                </c:pt>
              </c:strCache>
            </c:strRef>
          </c:tx>
          <c:spPr/>
          <c:explosion val="0"/>
          <c:dPt>
            <c:idx val="0"/>
            <c:bubble3D val="0"/>
            <c:spPr>
              <a:solidFill>
                <a:schemeClr val="accent6"/>
              </a:solidFill>
              <a:ln>
                <a:noFill/>
              </a:ln>
              <a:effectLst>
                <a:outerShdw blurRad="254000" sx="102000" sy="102000" algn="ctr" rotWithShape="0">
                  <a:prstClr val="black">
                    <a:alpha val="20000"/>
                  </a:prstClr>
                </a:outerShdw>
              </a:effectLst>
            </c:spPr>
          </c:dPt>
          <c:dPt>
            <c:idx val="1"/>
            <c:bubble3D val="0"/>
            <c:spPr>
              <a:solidFill>
                <a:schemeClr val="accent5"/>
              </a:solidFill>
              <a:ln>
                <a:noFill/>
              </a:ln>
              <a:effectLst>
                <a:outerShdw blurRad="254000" sx="102000" sy="102000" algn="ctr" rotWithShape="0">
                  <a:prstClr val="black">
                    <a:alpha val="20000"/>
                  </a:prstClr>
                </a:outerShdw>
              </a:effectLst>
            </c:spPr>
          </c:dPt>
          <c:dPt>
            <c:idx val="2"/>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蔬菜</c:v>
                </c:pt>
                <c:pt idx="1">
                  <c:v>水果类</c:v>
                </c:pt>
                <c:pt idx="2">
                  <c:v>鲜蛋</c:v>
                </c:pt>
              </c:strCache>
            </c:strRef>
          </c:cat>
          <c:val>
            <c:numRef>
              <c:f>Sheet1!$B$2:$B$4</c:f>
              <c:numCache>
                <c:formatCode>General</c:formatCode>
                <c:ptCount val="3"/>
                <c:pt idx="0">
                  <c:v>6</c:v>
                </c:pt>
                <c:pt idx="1">
                  <c:v>2</c:v>
                </c:pt>
                <c:pt idx="2">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'[2021年抽检进度明细.xlsx]筛选分析-分类 (计数)'!$B$1</c:f>
              <c:strCache>
                <c:ptCount val="1"/>
                <c:pt idx="0">
                  <c:v>分类 (计数)</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c:spPr>
          </c:dPt>
          <c:dPt>
            <c:idx val="14"/>
            <c:bubble3D val="0"/>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c:spPr>
          </c:dPt>
          <c:dPt>
            <c:idx val="15"/>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c:spPr>
          </c:dPt>
          <c:dPt>
            <c:idx val="16"/>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c:spPr>
          </c:dPt>
          <c:dPt>
            <c:idx val="17"/>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c:spPr>
          </c:dPt>
          <c:dPt>
            <c:idx val="18"/>
            <c:bubble3D val="0"/>
            <c:spPr>
              <a:gradFill rotWithShape="1">
                <a:gsLst>
                  <a:gs pos="0">
                    <a:schemeClr val="accent1">
                      <a:lumMod val="80000"/>
                      <a:satMod val="103000"/>
                      <a:lumMod val="102000"/>
                      <a:tint val="94000"/>
                    </a:schemeClr>
                  </a:gs>
                  <a:gs pos="50000">
                    <a:schemeClr val="accent1">
                      <a:lumMod val="80000"/>
                      <a:satMod val="110000"/>
                      <a:lumMod val="100000"/>
                      <a:shade val="100000"/>
                    </a:schemeClr>
                  </a:gs>
                  <a:gs pos="100000">
                    <a:schemeClr val="accent1">
                      <a:lumMod val="80000"/>
                      <a:lumMod val="99000"/>
                      <a:satMod val="120000"/>
                      <a:shade val="78000"/>
                    </a:schemeClr>
                  </a:gs>
                </a:gsLst>
                <a:lin ang="5400000" scaled="0"/>
              </a:gradFill>
              <a:ln>
                <a:noFill/>
              </a:ln>
              <a:effectLst/>
            </c:spPr>
          </c:dPt>
          <c:dPt>
            <c:idx val="19"/>
            <c:bubble3D val="0"/>
            <c:spPr>
              <a:gradFill rotWithShape="1">
                <a:gsLst>
                  <a:gs pos="0">
                    <a:schemeClr val="accent2">
                      <a:lumMod val="80000"/>
                      <a:satMod val="103000"/>
                      <a:lumMod val="102000"/>
                      <a:tint val="94000"/>
                    </a:schemeClr>
                  </a:gs>
                  <a:gs pos="50000">
                    <a:schemeClr val="accent2">
                      <a:lumMod val="80000"/>
                      <a:satMod val="110000"/>
                      <a:lumMod val="100000"/>
                      <a:shade val="100000"/>
                    </a:schemeClr>
                  </a:gs>
                  <a:gs pos="100000">
                    <a:schemeClr val="accent2">
                      <a:lumMod val="80000"/>
                      <a:lumMod val="99000"/>
                      <a:satMod val="120000"/>
                      <a:shade val="78000"/>
                    </a:schemeClr>
                  </a:gs>
                </a:gsLst>
                <a:lin ang="5400000" scaled="0"/>
              </a:gradFill>
              <a:ln>
                <a:noFill/>
              </a:ln>
              <a:effectLst/>
            </c:spPr>
          </c:dPt>
          <c:dPt>
            <c:idx val="20"/>
            <c:bubble3D val="0"/>
            <c:spPr>
              <a:gradFill rotWithShape="1">
                <a:gsLst>
                  <a:gs pos="0">
                    <a:schemeClr val="accent3">
                      <a:lumMod val="80000"/>
                      <a:satMod val="103000"/>
                      <a:lumMod val="102000"/>
                      <a:tint val="94000"/>
                    </a:schemeClr>
                  </a:gs>
                  <a:gs pos="50000">
                    <a:schemeClr val="accent3">
                      <a:lumMod val="80000"/>
                      <a:satMod val="110000"/>
                      <a:lumMod val="100000"/>
                      <a:shade val="100000"/>
                    </a:schemeClr>
                  </a:gs>
                  <a:gs pos="100000">
                    <a:schemeClr val="accent3">
                      <a:lumMod val="80000"/>
                      <a:lumMod val="99000"/>
                      <a:satMod val="120000"/>
                      <a:shade val="78000"/>
                    </a:schemeClr>
                  </a:gs>
                </a:gsLst>
                <a:lin ang="5400000" scaled="0"/>
              </a:gradFill>
              <a:ln>
                <a:noFill/>
              </a:ln>
              <a:effectLst/>
            </c:spPr>
          </c:dPt>
          <c:dPt>
            <c:idx val="21"/>
            <c:bubble3D val="0"/>
            <c:spPr>
              <a:gradFill rotWithShape="1">
                <a:gsLst>
                  <a:gs pos="0">
                    <a:schemeClr val="accent4">
                      <a:lumMod val="80000"/>
                      <a:satMod val="103000"/>
                      <a:lumMod val="102000"/>
                      <a:tint val="94000"/>
                    </a:schemeClr>
                  </a:gs>
                  <a:gs pos="50000">
                    <a:schemeClr val="accent4">
                      <a:lumMod val="80000"/>
                      <a:satMod val="110000"/>
                      <a:lumMod val="100000"/>
                      <a:shade val="100000"/>
                    </a:schemeClr>
                  </a:gs>
                  <a:gs pos="100000">
                    <a:schemeClr val="accent4">
                      <a:lumMod val="80000"/>
                      <a:lumMod val="99000"/>
                      <a:satMod val="120000"/>
                      <a:shade val="78000"/>
                    </a:schemeClr>
                  </a:gs>
                </a:gsLst>
                <a:lin ang="5400000" scaled="0"/>
              </a:gradFill>
              <a:ln>
                <a:noFill/>
              </a:ln>
              <a:effectLst/>
            </c:spPr>
          </c:dPt>
          <c:dPt>
            <c:idx val="22"/>
            <c:bubble3D val="0"/>
            <c:spPr>
              <a:gradFill rotWithShape="1">
                <a:gsLst>
                  <a:gs pos="0">
                    <a:schemeClr val="accent5">
                      <a:lumMod val="80000"/>
                      <a:satMod val="103000"/>
                      <a:lumMod val="102000"/>
                      <a:tint val="94000"/>
                    </a:schemeClr>
                  </a:gs>
                  <a:gs pos="50000">
                    <a:schemeClr val="accent5">
                      <a:lumMod val="80000"/>
                      <a:satMod val="110000"/>
                      <a:lumMod val="100000"/>
                      <a:shade val="100000"/>
                    </a:schemeClr>
                  </a:gs>
                  <a:gs pos="100000">
                    <a:schemeClr val="accent5">
                      <a:lumMod val="80000"/>
                      <a:lumMod val="99000"/>
                      <a:satMod val="120000"/>
                      <a:shade val="78000"/>
                    </a:schemeClr>
                  </a:gs>
                </a:gsLst>
                <a:lin ang="5400000" scaled="0"/>
              </a:gradFill>
              <a:ln>
                <a:noFill/>
              </a:ln>
              <a:effectLst/>
            </c:spPr>
          </c:dPt>
          <c:dPt>
            <c:idx val="23"/>
            <c:bubble3D val="0"/>
            <c:spPr>
              <a:gradFill rotWithShape="1">
                <a:gsLst>
                  <a:gs pos="0">
                    <a:schemeClr val="accent6">
                      <a:lumMod val="80000"/>
                      <a:satMod val="103000"/>
                      <a:lumMod val="102000"/>
                      <a:tint val="94000"/>
                    </a:schemeClr>
                  </a:gs>
                  <a:gs pos="50000">
                    <a:schemeClr val="accent6">
                      <a:lumMod val="80000"/>
                      <a:satMod val="110000"/>
                      <a:lumMod val="100000"/>
                      <a:shade val="100000"/>
                    </a:schemeClr>
                  </a:gs>
                  <a:gs pos="100000">
                    <a:schemeClr val="accent6">
                      <a:lumMod val="80000"/>
                      <a:lumMod val="99000"/>
                      <a:satMod val="120000"/>
                      <a:shade val="78000"/>
                    </a:schemeClr>
                  </a:gs>
                </a:gsLst>
                <a:lin ang="5400000" scaled="0"/>
              </a:gradFill>
              <a:ln>
                <a:noFill/>
              </a:ln>
              <a:effectLst/>
            </c:spPr>
          </c:dPt>
          <c:dPt>
            <c:idx val="24"/>
            <c:bubble3D val="0"/>
            <c:spPr>
              <a:gradFill rotWithShape="1">
                <a:gsLst>
                  <a:gs pos="0">
                    <a:schemeClr val="accent1">
                      <a:lumMod val="60000"/>
                      <a:lumOff val="40000"/>
                      <a:satMod val="103000"/>
                      <a:lumMod val="102000"/>
                      <a:tint val="94000"/>
                    </a:schemeClr>
                  </a:gs>
                  <a:gs pos="50000">
                    <a:schemeClr val="accent1">
                      <a:lumMod val="60000"/>
                      <a:lumOff val="40000"/>
                      <a:satMod val="110000"/>
                      <a:lumMod val="100000"/>
                      <a:shade val="100000"/>
                    </a:schemeClr>
                  </a:gs>
                  <a:gs pos="100000">
                    <a:schemeClr val="accent1">
                      <a:lumMod val="60000"/>
                      <a:lumOff val="40000"/>
                      <a:lumMod val="99000"/>
                      <a:satMod val="120000"/>
                      <a:shade val="78000"/>
                    </a:schemeClr>
                  </a:gs>
                </a:gsLst>
                <a:lin ang="5400000" scaled="0"/>
              </a:gra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0"/>
            <c:showCatName val="1"/>
            <c:showSerName val="0"/>
            <c:showPercent val="1"/>
            <c:showBubbleSize val="1"/>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'[2021年抽检进度明细.xlsx]筛选分析-分类 (计数)'!$A$2:$A$26</c:f>
              <c:strCache>
                <c:ptCount val="25"/>
                <c:pt idx="0">
                  <c:v>蔬菜及其制品</c:v>
                </c:pt>
                <c:pt idx="1">
                  <c:v>调味品</c:v>
                </c:pt>
                <c:pt idx="2">
                  <c:v>饮料</c:v>
                </c:pt>
                <c:pt idx="3">
                  <c:v>粮食加工品</c:v>
                </c:pt>
                <c:pt idx="4">
                  <c:v>餐饮食品</c:v>
                </c:pt>
                <c:pt idx="5">
                  <c:v>淀粉及淀粉制品</c:v>
                </c:pt>
                <c:pt idx="6">
                  <c:v>豆制品</c:v>
                </c:pt>
                <c:pt idx="7">
                  <c:v>乳制品</c:v>
                </c:pt>
                <c:pt idx="8">
                  <c:v>方便食品</c:v>
                </c:pt>
                <c:pt idx="9">
                  <c:v>罐头</c:v>
                </c:pt>
                <c:pt idx="10">
                  <c:v>食糖</c:v>
                </c:pt>
                <c:pt idx="11">
                  <c:v>食用油、油脂及其制品</c:v>
                </c:pt>
                <c:pt idx="12">
                  <c:v>饼干</c:v>
                </c:pt>
                <c:pt idx="13">
                  <c:v>酒类</c:v>
                </c:pt>
                <c:pt idx="14">
                  <c:v>肉制品</c:v>
                </c:pt>
                <c:pt idx="15">
                  <c:v>糖果制品</c:v>
                </c:pt>
                <c:pt idx="16">
                  <c:v>水果制品</c:v>
                </c:pt>
                <c:pt idx="17">
                  <c:v>糕点</c:v>
                </c:pt>
                <c:pt idx="18">
                  <c:v>薯类和膨化食品</c:v>
                </c:pt>
                <c:pt idx="19">
                  <c:v>炒货食品及坚果制品</c:v>
                </c:pt>
                <c:pt idx="20">
                  <c:v>蜂产品</c:v>
                </c:pt>
                <c:pt idx="21">
                  <c:v>蛋制品</c:v>
                </c:pt>
                <c:pt idx="22">
                  <c:v>速冻食品</c:v>
                </c:pt>
                <c:pt idx="23">
                  <c:v>食盐</c:v>
                </c:pt>
                <c:pt idx="24">
                  <c:v>食品添加剂</c:v>
                </c:pt>
              </c:strCache>
            </c:strRef>
          </c:cat>
          <c:val>
            <c:numRef>
              <c:f>'[2021年抽检进度明细.xlsx]筛选分析-分类 (计数)'!$B$2:$B$26</c:f>
              <c:numCache>
                <c:formatCode>General</c:formatCode>
                <c:ptCount val="25"/>
                <c:pt idx="0">
                  <c:v>140</c:v>
                </c:pt>
                <c:pt idx="1">
                  <c:v>118</c:v>
                </c:pt>
                <c:pt idx="2">
                  <c:v>59</c:v>
                </c:pt>
                <c:pt idx="3">
                  <c:v>45</c:v>
                </c:pt>
                <c:pt idx="4">
                  <c:v>32</c:v>
                </c:pt>
                <c:pt idx="5">
                  <c:v>31</c:v>
                </c:pt>
                <c:pt idx="6">
                  <c:v>27</c:v>
                </c:pt>
                <c:pt idx="7">
                  <c:v>23</c:v>
                </c:pt>
                <c:pt idx="8">
                  <c:v>21</c:v>
                </c:pt>
                <c:pt idx="9">
                  <c:v>19</c:v>
                </c:pt>
                <c:pt idx="10">
                  <c:v>18</c:v>
                </c:pt>
                <c:pt idx="11">
                  <c:v>17</c:v>
                </c:pt>
                <c:pt idx="12">
                  <c:v>16</c:v>
                </c:pt>
                <c:pt idx="13">
                  <c:v>16</c:v>
                </c:pt>
                <c:pt idx="14">
                  <c:v>14</c:v>
                </c:pt>
                <c:pt idx="15">
                  <c:v>14</c:v>
                </c:pt>
                <c:pt idx="16">
                  <c:v>14</c:v>
                </c:pt>
                <c:pt idx="17">
                  <c:v>13</c:v>
                </c:pt>
                <c:pt idx="18">
                  <c:v>8</c:v>
                </c:pt>
                <c:pt idx="19">
                  <c:v>8</c:v>
                </c:pt>
                <c:pt idx="20">
                  <c:v>4</c:v>
                </c:pt>
                <c:pt idx="21">
                  <c:v>4</c:v>
                </c:pt>
                <c:pt idx="22">
                  <c:v>3</c:v>
                </c:pt>
                <c:pt idx="23">
                  <c:v>2</c:v>
                </c:pt>
                <c:pt idx="24">
                  <c:v>1</c:v>
                </c:pt>
              </c:numCache>
            </c:numRef>
          </c:val>
        </c:ser>
        <c:dLbls>
          <c:showLegendKey val="0"/>
          <c:showVal val="0"/>
          <c:showCatName val="0"/>
          <c:showSerName val="0"/>
          <c:showPercent val="0"/>
          <c:showBubbleSize val="1"/>
          <c:showLeaderLines val="1"/>
        </c:dLbls>
        <c:firstSliceAng val="0"/>
      </c:pieChart>
      <c:spPr>
        <a:noFill/>
        <a:ln>
          <a:noFill/>
        </a:ln>
        <a:effectLst/>
      </c:spPr>
    </c:plotArea>
    <c:legend>
      <c:legendPos val="b"/>
      <c:layout>
        <c:manualLayout>
          <c:xMode val="edge"/>
          <c:yMode val="edge"/>
          <c:x val="0.0215388031531031"/>
          <c:y val="0.5816708229426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销售额</c:v>
                </c:pt>
              </c:strCache>
            </c:strRef>
          </c:tx>
          <c:spPr/>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蔬菜制品</c:v>
                </c:pt>
                <c:pt idx="1">
                  <c:v>淀粉及淀粉制品</c:v>
                </c:pt>
                <c:pt idx="2">
                  <c:v>餐饮食品</c:v>
                </c:pt>
              </c:strCache>
            </c:strRef>
          </c:cat>
          <c:val>
            <c:numRef>
              <c:f>Sheet1!$C$2:$C$4</c:f>
              <c:numCache>
                <c:formatCode>0.00%</c:formatCode>
                <c:ptCount val="3"/>
                <c:pt idx="0">
                  <c:v>0.1818</c:v>
                </c:pt>
                <c:pt idx="1">
                  <c:v>0.0909</c:v>
                </c:pt>
                <c:pt idx="2">
                  <c:v>0.0909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8631</Words>
  <Characters>9394</Characters>
  <Lines>0</Lines>
  <Paragraphs>0</Paragraphs>
  <TotalTime>2</TotalTime>
  <ScaleCrop>false</ScaleCrop>
  <LinksUpToDate>false</LinksUpToDate>
  <CharactersWithSpaces>9526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2020-01-06T07:51:00Z</dcterms:created>
  <dc:creator>Administrator</dc:creator>
  <cp:lastModifiedBy>树永</cp:lastModifiedBy>
  <cp:lastPrinted>2020-01-19T03:10:00Z</cp:lastPrinted>
  <dcterms:modified xsi:type="dcterms:W3CDTF">2021-12-07T03:46:06Z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BDF7E0F69BB44C6CB365D7E853FE99FC</vt:lpwstr>
  </property>
</Properties>
</file>