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1D" w:rsidRPr="00802A1D" w:rsidRDefault="00802A1D" w:rsidP="00802A1D">
      <w:pPr>
        <w:shd w:val="clear" w:color="auto" w:fill="FFFFFF"/>
        <w:adjustRightInd/>
        <w:snapToGrid/>
        <w:spacing w:after="225"/>
        <w:jc w:val="center"/>
        <w:outlineLvl w:val="1"/>
        <w:rPr>
          <w:rFonts w:ascii="微软雅黑" w:hAnsi="微软雅黑" w:cs="宋体"/>
          <w:color w:val="333333"/>
          <w:sz w:val="48"/>
          <w:szCs w:val="48"/>
        </w:rPr>
      </w:pPr>
      <w:r w:rsidRPr="00802A1D">
        <w:rPr>
          <w:rFonts w:ascii="微软雅黑" w:hAnsi="微软雅黑" w:cs="宋体" w:hint="eastAsia"/>
          <w:color w:val="333333"/>
          <w:sz w:val="48"/>
          <w:szCs w:val="48"/>
        </w:rPr>
        <w:t>中华人民共和国药品管理法</w:t>
      </w:r>
    </w:p>
    <w:p w:rsidR="00802A1D" w:rsidRPr="00802A1D" w:rsidRDefault="00802A1D" w:rsidP="00802A1D">
      <w:pPr>
        <w:shd w:val="clear" w:color="auto" w:fill="FFFFFF"/>
        <w:adjustRightInd/>
        <w:snapToGrid/>
        <w:jc w:val="center"/>
        <w:rPr>
          <w:rFonts w:ascii="微软雅黑" w:hAnsi="微软雅黑" w:cs="宋体" w:hint="eastAsia"/>
          <w:color w:val="777777"/>
          <w:sz w:val="21"/>
          <w:szCs w:val="21"/>
        </w:rPr>
      </w:pPr>
      <w:r w:rsidRPr="00802A1D">
        <w:rPr>
          <w:rFonts w:ascii="微软雅黑" w:hAnsi="微软雅黑" w:cs="宋体" w:hint="eastAsia"/>
          <w:color w:val="777777"/>
          <w:sz w:val="21"/>
          <w:szCs w:val="21"/>
        </w:rPr>
        <w:t>来源： 发布时间：2021-07-05 浏览次数：25 次 </w:t>
      </w:r>
      <w:r w:rsidRPr="00802A1D">
        <w:rPr>
          <w:rFonts w:ascii="微软雅黑" w:hAnsi="微软雅黑" w:cs="宋体" w:hint="eastAsia"/>
          <w:color w:val="777777"/>
          <w:sz w:val="21"/>
        </w:rPr>
        <w:t>【字体：</w:t>
      </w:r>
      <w:hyperlink r:id="rId4" w:history="1">
        <w:r w:rsidRPr="00802A1D">
          <w:rPr>
            <w:rFonts w:ascii="微软雅黑" w:hAnsi="微软雅黑" w:cs="宋体" w:hint="eastAsia"/>
            <w:color w:val="333333"/>
            <w:sz w:val="21"/>
          </w:rPr>
          <w:t>小</w:t>
        </w:r>
      </w:hyperlink>
      <w:r w:rsidRPr="00802A1D">
        <w:rPr>
          <w:rFonts w:ascii="微软雅黑" w:hAnsi="微软雅黑" w:cs="宋体" w:hint="eastAsia"/>
          <w:color w:val="777777"/>
          <w:sz w:val="21"/>
        </w:rPr>
        <w:t> </w:t>
      </w:r>
      <w:hyperlink r:id="rId5" w:history="1">
        <w:r w:rsidRPr="00802A1D">
          <w:rPr>
            <w:rFonts w:ascii="微软雅黑" w:hAnsi="微软雅黑" w:cs="宋体" w:hint="eastAsia"/>
            <w:color w:val="333333"/>
            <w:sz w:val="21"/>
          </w:rPr>
          <w:t>大</w:t>
        </w:r>
      </w:hyperlink>
      <w:r w:rsidRPr="00802A1D">
        <w:rPr>
          <w:rFonts w:ascii="微软雅黑" w:hAnsi="微软雅黑" w:cs="宋体" w:hint="eastAsia"/>
          <w:color w:val="777777"/>
          <w:sz w:val="21"/>
        </w:rPr>
        <w:t>】</w:t>
      </w:r>
    </w:p>
    <w:p w:rsidR="00802A1D" w:rsidRPr="00802A1D" w:rsidRDefault="00802A1D" w:rsidP="00802A1D">
      <w:pPr>
        <w:shd w:val="clear" w:color="auto" w:fill="FFFFFF"/>
        <w:adjustRightInd/>
        <w:snapToGrid/>
        <w:spacing w:after="0" w:line="600" w:lineRule="atLeast"/>
        <w:jc w:val="center"/>
        <w:rPr>
          <w:rFonts w:ascii="方正小标宋简体" w:eastAsia="方正小标宋简体" w:hAnsi="微软雅黑" w:cs="宋体" w:hint="eastAsia"/>
          <w:color w:val="333333"/>
          <w:sz w:val="44"/>
          <w:szCs w:val="44"/>
        </w:rPr>
      </w:pPr>
      <w:r w:rsidRPr="00802A1D">
        <w:rPr>
          <w:rFonts w:ascii="方正小标宋简体" w:eastAsia="方正小标宋简体" w:hAnsi="微软雅黑" w:cs="宋体" w:hint="eastAsia"/>
          <w:color w:val="333333"/>
          <w:sz w:val="44"/>
          <w:szCs w:val="44"/>
        </w:rPr>
        <w:t>中华人民共和国主席令</w:t>
      </w:r>
    </w:p>
    <w:p w:rsidR="00802A1D" w:rsidRPr="00802A1D" w:rsidRDefault="00802A1D" w:rsidP="00802A1D">
      <w:pPr>
        <w:shd w:val="clear" w:color="auto" w:fill="FFFFFF"/>
        <w:adjustRightInd/>
        <w:snapToGrid/>
        <w:spacing w:after="0" w:line="600" w:lineRule="atLeast"/>
        <w:jc w:val="center"/>
        <w:rPr>
          <w:rFonts w:ascii="方正小标宋简体" w:eastAsia="方正小标宋简体" w:hAnsi="微软雅黑" w:cs="宋体" w:hint="eastAsia"/>
          <w:color w:val="333333"/>
          <w:sz w:val="44"/>
          <w:szCs w:val="44"/>
        </w:rPr>
      </w:pPr>
      <w:r w:rsidRPr="00802A1D">
        <w:rPr>
          <w:rFonts w:ascii="方正小标宋简体" w:eastAsia="方正小标宋简体" w:hAnsi="微软雅黑" w:cs="宋体" w:hint="eastAsia"/>
          <w:color w:val="333333"/>
          <w:sz w:val="44"/>
          <w:szCs w:val="44"/>
        </w:rPr>
        <w:t>第三十一号</w:t>
      </w:r>
    </w:p>
    <w:p w:rsidR="00802A1D" w:rsidRPr="00802A1D" w:rsidRDefault="00802A1D" w:rsidP="00802A1D">
      <w:pPr>
        <w:shd w:val="clear" w:color="auto" w:fill="FFFFFF"/>
        <w:adjustRightInd/>
        <w:snapToGrid/>
        <w:spacing w:after="0" w:line="500" w:lineRule="atLeast"/>
        <w:jc w:val="center"/>
        <w:rPr>
          <w:rFonts w:ascii="仿宋" w:eastAsia="仿宋" w:hAnsi="仿宋" w:cs="宋体" w:hint="eastAsia"/>
          <w:color w:val="333333"/>
          <w:sz w:val="44"/>
          <w:szCs w:val="44"/>
        </w:rPr>
      </w:pPr>
      <w:r w:rsidRPr="00802A1D">
        <w:rPr>
          <w:rFonts w:ascii="宋体" w:eastAsia="宋体" w:hAnsi="宋体" w:cs="宋体" w:hint="eastAsia"/>
          <w:color w:val="333333"/>
          <w:sz w:val="44"/>
          <w:szCs w:val="44"/>
        </w:rPr>
        <w:t> </w:t>
      </w:r>
      <w:r w:rsidRPr="00802A1D">
        <w:rPr>
          <w:rFonts w:ascii="仿宋" w:eastAsia="仿宋" w:hAnsi="仿宋" w:cs="宋体" w:hint="eastAsia"/>
          <w:color w:val="333333"/>
          <w:sz w:val="44"/>
          <w:szCs w:val="44"/>
        </w:rPr>
        <w:t>《中华人民共和国药品管理法》已由中华人民共和国第十三届全国人民代表大会常务委员会第十二次会议于2019年8月26</w:t>
      </w:r>
    </w:p>
    <w:p w:rsidR="00802A1D" w:rsidRPr="00802A1D" w:rsidRDefault="00802A1D" w:rsidP="00802A1D">
      <w:pPr>
        <w:shd w:val="clear" w:color="auto" w:fill="FFFFFF"/>
        <w:adjustRightInd/>
        <w:snapToGrid/>
        <w:spacing w:after="0" w:line="500" w:lineRule="atLeast"/>
        <w:rPr>
          <w:rFonts w:ascii="方正小标宋简体" w:eastAsia="方正小标宋简体" w:hAnsi="微软雅黑" w:cs="宋体" w:hint="eastAsia"/>
          <w:color w:val="333333"/>
          <w:sz w:val="30"/>
          <w:szCs w:val="30"/>
        </w:rPr>
      </w:pPr>
      <w:r w:rsidRPr="00802A1D">
        <w:rPr>
          <w:rFonts w:ascii="方正小标宋简体" w:eastAsia="方正小标宋简体" w:hAnsi="微软雅黑" w:cs="宋体" w:hint="eastAsia"/>
          <w:color w:val="333333"/>
          <w:sz w:val="30"/>
          <w:szCs w:val="30"/>
        </w:rPr>
        <w:t>日修订通过，现予公布，自2019年12月1日起施行。</w:t>
      </w:r>
    </w:p>
    <w:p w:rsidR="00802A1D" w:rsidRPr="00802A1D" w:rsidRDefault="00802A1D" w:rsidP="00802A1D">
      <w:pPr>
        <w:shd w:val="clear" w:color="auto" w:fill="FFFFFF"/>
        <w:adjustRightInd/>
        <w:snapToGrid/>
        <w:spacing w:after="0" w:line="500" w:lineRule="atLeast"/>
        <w:ind w:right="605"/>
        <w:jc w:val="right"/>
        <w:rPr>
          <w:rFonts w:ascii="仿宋" w:eastAsia="仿宋" w:hAnsi="仿宋" w:cs="宋体" w:hint="eastAsia"/>
          <w:color w:val="333333"/>
          <w:sz w:val="30"/>
          <w:szCs w:val="30"/>
        </w:rPr>
      </w:pPr>
      <w:r w:rsidRPr="00802A1D">
        <w:rPr>
          <w:rFonts w:ascii="仿宋" w:eastAsia="仿宋" w:hAnsi="仿宋" w:cs="宋体" w:hint="eastAsia"/>
          <w:color w:val="333333"/>
          <w:sz w:val="30"/>
          <w:szCs w:val="30"/>
        </w:rPr>
        <w:t>中华人民共和国主席</w:t>
      </w:r>
      <w:r w:rsidRPr="00802A1D">
        <w:rPr>
          <w:rFonts w:ascii="仿宋" w:eastAsia="仿宋" w:hAnsi="仿宋" w:cs="宋体" w:hint="eastAsia"/>
          <w:color w:val="333333"/>
          <w:sz w:val="30"/>
          <w:szCs w:val="30"/>
        </w:rPr>
        <w:t> </w:t>
      </w:r>
      <w:r w:rsidRPr="00802A1D">
        <w:rPr>
          <w:rFonts w:ascii="仿宋" w:eastAsia="仿宋" w:hAnsi="仿宋" w:cs="宋体" w:hint="eastAsia"/>
          <w:color w:val="333333"/>
          <w:sz w:val="30"/>
          <w:szCs w:val="30"/>
        </w:rPr>
        <w:t>习近平</w:t>
      </w:r>
    </w:p>
    <w:p w:rsidR="00802A1D" w:rsidRPr="00802A1D" w:rsidRDefault="00802A1D" w:rsidP="00802A1D">
      <w:pPr>
        <w:shd w:val="clear" w:color="auto" w:fill="FFFFFF"/>
        <w:adjustRightInd/>
        <w:snapToGrid/>
        <w:spacing w:after="0" w:line="500" w:lineRule="atLeast"/>
        <w:ind w:right="605" w:firstLine="4651"/>
        <w:rPr>
          <w:rFonts w:ascii="新宋体" w:eastAsia="新宋体" w:hAnsi="新宋体" w:cs="宋体" w:hint="eastAsia"/>
          <w:color w:val="333333"/>
          <w:sz w:val="30"/>
          <w:szCs w:val="30"/>
        </w:rPr>
      </w:pPr>
      <w:r w:rsidRPr="00802A1D">
        <w:rPr>
          <w:rFonts w:ascii="新宋体" w:eastAsia="新宋体" w:hAnsi="新宋体" w:cs="宋体" w:hint="eastAsia"/>
          <w:color w:val="333333"/>
          <w:sz w:val="30"/>
          <w:szCs w:val="30"/>
        </w:rPr>
        <w:t>2019年8月26日</w:t>
      </w:r>
    </w:p>
    <w:p w:rsidR="00802A1D" w:rsidRPr="00802A1D" w:rsidRDefault="00802A1D" w:rsidP="00802A1D">
      <w:pPr>
        <w:shd w:val="clear" w:color="auto" w:fill="FFFFFF"/>
        <w:adjustRightInd/>
        <w:snapToGrid/>
        <w:spacing w:after="0" w:line="421" w:lineRule="atLeast"/>
        <w:jc w:val="center"/>
        <w:rPr>
          <w:rFonts w:ascii="方正小标宋简体" w:eastAsia="方正小标宋简体" w:hAnsi="微软雅黑" w:cs="宋体" w:hint="eastAsia"/>
          <w:color w:val="333333"/>
          <w:sz w:val="39"/>
          <w:szCs w:val="39"/>
        </w:rPr>
      </w:pPr>
      <w:r w:rsidRPr="00802A1D">
        <w:rPr>
          <w:rFonts w:ascii="方正小标宋简体" w:eastAsia="方正小标宋简体" w:hAnsi="微软雅黑" w:cs="宋体" w:hint="eastAsia"/>
          <w:color w:val="333333"/>
          <w:sz w:val="39"/>
          <w:szCs w:val="39"/>
        </w:rPr>
        <w:t>中华人民共和国药品管理法</w:t>
      </w:r>
    </w:p>
    <w:p w:rsidR="00802A1D" w:rsidRPr="00802A1D" w:rsidRDefault="00802A1D" w:rsidP="00802A1D">
      <w:pPr>
        <w:shd w:val="clear" w:color="auto" w:fill="FFFFFF"/>
        <w:adjustRightInd/>
        <w:snapToGrid/>
        <w:spacing w:after="0" w:line="48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1984年9月20日第六届全国人民代表大会常务委员会第七次会议通过；2001年2月28日第九届全国人民代表大会常务委员会第二十次会议第一次修订；根据2013年12月28日第十二届全国人民代表大会常务委员会第六次会议《关于修改〈中华人民共和国海洋环境保护法〉等七部法律的决定》第一次修正；根据2015年4月24日第十二届全国人民代表大会常务委员会第十四次会议《关于修改〈中华人民共和国药品管理法〉的决定》第二次修正；2019年8月26日第十三届全国人民代表大会常务委员会第十二次会议第二次修订)</w:t>
      </w:r>
    </w:p>
    <w:p w:rsidR="00802A1D" w:rsidRPr="00802A1D" w:rsidRDefault="00802A1D" w:rsidP="00802A1D">
      <w:pPr>
        <w:shd w:val="clear" w:color="auto" w:fill="FFFFFF"/>
        <w:adjustRightInd/>
        <w:snapToGrid/>
        <w:spacing w:after="0" w:line="440" w:lineRule="atLeast"/>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 xml:space="preserve">　　　　    目　　录</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第一章　总　　则</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第二章　药品研制和注册</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第三章　药品上市许可持有人</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第四章　药品生产</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第五章　药品经营</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第六章　医疗机构药事管理</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lastRenderedPageBreak/>
        <w:t>第七章　药品上市后管理</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第八章　药品价格和广告</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第九章　药品储备和供应</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第十章　监督管理</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第十一章　法律责任</w:t>
      </w:r>
    </w:p>
    <w:p w:rsidR="00802A1D" w:rsidRPr="00802A1D" w:rsidRDefault="00802A1D" w:rsidP="00802A1D">
      <w:pPr>
        <w:shd w:val="clear" w:color="auto" w:fill="FFFFFF"/>
        <w:adjustRightInd/>
        <w:snapToGrid/>
        <w:spacing w:after="0" w:line="440" w:lineRule="atLeast"/>
        <w:ind w:firstLine="475"/>
        <w:rPr>
          <w:rFonts w:ascii="宋体" w:eastAsia="宋体" w:hAnsi="宋体" w:cs="宋体" w:hint="eastAsia"/>
          <w:color w:val="333333"/>
          <w:sz w:val="24"/>
          <w:szCs w:val="24"/>
        </w:rPr>
      </w:pPr>
      <w:r w:rsidRPr="00802A1D">
        <w:rPr>
          <w:rFonts w:ascii="宋体" w:eastAsia="宋体" w:hAnsi="宋体" w:cs="宋体" w:hint="eastAsia"/>
          <w:color w:val="333333"/>
          <w:sz w:val="24"/>
          <w:szCs w:val="24"/>
        </w:rPr>
        <w:t>第十二章　附　　则</w:t>
      </w:r>
    </w:p>
    <w:p w:rsidR="00802A1D" w:rsidRPr="00802A1D" w:rsidRDefault="00802A1D" w:rsidP="00802A1D">
      <w:pPr>
        <w:shd w:val="clear" w:color="auto" w:fill="FFFFFF"/>
        <w:adjustRightInd/>
        <w:snapToGrid/>
        <w:spacing w:after="0" w:line="5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第一章　总　　则</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第一条　为了加强药品管理，保证药品质量，保障公众用药安全和合法权益，保护和促进公众健康，制定本法。</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第二条　在中华人民共和国境内从事药品研制、生产、经营、使用和监督管理活动，适用本法。</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本法所称药品，是指用于预防、治疗、诊断人的疾病，有目的地调节人的生理机能并规定有适应症或者功能主治、用法和用量的物质，包括中药、化学药和生物制品等。</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第三条　药品管理应当以人民健康为中心，坚持风险管理、全程管控、社会共治的原则，建立科学、严格的监督管理制度，全面提升药品质量，保障药品的安全、有效、可及。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第四条　国家发展现代药和传统药，充分发挥其在预防、医疗和保健中的作用。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国家保护野生药材资源和中药品种，鼓励培育道地中药材。</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第五条　国家鼓励研究和创制新药，保护公民、法人和其他组织研究、开发新药的合法权益。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第六条　国家对药品管理实行药品上市许可持有人制度。药品上市许可持有人依法对药品研制、生产、经营、使用全过程中药品的安全性、有效性和质量可控性负责。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第七条　从事药品研制、生产、经营、使用活动，应当遵守法律、法规、规章、标准和规范，保证全过程信息真实、准确、完整和可追溯。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省、自治区、直辖市人民政府药品监督管理部门负责本行政区域内的药品监督管理工作。设区的市级、县级人民政府承担药品监</w:t>
      </w:r>
      <w:r w:rsidRPr="00802A1D">
        <w:rPr>
          <w:rFonts w:ascii="仿宋" w:eastAsia="仿宋" w:hAnsi="仿宋" w:cs="宋体" w:hint="eastAsia"/>
          <w:color w:val="333333"/>
          <w:sz w:val="28"/>
          <w:szCs w:val="28"/>
        </w:rPr>
        <w:lastRenderedPageBreak/>
        <w:t>督管理职责的部门（以下称药品监督管理部门）负责本行政区域内的药品监督管理工作。县级以上地方人民政府有关部门在各自职责范围内负责与药品有关的监督管理工作。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第十条　县级以上人民政府应当将药品安全工作纳入本级国民经济和社会发展规划，将药品安全工作经费列入本级政府预算，加强药品监督管理能力建设，为药品安全工作提供保障。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第十一条　药品监督管理部门设置或者指定的药品专业技术机构，承担依法实施药品监督管理所需的审评、检验、核查、监测与评价等工作。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第十二条　国家建立健全药品追溯制度。国务院药品监督管理部门应当制定统一的药品追溯标准和规范，推进药品追溯信息互通互享，实现药品可追溯。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国家建立药物警戒制度，对药品不良反应及其他与用药有关的有害反应进行监测、识别、评估和控制。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第十三条　各级人民政府及其有关部门、药品行业协会等应当加强药品安全宣传教育，开展药品安全法律法规等知识的普及工作。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新闻媒体应当开展药品安全法律法规等知识的公益宣传，并对药品违法行为进行舆论监督。有关药品的宣传报道应当全面、科学、客观、公正。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第十四条　药品行业协会应当加强行业自律，建立健全行业规范，推动行业诚信体系建设，引导和督促会员依法开展药品生产经营等活动。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第十五条　县级以上人民政府及其有关部门对在药品研制、生产、经营、使用和监督管理工作中做出突出贡献的单位和个人，按照国家有关规定给予表彰、奖励。</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第二章　药品研制和注册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国家鼓励运用现代科学技术和传统中药研究方法开展中药科学技术研究和药物开发，建立和完善符合中药特点的技术评价体系，促进中药传承创新。</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国家采取有效措施，鼓励儿童用药品的研制和创新，支持开发符合儿童生理特征的儿童用药品新品种、剂型和规格，对儿童用药品予以优先审评审批。</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第十七条　从事药品研制活动，应当遵守药物非临床研究质量管理规范、药物临床试验质量管理规范，保证药品研制全过程持续符合法定要求。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药物非临床研究质量管理规范、药物临床试验质量管理规范由国务院药品监督管理部门会同国务院有关部门制定。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第十八条　开展药物非临床研究，应当符合国家有关规定，有与研究项目相适应的人员、场地、设备、仪器和管理制度，保证有关数据、资料和样品的真实性。</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开展药物临床试验，应当在具备相应条件的临床试验机构进行。药物临床试验机构实行备案管理，具体办法由国务院药品监督管理部门、国务院卫生健康主管部门共同制定。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第二十条　开展药物临床试验，应当符合伦理原则，制定临床试验方案，经伦理委员会审查同意。</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伦理委员会应当建立伦理审查工作制度，保证伦理审查过程独立、客观、公正，监督规范开展药物临床试验，保障受试者合法权益，维护社会公共利益。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第二十一条　实施药物临床试验，应当向受试者或者其监护人如实说明和解释临床试验的目的和风险等详细情况，取得受试者或者其监护人自愿签署的知情同意书，并采取有效措施保护受试者合法权益。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第二十二条　药物临床试验期间，发现存在安全性问题或者其他风险的，临床试验申办者应当及时调整临床试验方案、暂停或者</w:t>
      </w:r>
      <w:r w:rsidRPr="00802A1D">
        <w:rPr>
          <w:rFonts w:ascii="仿宋" w:eastAsia="仿宋" w:hAnsi="仿宋" w:cs="宋体" w:hint="eastAsia"/>
          <w:color w:val="333333"/>
          <w:sz w:val="28"/>
          <w:szCs w:val="28"/>
        </w:rPr>
        <w:lastRenderedPageBreak/>
        <w:t>终止临床试验，并向国务院药品监督管理部门报告。必要时，国务院药品监督管理部门可以责令调整临床试验方案、暂停或者终止临床试验。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申请药品注册，应当提供真实、充分、可靠的数据、资料和样品，证明药品的安全性、有效性和质量可控性。</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国务院药品监督管理部门在审批药品时，对化学原料药一并审评审批，对相关辅料、直接接触药品的包装材料和容器一并审评，对药品的质量标准、生产工艺、标签和说明书一并核准。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本法所称辅料，是指生产药品和调配处方时所用的赋形剂和附加剂。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第二十六条　对治疗严重危及生命且尚无有效治疗手段的疾病以及公共卫生方面急需的药品，药物临床试验已有数据显示疗效并能预测其临床价值的，可以附条件批准，并在药品注册证书中载明相关事项。</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第二十七条　国务院药品监督管理部门应当完善药品审评审批工作制度，加强能力建设，建立健全沟通交流、专家咨询等机制，优化审评审批流程，提高审评审批效率。</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批准上市药品的审评结论和依据应当依法公开，接受社会监督。对审评审批中知悉的商业秘密应当保密。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第二十八条　药品应当符合国家药品标准。经国务院药品监督管理部门核准的药品质量标准高于国家药品标准的，按照经核准的</w:t>
      </w:r>
      <w:r w:rsidRPr="00802A1D">
        <w:rPr>
          <w:rFonts w:ascii="仿宋" w:eastAsia="仿宋" w:hAnsi="仿宋" w:cs="宋体" w:hint="eastAsia"/>
          <w:color w:val="333333"/>
          <w:sz w:val="28"/>
          <w:szCs w:val="28"/>
        </w:rPr>
        <w:lastRenderedPageBreak/>
        <w:t>药品质量标准执行；没有国家药品标准的，应当符合经核准的药品质量标准。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国务院药品监督管理部门颁布的《中华人民共和国药典》和药品标准为国家药品标准。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国务院药品监督管理部门会同国务院卫生健康主管部门组织药典委员会，负责国家药品标准的制定和修订。</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国务院药品监督管理部门设置或者指定的药品检验机构负责标定国家药品标准品、对照品。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第二十九条　列入国家药品标准的药品名称为药品通用名称。已经作为药品通用名称的，该名称不得作为药品商标使用。</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 xml:space="preserve">　　第三章　药品上市许可持有人</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第三十条　药品上市许可持有人是指取得药品注册证书的企业或者药品研制机构等。</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药品上市许可持有人的法定代表人、主要负责人对药品质量全面负责。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第三十一条　药品上市许可持有人应当建立药品质量保证体系，配备专门人员独立负责药品质量管理。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药品上市许可持有人应当对受托药品生产企业、药品经营企业的质量管理体系进行定期审核，监督其持续具备质量保证和控制能力。</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第三十二条　药品上市许可持有人可以自行生产药品，也可以委托药品生产企业生产。</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国务院药品监督管理部门制定药品委托生产质量协议指南，指导、监督药品上市许可持有人和受托生产企业履行药品质量保证义务。</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血液制品、麻醉药品、精神药品、医疗用毒性药品、药品类易制毒化学品不得委托生产；但是，国务院药品监督管理部门另有规定的除外。</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第三十三条　药品上市许可持有人应当建立药品上市放行规程，对药品生产企业出厂放行的药品进行审核，经质量受权人签字后方可放行。不符合国家药品标准的，不得放行。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第三十四条　药品上市许可持有人可以自行销售其取得药品注册证书的药品，也可以委托药品经营企业销售。药品上市许可持有人从事药品零售活动的，应当取得药品经营许可证。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第三十六条　药品上市许可持有人、药品生产企业、药品经营企业和医疗机构应当建立并实施药品追溯制度，按照规定提供追溯信息，保证药品可追溯。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第三十七条　药品上市许可持有人应当建立年度报告制度，每年将药品生产销售、上市后研究、风险管理等情况按照规定向省、自治区、直辖市人民政府药品监督管理部门报告。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第三十八条　药品上市许可持有人为境外企业的，应当由其指定的在中国境内的企业法人履行药品上市许可持有人义务，与药品上市许可持有人承担连带责任。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第三十九条　中药饮片生产企业履行药品上市许可持有人的相关义务，对中药饮片生产、销售实行全过程管理，建立中药饮片追溯体系，保证中药饮片安全、有效、可追溯。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第四章　药品生产</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第四十一条　从事药品生产活动，应当经所在地省、自治区、直辖市人民政府药品监督管理部门批准，取得药品生产许可证。无药品生产许可证的，不得生产药品。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药品生产许可证应当标明有效期和生产范围，到期重新审查发证。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第四十二条　从事药品生产活动，应当具备以下条件: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（一）有依法经过资格认定的药学技术人员、工程技术人员及相应的技术工人；</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（二）有与药品生产相适应的厂房、设施和卫生环境；</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（三）有能对所生产药品进行质量管理和质量检验的机构、人员及必要的仪器设备；</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（四）有保证药品质量的规章制度，并符合国务院药品监督管理部门依据本法制定的药品生产质量管理规范要求。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第四十三条　从事药品生产活动，应当遵守药品生产质量管理规范，建立健全药品生产质量管理体系，保证药品生产全过程持续符合法定要求。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药品生产企业的法定代表人、主要负责人对本企业的药品生产活动全面负责。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第四十四条　药品应当按照国家药品标准和经药品监督管理部门核准的生产工艺进行生产。生产、检验记录应当完整准确，不得编造。</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第四十五条　生产药品所需的原料、辅料，应当符合药用要求、药品生产质量管理规范的有关要求。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生产药品，应当按照规定对供应原料、辅料等的供应商进行审核，保证购进、使用的原料、辅料等符合前款规定要求。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第四十六条　直接接触药品的包装材料和容器，应当符合药用要求，符合保障人体健康、安全的标准。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对不合格的直接接触药品的包装材料和容器，由药品监督管理部门责令停止使用。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第四十七条　药品生产企业应当对药品进行质量检验。不符合国家药品标准的，不得出厂。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药品生产企业应当建立药品出厂放行规程，明确出厂放行的标准、条件。符合标准、条件的，经质量受权人签字后方可放行。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第四十八条　药品包装应当适合药品质量的要求，方便储存、运输和医疗使用。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发运中药材应当有包装。在每件包装上，应当注明品名、产地、日期、供货单位，并附有质量合格的标志。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第四十九条　药品包装应当按照规定印有或者贴有标签并附有说明书。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麻醉药品、精神药品、医疗用毒性药品、放射性药品、外用药品和非处方药的标签、说明书，应当印有规定的标志。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第五十条　药品上市许可持有人、药品生产企业、药品经营企业和医疗机构中直接接触药品的工作人员，应当每年进行健康检查。患有传染病或者其他可能污染药品的疾病的，不得从事直接接触药品的工作。</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第五章　药品经营</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药品经营许可证应当标明有效期和经营范围，到期重新审查发证。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药品监督管理部门实施药品经营许可，除依据本法第五十二条规定的条件外，还应当遵循方便群众购药的原则。</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第五十二条　从事药品经营活动应当具备以下条件: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（一）有依法经过资格认定的药师或者其他药学技术人员；</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（二）有与所经营药品相适应的营业场所、设备、仓储设施和卫生环境；</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（三）有与所经营药品相适应的质量管理机构或者人员；</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（四）有保证药品质量的规章制度，并符合国务院药品监督管理部门依据本法制定的药品经营质量管理规范要求。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第五十三条　从事药品经营活动，应当遵守药品经营质量管理规范，建立健全药品经营质量管理体系，保证药品经营全过程持续符合法定要求。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国家鼓励、引导药品零售连锁经营。从事药品零售连锁经营活动的企业总部，应当建立统一的质量管理制度，对所属零售企业的经营活动履行管理责任。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药品经营企业的法定代表人、主要负责人对本企业的药品经营活动全面负责。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第五十四条　国家对药品实行处方药与非处方药分类管理制度。具体办法由国务院药品监督管理部门会同国务院卫生健康主管部门制定。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第五十五条　药品上市许可持有人、药品生产企业、药品经营企业和医疗机构应当从药品上市许可持有人或者具有药品生产、经营资格的企业购进药品；但是，购进未实施审批管理的中药材除外。</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第五十六条　药品经营企业购进药品，应当建立并执行进货检查验收制度，验明药品合格证明和其他标识；不符合规定要求的，不得购进和销售。</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药品经营企业销售中药材，应当标明产地。</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依法经过资格认定的药师或者其他药学技术人员负责本企业的药品管理、处方审核和调配、合理用药指导等工作。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第五十九条　药品经营企业应当制定和执行药品保管制度，采取必要的冷藏、防冻、防潮、防虫、防鼠等措施，保证药品质量。</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药品入库和出库应当执行检查制度。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第六十条　城乡集市贸易市场可以出售中药材，国务院另有规定的除外。</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第六十一条　药品上市许可持有人、药品经营企业通过网络销售药品，应当遵守本法药品经营的有关规定。具体管理办法由国务院药品监督管理部门会同国务院卫生健康主管部门等部门制定。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疫苗、血液制品、麻醉药品、精神药品、医疗用毒性药品、放射性药品、药品类易制毒化学品等国家实行特殊管理的药品不得在网络上销售。</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第六十二条　药品网络交易第三方平台提供者应当按照国务院药品监督管理部门的规定，向所在地省、自治区、直辖市人民政府药品监督管理部门备案。</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第三方平台提供者应当依法对申请进入平台经营的药品上市许可持有人、药品经营企业的资质等进行审核，保证其符合法定要求，并对发生在平台的药品经营行为进行管理。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第六十三条　新发现和从境外引种的药材，经国务院药品监督管理部门批准后，方可销售。</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口岸所在地药品监督管理部门应当通知药品检验机构按照国务院药品监督管理部门的规定对进口药品进行抽查检验。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允许药品进口的口岸由国务院药品监督管理部门会同海关总署提出，报国务院批准。</w:t>
      </w:r>
    </w:p>
    <w:p w:rsidR="00802A1D" w:rsidRPr="00802A1D" w:rsidRDefault="00802A1D" w:rsidP="00802A1D">
      <w:pPr>
        <w:shd w:val="clear" w:color="auto" w:fill="FFFFFF"/>
        <w:adjustRightInd/>
        <w:snapToGrid/>
        <w:spacing w:after="0" w:line="400" w:lineRule="atLeast"/>
        <w:ind w:firstLine="475"/>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第六十五条　医疗机构因临床急需进口少量药品的，经国务院药品监督管理部门或者国务院授权的省、自治区、直辖市人民政府</w:t>
      </w:r>
      <w:r w:rsidRPr="00802A1D">
        <w:rPr>
          <w:rFonts w:ascii="仿宋" w:eastAsia="仿宋" w:hAnsi="仿宋" w:cs="宋体" w:hint="eastAsia"/>
          <w:color w:val="333333"/>
          <w:sz w:val="28"/>
          <w:szCs w:val="28"/>
        </w:rPr>
        <w:lastRenderedPageBreak/>
        <w:t>批准，可以进口。进口的药品应当在指定医疗机构内用于特定医疗目的。</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个人自用携带入境少量药品，按照国家有关规定办理。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第六十六条　进口、出口麻醉药品和国家规定范围内的精神药品，应当持有国务院药品监督管理部门颁发的进口准许证、出口准许证。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第六十七条　禁止进口疗效不确切、不良反应大或者因其他原因危害人体健康的药品。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第六十八条　国务院药品监督管理部门对下列药品在销售前或者进口时，应当指定药品检验机构进行检验；未经检验或者检验不合格的，不得销售或者进口: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（一）首次在中国境内销售的药品；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（二）国务院药品监督管理部门规定的生物制品；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（三）国务院规定的其他药品。</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第六章　医疗机构药事管理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第六十九条　医疗机构应当配备依法经过资格认定的药师或者其他药学技术人员，负责本单位的药品管理、处方审核和调配、合理用药指导等工作。非药学技术人员不得直接从事药剂技术工作。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第七十条　医疗机构购进药品，应当建立并执行进货检查验收制度，验明药品合格证明和其他标识；不符合规定要求的，不得购进和使用。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第七十一条　医疗机构应当有与所使用药品相适应的场所、设备、仓储设施和卫生环境，制定和执行药品保管制度，采取必要的冷藏、防冻、防潮、防虫、防鼠等措施，保证药品质量。</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第七十二条　医疗机构应当坚持安全有效、经济合理的用药原则，遵循药品临床应用指导原则、临床诊疗指南和药品说明书等合理用药，对医师处方、用药医嘱的适宜性进行审核。</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医疗机构以外的其他药品使用单位，应当遵守本法有关医疗机构使用药品的规定。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第七十四条　医疗机构配制制剂，应当经所在地省、自治区、直辖市人民政府药品监督管理部门批准，取得医疗机构制剂许可证。无医疗机构制剂许可证的，不得配制制剂。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医疗机构制剂许可证应当标明有效期，到期重新审查发证。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第七十五条　医疗机构配制制剂，应当有能够保证制剂质量的设施、管理制度、检验仪器和卫生环境。</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医疗机构配制制剂，应当按照经核准的工艺进行，所需的原料、辅料和包装材料等应当符合药用要求。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第七十六条　医疗机构配制的制剂，应当是本单位临床需要而市场上没有供应的品种，并应当经所在地省、自治区、直辖市人民政府药品监督管理部门批准；但是，法律对配制中药制剂另有规定的除外。</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医疗机构配制的制剂不得在市场上销售。</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第七章　药品上市后管理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第七十七条　药品上市许可持有人应当制定药品上市后风险管理计划，主动开展药品上市后研究，对药品的安全性、有效性和质量可控性进行进一步确证，加强对已上市药品的持续管理。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药品上市许可持有人应当按照国务院药品监督管理部门的规定，全面评估、验证变更事项对药品安全性、有效性和质量可控性的影响。</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第八十条　药品上市许可持有人应当开展药品上市后不良反应监测，主动收集、跟踪分析疑似药品不良反应信息，对已识别风险的药品及时采取风险控制措施。</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药品上市许可持有人依法应当召回药品而未召回的，省、自治区、直辖市人民政府药品监督管理部门应当责令其召回。</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经评价，对疗效不确切、不良反应大或者因其他原因危害人体健康的药品，应当注销药品注册证书。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已被注销药品注册证书的药品，不得生产或者进口、销售和使用。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已被注销药品注册证书、超过有效期等的药品，应当由药品监督管理部门监督销毁或者依法采取其他无害化处理等措施。</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第八章　药品价格和广告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第八十四条　国家完善药品采购管理制度，对药品价格进行监测，开展成本价格调查，加强药品价格监督检查，依法查处价格垄断、哄抬价格等药品价格违法行为，维护药品价格秩序。</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第八十五条　依法实行市场调节价的药品，药品上市许可持有人、药品生产企业、药品经营企业和医疗机构应当按照公平、合理和诚实信用、质价相符的原则制定价格，为用药者提供价格合理的药品。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药品上市许可持有人、药品生产企业、药品经营企业和医疗机构应当遵守国务院药品价格主管部门关于药品价格管理的规定，制定和标明药品零售价格，禁止暴利、价格垄断和价格欺诈等行为。</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第八十六条　药品上市许可持有人、药品生产企业、药品经营企业和医疗机构应当依法向药品价格主管部门提供其药品的实际购销价格和购销数量等资料。</w:t>
      </w:r>
    </w:p>
    <w:p w:rsidR="00802A1D" w:rsidRPr="00802A1D" w:rsidRDefault="00802A1D" w:rsidP="00802A1D">
      <w:pPr>
        <w:shd w:val="clear" w:color="auto" w:fill="FFFFFF"/>
        <w:adjustRightInd/>
        <w:snapToGrid/>
        <w:spacing w:after="0" w:line="400" w:lineRule="atLeast"/>
        <w:ind w:firstLine="475"/>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第八十七条　医疗机构应当向患者提供所用药品的价格清单，按照规定如实公布其常用药品的价格，加强合理用药管理。具体办法由国务院卫生健康主管部门制定。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第八十八条　禁止药品上市许可持有人、药品生产企业、药品经营企业和医疗机构在药品购销中给予、收受回扣或者其他不正当利益。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第八十九条　药品广告应当经广告主所在地省、自治区、直辖市人民政府确定的广告审查机关批准；未经批准的，不得发布。</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第九十条　药品广告的内容应当真实、合法，以国务院药品监督管理部门核准的药品说明书为准，不得含有虚假的内容。</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药品广告不得含有表示功效、安全性的断言或者保证；不得利用国家机关、科研单位、学术机构、行业协会或者专家、学者、医师、药师、患者等的名义或者形象作推荐、证明。</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非药品广告不得有涉及药品的宣传。</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第九十一条　药品价格和广告，本法未作规定的，适用《中华人民共和国价格法》、《中华人民共和国反垄断法》、《中华人民共和国反不正当竞争法》、《中华人民共和国广告法》等的规定。</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第九章　药品储备和供应</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第九十二条　国家实行药品储备制度，建立中央和地方两级药品储备。</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发生重大灾情、疫情或者其他突发事件时，依照《中华人民共和国突发事件应对法》的规定，可以紧急调用药品。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第九十三条　国家实行基本药物制度，遴选适当数量的基本药物品种，加强组织生产和储备，提高基本药物的供给能力，满足疾病防治基本用药需求。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第九十四条　国家建立药品供求监测体系，及时收集和汇总分析短缺药品供求信息，对短缺药品实行预警，采取应对措施。</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第九十五条　国家实行短缺药品清单管理制度。具体办法由国务院卫生健康主管部门会同国务院药品监督管理部门等部门制定。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药品上市许可持有人停止生产短缺药品的，应当按照规定向国务院药品监督管理部门或者省、自治区、直辖市人民政府药品监督管理部门报告。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第九十六条　国家鼓励短缺药品的研制和生产，对临床急需的短缺药品、防治重大传染病和罕见病等疾病的新药予以优先审评审批。</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第九十七条　对短缺药品，国务院可以限制或者禁止出口。必要时，国务院有关部门可以采取组织生产、价格干预和扩大进口等措施，保障药品供应。</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药品上市许可持有人、药品生产企业、药品经营企业应当按照规定保障药品的生产和供应。</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第十章　监督管理</w:t>
      </w:r>
    </w:p>
    <w:p w:rsidR="00802A1D" w:rsidRPr="00802A1D" w:rsidRDefault="00802A1D" w:rsidP="00802A1D">
      <w:pPr>
        <w:shd w:val="clear" w:color="auto" w:fill="FFFFFF"/>
        <w:adjustRightInd/>
        <w:snapToGrid/>
        <w:spacing w:after="0" w:line="400" w:lineRule="atLeast"/>
        <w:ind w:firstLine="706"/>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第九十八条　禁止生产（包括配制，下同）、销售、使用假药、劣药。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有下列情形之一的，为假药: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（一）药品所含成份与国家药品标准规定的成份不符；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（二）以非药品冒充药品或者以他种药品冒充此种药品；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（三）变质的药品；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（四）药品所标明的适应症或者功能主治超出规定范围。</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有下列情形之一的，为劣药：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（一）药品成份的含量不符合国家药品标准；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（二）被污染的药品；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（三）未标明或者更改有效期的药品；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（四）未注明或者更改产品批号的药品；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（五）超过有效期的药品；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（六）擅自添加防腐剂、辅料的药品；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（七）其他不符合药品标准的药品。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禁止未取得药品批准证明文件生产、进口药品；禁止使用未按照规定审评、审批的原料药、包装材料和容器生产药品。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药品监督管理部门应当对高风险的药品实施重点监督检查。</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对有证据证明可能存在安全隐患的，药品监督管理部门根据监督检查情况，应当采取告诫、约谈、限期整改以及暂停生产、销售、使用、进口等措施，并及时公布检查处理结果。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药品监督管理部门进行监督检查时，应当出示证明文件，对监督检查中知悉的商业秘密应当保密。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第一百条　药品监督管理部门根据监督管理的需要，可以对药品质量进行抽查检验。抽查检验应当按照规定抽样，并不得收取任何费用；抽样应当购买样品。所需费用按照国务院规定列支。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对有证据证明可能危害人体健康的药品及其有关材料，药品监督管理部门可以查封、扣押，并在七日内作出行政处理决定；药品需要检验的，应当自检验报告书发出之日起十五日内作出行政处理决定。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第一百零一条　国务院和省、自治区、直辖市人民政府的药品监督管理部门应当定期公告药品质量抽查检验结果；公告不当的，应当在原公告范围内予以更正。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第一百零四条　国家建立职业化、专业化药品检查员队伍。检查员应当熟悉药品法律法规，具备药品专业知识。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第一百零六条　药品监督管理部门应当公布本部门的电子邮件地址、电话，接受咨询、投诉、举报，并依法及时答复、核实、处理。对查证属实的举报，按照有关规定给予举报人奖励。</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药品监督管理部门应当对举报人的信息予以保密，保护举报人的合法权益。举报人举报所在单位的，该单位不得以解除、变更劳动合同或者其他方式对举报人进行打击报复。</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公布药品安全信息，应当及时、准确、全面，并进行必要的说明，避免误导。</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任何单位和个人不得编造、散布虚假药品安全信息。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第一百零八条　县级以上人民政府应当制定药品安全事件应急预案。药品上市许可持有人、药品生产企业、药品经营企业和医疗机构等应当制定本单位的药品安全事件处置方案，并组织开展培训和应急演练。</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发生药品安全事件，县级以上人民政府应当按照应急预案立即组织开展应对工作；有关单位应当立即采取有效措施进行处置，防止危害扩大。</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第一百零九条　药品监督管理部门未及时发现药品安全系统性风险，未及时消除监督管理区域内药品安全隐患的，本级人民政府或者上级人民政府药品监督管理部门应当对其主要负责人进行约谈。</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地方人民政府未履行药品安全职责，未及时消除区域性重大药品安全隐患的，上级人民政府或者上级人民政府药品监督管理部门应当对其主要负责人进行约谈。</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被约谈的部门和地方人民政府应当立即采取措施，对药品监督管理工作进行整改。</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约谈情况和整改情况应当纳入有关部门和地方人民政府药品监督管理工作评议、考核记录。</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第一百一十条　地方人民政府及其药品监督管理部门不得以要求实施药品检验、审批等手段限制或者排斥非本地区药品上市许可持有人、药品生产企业生产的药品进入本地区。</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第一百一十一条　药品监督管理部门及其设置或者指定的药品专业技术机构不得参与药品生产经营活动，不得以其名义推荐或者监制、监销药品。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药品监督管理部门及其设置或者指定的药品专业技术机构的工作人员不得参与药品生产经营活动。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第一百一十二条　国务院对麻醉药品、精神药品、医疗用毒性药品、放射性药品、药品类易制毒化学品等有其他特殊管理规定的，依照其规定。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第一百一十三条　药品监督管理部门发现药品违法行为涉嫌犯罪的，应当及时将案件移送公安机关。</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对依法不需要追究刑事责任或者免予刑事处罚，但应当追究行政责任的，公安机关、人民检察院、人民法院应当及时将案件移送药品监督管理部门。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公安机关、人民检察院、人民法院商请药品监督管理部门、生态环境主管部门等部门提供检验结论、认定意见以及对涉案药品进行无害化处理等协助的，有关部门应当及时提供，予以协助。</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第十一章　法律责任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第一百一十四条　违反本法规定，构成犯罪的，依法追究刑事责任。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生产、销售的中药饮片不符合药品标准，尚不影响安全性、有效性的，责令限期改正，给予警告；可以处十万元以上五十万元以下的罚款。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对生产者专门用于生产假药、劣药的原料、辅料、包装材料、生产设备予以没收。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第一百二十一条　对假药、劣药的处罚决定，应当依法载明药品检验机构的质量检验结论。</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（一）未取得药品批准证明文件生产、进口药品；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（二）使用采取欺骗手段取得的药品批准证明文件生产、进口药品；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（三）使用未经审评审批的原料药生产药品；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（四）应当检验而未经检验即销售药品；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（五）生产、销售国务院药品监督管理部门禁止使用的药品；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（六）编造生产、检验记录；</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（七）未经批准在药品生产过程中进行重大变更。</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未经批准进口少量境外已合法上市的药品，情节较轻的，可以依法减轻或者免予处罚。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（一）未经批准开展药物临床试验；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（二）使用未经审评的直接接触药品的包装材料或者容器生产药品，或者销售该类药品；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（三）使用未经核准的标签、说明书。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w:t>
      </w:r>
      <w:r w:rsidRPr="00802A1D">
        <w:rPr>
          <w:rFonts w:ascii="仿宋" w:eastAsia="仿宋" w:hAnsi="仿宋" w:cs="宋体" w:hint="eastAsia"/>
          <w:color w:val="333333"/>
          <w:sz w:val="28"/>
          <w:szCs w:val="28"/>
        </w:rPr>
        <w:lastRenderedPageBreak/>
        <w:t>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第一百二十七条　违反本法规定，有下列行为之一的，责令限期改正，给予警告；逾期不改正的，处十万元以上五十万元以下的罚款：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（一）开展生物等效性试验未备案；</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（二）药物临床试验期间，发现存在安全性问题或者其他风险，临床试验申办者未及时调整临床试验方案、暂停或者终止临床试验，或者未向国务院药品监督管理部门报告；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（三）未按照规定建立并实施药品追溯制度；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（四）未按照规定提交年度报告；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（五）未按照规定对药品生产过程中的变更进行备案或者报告；</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（六）未制定药品上市后风险管理计划；</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（七）未按照规定开展药品上市后研究或者上市后评价。</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第一百三十条　违反本法规定，药品经营企业购销药品未按照规定进行记录，零售药品未正确说明用法、用量等事项，或者未按照规定调配处方的，责令改正，给予警告；情节严重的，吊销药品经营许可证。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第一百三十一条　违反本法规定，药品网络交易第三方平台提供者未履行资质审核、报告、停止提供网络交易平台服务等义务的，责令改正，没收违法所得，并处二十万元以上二百万元以下的罚款；</w:t>
      </w:r>
      <w:r w:rsidRPr="00802A1D">
        <w:rPr>
          <w:rFonts w:ascii="仿宋" w:eastAsia="仿宋" w:hAnsi="仿宋" w:cs="宋体" w:hint="eastAsia"/>
          <w:color w:val="333333"/>
          <w:sz w:val="28"/>
          <w:szCs w:val="28"/>
        </w:rPr>
        <w:lastRenderedPageBreak/>
        <w:t>情节严重的，责令停业整顿，并处二百万元以上五百万元以下的罚款。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第一百三十二条　进口已获得药品注册证书的药品，未按照规定向允许药品进口的口岸所在地药品监督管理部门备案的，责令限期改正，给予警告；逾期不改正的，吊销药品注册证书。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第一百三十四条　药品上市许可持有人未按照规定开展药品不良反应监测或者报告疑似药品不良反应的，责令限期改正，给予警告；逾期不改正的，责令停产停业整顿，并处十万元以上一百万元以下的罚款。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药品经营企业未按照规定报告疑似药品不良反应的，责令限期改正，给予警告；逾期不改正的，责令停产停业整顿，并处五万元以上五十万元以下的罚款。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医疗机构未按照规定报告疑似药品不良反应的，责令限期改正，给予警告；逾期不改正的，处五万元以上五十万元以下的罚款。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第一百三十六条　药品上市许可持有人为境外企业的，其指定的在中国境内的企业法人未依照本法规定履行相关义务的，适用本法有关药品上市许可持有人法律责任的规定。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第一百三十七条　有下列行为之一的，在本法规定的处罚幅度内从重处罚：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（一）以麻醉药品、精神药品、医疗用毒性药品、放射性药品、药品类易制毒化学品冒充其他药品，或者以其他药品冒充上述药品；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（二）生产、销售以孕产妇、儿童为主要使用对象的假药、劣药；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（三）生产、销售的生物制品属于假药、劣药；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（四）生产、销售假药、劣药，造成人身伤害后果；</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（五）生产、销售假药、劣药，经处理后再犯；</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（六）拒绝、逃避监督检查，伪造、销毁、隐匿有关证据材料，或者擅自动用查封、扣押物品。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第一百三十九条　本法第一百一十五条至第一百三十八条规定的行政处罚，由县级以上人民政府药品监督管理部门按照职责分工决定；撤销许可、吊销许可证件的，由原批准、发证的部门决定。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第一百四十条　药品上市许可持有人、药品生产企业、药品经营企业或者医疗机构违反本法规定聘用人员的，由药品监督管理部门或者卫生健康主管部门责令解聘，处五万元以上二十万元以下的罚款。</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药品上市许可持有人、药品生产企业、药品经营企业在药品研制、生产、经营中向国家工作人员行贿的，对法定代表人、主要负责人、直接负责的主管人员和其他责任人员终身禁止从事药品生产经营活动。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第一百四十三条　违反本法规定，编造、散布虚假药品安全信息，构成违反治安管理行为的，由公安机关依法给予治安管理处罚。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第一百四十四条　药品上市许可持有人、药品生产企业、药品经营企业或者医疗机构违反本法规定，给用药者造成损害的，依法承担赔偿责任。</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生产假药、劣药或者明知是假药、劣药仍然销售、使用的，受害人或者其近亲属除请求赔偿损失外，还可以请求支付价款十倍或者损失三倍的赔偿金；增加赔偿的金额不足一千元的，为一千元。</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药品监督管理部门或者其设置、指定的药品专业技术机构的工作人员参与药品生产经营活动的，依法给予处分。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第一百四十七条　违反本法规定，药品监督管理部门有下列行为之一的，应当撤销相关许可，对直接负责的主管人员和其他直接责任人员依法给予处分：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lastRenderedPageBreak/>
        <w:t>（一）不符合条件而批准进行药物临床试验；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（二）对不符合条件的药品颁发药品注册证书；</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（三）对不符合条件的单位颁发药品生产许可证、药品经营许可证或者医疗机构制剂许可证。</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第一百四十八条　违反本法规定，县级以上地方人民政府有下列行为之一的，对直接负责的主管人员和其他直接责任人员给予记过或者记大过处分；情节严重的，给予降级、撤职或者开除处分：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（一）瞒报、谎报、缓报、漏报药品安全事件；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（二）未及时消除区域性重大药品安全隐患，造成本行政区域内发生特别重大药品安全事件，或者连续发生重大药品安全事件；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（三）履行职责不力，造成严重不良影响或者重大损失。</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（一）瞒报、谎报、缓报、漏报药品安全事件；</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（二）对发现的药品安全违法行为未及时查处；</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（三）未及时发现药品安全系统性风险，或者未及时消除监督管理区域内药品安全隐患，造成严重影响；</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（四）其他不履行药品监督管理职责，造成严重不良影响或者重大损失。</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第一百五十条　药品监督管理人员滥用职权、徇私舞弊、玩忽职守的，依法给予处分。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查处假药、劣药违法行为有失职、渎职行为的，对药品监督管理部门直接负责的主管人员和其他直接责任人员依法从重给予处分。</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第一百五十一条　本章规定的货值金额以违法生产、销售药品的标价计算；没有标价的，按照同类药品的市场价格计算。</w:t>
      </w:r>
    </w:p>
    <w:p w:rsidR="00802A1D" w:rsidRPr="00802A1D" w:rsidRDefault="00802A1D" w:rsidP="00802A1D">
      <w:pPr>
        <w:shd w:val="clear" w:color="auto" w:fill="FFFFFF"/>
        <w:adjustRightInd/>
        <w:snapToGrid/>
        <w:spacing w:after="0" w:line="400" w:lineRule="atLeast"/>
        <w:jc w:val="center"/>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第十二章　附　　则</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第一百五十二条　中药材种植、采集和饲养的管理，依照有关法律、法规的规定执行。</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第一百五十三条　地区性民间习用药材的管理办法，由国务院药品监督管理部门会同国务院中医药主管部门制定。</w:t>
      </w:r>
    </w:p>
    <w:p w:rsidR="00802A1D" w:rsidRPr="00802A1D" w:rsidRDefault="00802A1D" w:rsidP="00802A1D">
      <w:pPr>
        <w:shd w:val="clear" w:color="auto" w:fill="FFFFFF"/>
        <w:adjustRightInd/>
        <w:snapToGrid/>
        <w:spacing w:after="0" w:line="400" w:lineRule="atLeast"/>
        <w:ind w:firstLine="562"/>
        <w:rPr>
          <w:rFonts w:ascii="仿宋" w:eastAsia="仿宋" w:hAnsi="仿宋" w:cs="宋体" w:hint="eastAsia"/>
          <w:color w:val="333333"/>
          <w:sz w:val="28"/>
          <w:szCs w:val="28"/>
        </w:rPr>
      </w:pPr>
      <w:r w:rsidRPr="00802A1D">
        <w:rPr>
          <w:rFonts w:ascii="仿宋" w:eastAsia="仿宋" w:hAnsi="仿宋" w:cs="宋体" w:hint="eastAsia"/>
          <w:color w:val="333333"/>
          <w:sz w:val="28"/>
          <w:szCs w:val="28"/>
        </w:rPr>
        <w:t>第一百五十四条　中国人民解放军和中国人民武装警察部队执行本法的具体办法，由国务院、中央军事委员会依据本法制定。</w:t>
      </w:r>
    </w:p>
    <w:p w:rsidR="00802A1D" w:rsidRPr="00802A1D" w:rsidRDefault="00802A1D" w:rsidP="00802A1D">
      <w:pPr>
        <w:shd w:val="clear" w:color="auto" w:fill="FFFFFF"/>
        <w:adjustRightInd/>
        <w:snapToGrid/>
        <w:spacing w:after="0" w:line="400" w:lineRule="atLeast"/>
        <w:ind w:firstLine="562"/>
        <w:rPr>
          <w:rFonts w:ascii="宋体" w:eastAsia="宋体" w:hAnsi="宋体" w:cs="宋体" w:hint="eastAsia"/>
          <w:color w:val="333333"/>
          <w:sz w:val="28"/>
          <w:szCs w:val="28"/>
        </w:rPr>
      </w:pPr>
      <w:r w:rsidRPr="00802A1D">
        <w:rPr>
          <w:rFonts w:ascii="宋体" w:eastAsia="宋体" w:hAnsi="宋体" w:cs="宋体" w:hint="eastAsia"/>
          <w:color w:val="333333"/>
          <w:sz w:val="28"/>
          <w:szCs w:val="28"/>
        </w:rPr>
        <w:lastRenderedPageBreak/>
        <w:t>第一百五十五条　本法自2019年12月1日起施行。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C5358"/>
    <w:rsid w:val="00323B43"/>
    <w:rsid w:val="003D37D8"/>
    <w:rsid w:val="00426133"/>
    <w:rsid w:val="004358AB"/>
    <w:rsid w:val="00802A1D"/>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802A1D"/>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02A1D"/>
    <w:rPr>
      <w:rFonts w:ascii="宋体" w:eastAsia="宋体" w:hAnsi="宋体" w:cs="宋体"/>
      <w:b/>
      <w:bCs/>
      <w:sz w:val="36"/>
      <w:szCs w:val="36"/>
    </w:rPr>
  </w:style>
  <w:style w:type="character" w:customStyle="1" w:styleId="size">
    <w:name w:val="size"/>
    <w:basedOn w:val="a0"/>
    <w:rsid w:val="00802A1D"/>
  </w:style>
  <w:style w:type="character" w:styleId="a3">
    <w:name w:val="Hyperlink"/>
    <w:basedOn w:val="a0"/>
    <w:uiPriority w:val="99"/>
    <w:semiHidden/>
    <w:unhideWhenUsed/>
    <w:rsid w:val="00802A1D"/>
    <w:rPr>
      <w:color w:val="0000FF"/>
      <w:u w:val="single"/>
    </w:rPr>
  </w:style>
  <w:style w:type="paragraph" w:styleId="a4">
    <w:name w:val="Normal (Web)"/>
    <w:basedOn w:val="a"/>
    <w:uiPriority w:val="99"/>
    <w:semiHidden/>
    <w:unhideWhenUsed/>
    <w:rsid w:val="00802A1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43354167">
      <w:bodyDiv w:val="1"/>
      <w:marLeft w:val="0"/>
      <w:marRight w:val="0"/>
      <w:marTop w:val="0"/>
      <w:marBottom w:val="0"/>
      <w:divBdr>
        <w:top w:val="none" w:sz="0" w:space="0" w:color="auto"/>
        <w:left w:val="none" w:sz="0" w:space="0" w:color="auto"/>
        <w:bottom w:val="none" w:sz="0" w:space="0" w:color="auto"/>
        <w:right w:val="none" w:sz="0" w:space="0" w:color="auto"/>
      </w:divBdr>
      <w:divsChild>
        <w:div w:id="165310262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3201</Words>
  <Characters>18250</Characters>
  <Application>Microsoft Office Word</Application>
  <DocSecurity>0</DocSecurity>
  <Lines>152</Lines>
  <Paragraphs>42</Paragraphs>
  <ScaleCrop>false</ScaleCrop>
  <Company/>
  <LinksUpToDate>false</LinksUpToDate>
  <CharactersWithSpaces>21409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2021-12-27T08:29:00Z</dcterms:modified>
</cp:coreProperties>
</file>