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C93" w:rsidRPr="00323C93" w:rsidRDefault="00323C93" w:rsidP="00323C93">
      <w:pPr>
        <w:shd w:val="clear" w:color="auto" w:fill="FFFFFF"/>
        <w:adjustRightInd/>
        <w:snapToGrid/>
        <w:spacing w:after="225"/>
        <w:jc w:val="center"/>
        <w:outlineLvl w:val="1"/>
        <w:rPr>
          <w:rFonts w:ascii="微软雅黑" w:hAnsi="微软雅黑" w:cs="宋体"/>
          <w:color w:val="333333"/>
          <w:sz w:val="48"/>
          <w:szCs w:val="48"/>
        </w:rPr>
      </w:pPr>
      <w:r w:rsidRPr="00323C93">
        <w:rPr>
          <w:rFonts w:ascii="微软雅黑" w:hAnsi="微软雅黑" w:cs="宋体" w:hint="eastAsia"/>
          <w:color w:val="333333"/>
          <w:sz w:val="48"/>
          <w:szCs w:val="48"/>
        </w:rPr>
        <w:t>医疗器械监督管理条例</w:t>
      </w:r>
    </w:p>
    <w:p w:rsidR="00323C93" w:rsidRPr="00323C93" w:rsidRDefault="00323C93" w:rsidP="00323C93">
      <w:pPr>
        <w:shd w:val="clear" w:color="auto" w:fill="FFFFFF"/>
        <w:adjustRightInd/>
        <w:snapToGrid/>
        <w:jc w:val="center"/>
        <w:rPr>
          <w:rFonts w:ascii="微软雅黑" w:hAnsi="微软雅黑" w:cs="宋体" w:hint="eastAsia"/>
          <w:color w:val="777777"/>
          <w:sz w:val="21"/>
          <w:szCs w:val="21"/>
        </w:rPr>
      </w:pPr>
      <w:r w:rsidRPr="00323C93">
        <w:rPr>
          <w:rFonts w:ascii="微软雅黑" w:hAnsi="微软雅黑" w:cs="宋体" w:hint="eastAsia"/>
          <w:color w:val="777777"/>
          <w:sz w:val="21"/>
          <w:szCs w:val="21"/>
        </w:rPr>
        <w:t>来源： 发布时间：2021-07-05 浏览次数：45 次 </w:t>
      </w:r>
      <w:r w:rsidRPr="00323C93">
        <w:rPr>
          <w:rFonts w:ascii="微软雅黑" w:hAnsi="微软雅黑" w:cs="宋体" w:hint="eastAsia"/>
          <w:color w:val="777777"/>
          <w:sz w:val="21"/>
        </w:rPr>
        <w:t>【字体：</w:t>
      </w:r>
      <w:hyperlink r:id="rId4" w:history="1">
        <w:r w:rsidRPr="00323C93">
          <w:rPr>
            <w:rFonts w:ascii="微软雅黑" w:hAnsi="微软雅黑" w:cs="宋体" w:hint="eastAsia"/>
            <w:color w:val="333333"/>
            <w:sz w:val="21"/>
          </w:rPr>
          <w:t>小</w:t>
        </w:r>
      </w:hyperlink>
      <w:r w:rsidRPr="00323C93">
        <w:rPr>
          <w:rFonts w:ascii="微软雅黑" w:hAnsi="微软雅黑" w:cs="宋体" w:hint="eastAsia"/>
          <w:color w:val="777777"/>
          <w:sz w:val="21"/>
        </w:rPr>
        <w:t> </w:t>
      </w:r>
      <w:hyperlink r:id="rId5" w:history="1">
        <w:r w:rsidRPr="00323C93">
          <w:rPr>
            <w:rFonts w:ascii="微软雅黑" w:hAnsi="微软雅黑" w:cs="宋体" w:hint="eastAsia"/>
            <w:color w:val="333333"/>
            <w:sz w:val="21"/>
          </w:rPr>
          <w:t>大</w:t>
        </w:r>
      </w:hyperlink>
      <w:r w:rsidRPr="00323C93">
        <w:rPr>
          <w:rFonts w:ascii="微软雅黑" w:hAnsi="微软雅黑" w:cs="宋体" w:hint="eastAsia"/>
          <w:color w:val="777777"/>
          <w:sz w:val="21"/>
        </w:rPr>
        <w:t>】</w:t>
      </w:r>
    </w:p>
    <w:p w:rsidR="00323C93" w:rsidRPr="00323C93" w:rsidRDefault="00323C93" w:rsidP="00323C93">
      <w:pPr>
        <w:shd w:val="clear" w:color="auto" w:fill="FFFFFF"/>
        <w:adjustRightInd/>
        <w:snapToGrid/>
        <w:spacing w:after="0" w:line="389" w:lineRule="atLeast"/>
        <w:jc w:val="center"/>
        <w:rPr>
          <w:rFonts w:ascii="方正小标宋简体" w:eastAsia="方正小标宋简体" w:hAnsi="微软雅黑" w:cs="宋体" w:hint="eastAsia"/>
          <w:color w:val="333333"/>
          <w:sz w:val="36"/>
          <w:szCs w:val="36"/>
        </w:rPr>
      </w:pPr>
      <w:r w:rsidRPr="00323C93">
        <w:rPr>
          <w:rFonts w:ascii="方正小标宋简体" w:eastAsia="方正小标宋简体" w:hAnsi="微软雅黑" w:cs="宋体" w:hint="eastAsia"/>
          <w:color w:val="333333"/>
          <w:sz w:val="36"/>
          <w:szCs w:val="36"/>
        </w:rPr>
        <w:t>医疗器械监督管理条例</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2000年1月4日中华人民共和国国务院令第276号公布2014年2月12日国务院第39次常务会议修订通过根据2017年5月4日《国务院关于修改〈医疗器械监督管理条例〉的决定》修订2020年12月21日国务院第119次常务会议修订通过）</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第一章总则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第一条为了保证医疗器械的安全、有效，保障人体健康和生命安全，促进医疗器械产业发展，制定本条例。</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第二条在中华人民共和国境内从事医疗器械的研制、生产、经营、使用活动及其监督管理，适用本条例。</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第三条国务院药品监督管理部门负责全国医疗器械监督管理工作。</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国务院有关部门在各自的职责范围内负责与医疗器械有关的监督管理工作。</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条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县级以上地方人民政府负责药品监督管理的部门负责本行政区域的医疗器械监督管理工作。县级以上地方人民政府有关部门在各自的职责范围内负责与医疗器械有关的监督管理工作。</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第五条医疗器械监督管理遵循风险管理、全程管控、科学监管、社会共治的原则。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第六条国家对医疗器械按照风险程度实行分类管理。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第一类是风险程度低，实行常规管理可以保证其安全、有效的医疗器械。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第二类是具有中度风险，需要严格控制管理以保证其安全、有效的医疗器械。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第三类是具有较高风险，需要采取特别措施严格控制管理以保证其安全、有效的医疗器械。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评价医疗器械风险程度，应当考虑医疗器械的预期目的、结构特征、使用方法等因素。</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第七条医疗器械产品应当符合医疗器械强制性国家标准；尚无强制性国家标准的，应当符合医疗器械强制性行业标准。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条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条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第十条国家加强医疗器械监督管理信息化建设，提高在线政务服务水平，为医疗器械行政许可、备案等提供便利。</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第十一条医疗器械行业组织应当加强行业自律，推进诚信体系建设，督促企业依法开展生产经营活动，引导企业诚实守信。</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第十二条对在医疗器械的研究与创新方面做出突出贡献的单位和个人，按照国家有关规定给予表彰奖励。</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第二章医疗器械产品注册与备案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第十三条第一类医疗器械实行产品备案管理，第二类、第三类医疗器械实行产品注册管理。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医疗器械注册人、备案人应当加强医疗器械全生命周期质量管理，对研制、生产、经营、使用全过程中医疗器械的安全性、有效性依法承担责任。</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第十四条第一类医疗器械产品备案和申请第二类、第三类医疗器械产品注册，应当提交下列资料：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（一）产品风险分析资料；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（二）产品技术要求；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（三）产品检验报告；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（四）临床评价资料；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（五）产品说明书以及标签样稿；</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（六）与产品研制、生产有关的质量管理体系文件；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（七）证明产品安全、有效所需的其他资料。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产品检验报告应当符合国务院药品监督管理部门的要求，可以是医疗器械注册申请人、备案人的自检报告，也可以是委托有资质的医疗器械检验机构出具的检验报告。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符合本条例第二十四条规定的免于进行临床评价情形的，可以免于提交临床评价资料。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医疗器械注册申请人、备案人应当确保提交的资料合法、真实、准确、完整和可追溯。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第十五条第一类医疗器械产品备案，由备案人向所在地设区的市级人民政府负责药品监督管理的部门提交备案资料。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备案资料载明的事项发生变化的，应当向原备案部门变更备案。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六条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国务院药品监督管理部门应当对医疗器械注册审查程序和要求作出规定，并加强对省、自治区、直辖市人民政府药品监督管理部门注册审查工作的监督指导。</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第十七条受理注册申请的药品监督管理部门应当对医疗器械的安全性、有效性以及注册申请人保证医疗器械安全、有效的质量管理能力等进行审查。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受理注册申请的药品监督管理部门在组织对医疗器械的技术审评时认为有必要对质量管理体系进行核查的，应当组织开展质量管理体系核查。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第十八条受理注册申请的药品监督管理部门应当自收到审评意见之日起20个工作日内作出决定。对符合条件的，准予注册并发给医疗器械注册证；对不符合条件的，不予注册并书面说明理由。</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受理注册申请的药品监督管理部门应当自医疗器械准予注册之日起5个工作日内，通过国务院药品监督管理部门在线政务服务平台向社会公布注册有关信息。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十九条对用于治疗罕见疾病、严重危及生命且尚无有效治疗手段的疾病和应对公共卫生事件等急需的医疗器械，受理注册申请的药品监督管理部门可以作出附条件批准决定，并在医疗器械注册证中载明相关事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第二十条医疗器械注册人、备案人应当履行下列义务：</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（一）建立与产品相适应的质量管理体系并保持有效运行；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（二）制定上市后研究和风险管控计划并保证有效实施；</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（三）依法开展不良事件监测和再评价；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（四）建立并执行产品追溯和召回制度；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（五）国务院药品监督管理部门规定的其他义务。</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境外医疗器械注册人、备案人指定的我国境内企业法人应当协助注册人、备案人履行前款规定的义务。</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一条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第二十二条医疗器械注册证有效期为5年。有效期届满需要延续注册的，应当在有效期届满6个月前向原注册部门提出延续注册的申请。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除有本条第三款规定情形外，接到延续注册申请的药品监督管理部门应当在医疗器械注册证有效期届满前作出准予延续的决定。逾期未作决定的，视为准予延续。</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有下列情形之一的，不予延续注册：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（一）未在规定期限内提出延续注册申请；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（二）医疗器械强制性标准已经修订，申请延续注册的医疗器械不能达到新要求；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（三）附条件批准的医疗器械，未在规定期限内完成医疗器械注册证载明事项。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三条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第二十四条医疗器械产品注册、备案，应当进行临床评价；但是符合下列情形之一，可以免于进行临床评价：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（一）工作机理明确、设计定型，生产工艺成熟，已上市的同品种医疗器械临床应用多年且无严重不良事件记录，不改变常规用途的；</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（二）其他通过非临床评价能够证明该医疗器械安全、有效的。</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国务院药品监督管理部门应当制定医疗器械临床评价指南。</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第二十五条进行医疗器械临床评价，可以根据产品特征、临床风险、已有临床数据等情形，通过开展临床试验，或者通过对同品种医疗器械临床文献资料、临床数据进行分析评价，证明医疗器械安全、有效。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按照国务院药品监督管理部门的规定，进行医疗器械临床评价时，已有临床文献资料、临床数据不足以确认产品安全、有效的医疗器械，应当开展临床试验。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六条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医疗器械临床试验机构实行备案管理。医疗器械临床试验机构应当具备的条件以及备案管理办法和临床试验质量管理规范，由国务院药品监督管理部门会同国务院卫生主管部门制定并公布。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国家支持医疗机构开展临床试验，将临床试验条件和能力评价纳入医疗机构等级评审，鼓励医疗机构开展创新医疗器械临床试验。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七条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作出决定并通知临床试验申办者。逾期未通知的，视为同意。准予开展临床试验的，应当通报临床试验机构所在地省、自治区、直辖市人民政府药品监督管理部门和卫生主管部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临床试验对人体具有较高风险的第三类医疗器械目录由国务院药品监督管理部门制定、调整并公布。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八条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开展临床试验，不得以任何形式向受试者收取与临床试验有关的费用。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十九条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第三章医疗器械生产</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第三十条从事医疗器械生产活动，应当具备下列条件：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（一）有与生产的医疗器械相适应的生产场地、环境条件、生产设备以及专业技术人员；</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（二）有能对生产的医疗器械进行质量检验的机构或者专职检验人员以及检验设备；</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（三）有保证医疗器械质量的管理制度；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（四）有与生产的医疗器械相适应的售后服务能力；</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（五）符合产品研制、生产工艺文件规定的要求。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第三十一条从事第一类医疗器械生产的，应当向所在地设区的市级人民政府负责药品监督管理的部门备案，在提交符合本条例第三十条规定条件的有关资料后即完成备案。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医疗器械备案人自行生产第一类医疗器械的，可以在依照本条例第十五条规定进行产品备案时一并提交符合本条例第三十条规定条件的有关资料，即完成生产备案。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第三十二条从事第二类、第三类医疗器械生产的，应当向所在地省、自治区、直辖市人民政府药品监督管理部门申请生产许可并提交其符合本条例第三十条规定条件的有关资料以及所生产医疗器械的注册证。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受理生产许可申请的药品监督管理部门应当对申请资料进行审核，按照国务院药品监督管理部门制定的医疗器械生产质量管理规范的要求进行核查，并自受理申请之日起20个工作日内作出决定。对符合规定条件的，准予许可并发给医疗器械生产许可证；对不符合规定条件的，不予许可并书面说明理由。</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医疗器械生产许可证有效期为5年。有效期届满需要延续的，依照有关行政许可的法律规定办理延续手续。</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第三十三条医疗器械生产质量管理规范应当对医疗器械的设计开发、生产设备条件、原材料采购、生产过程控制、产品放行、企业的机构设置和人员配备等影响医疗器械安全、有效的事项作出明确规定。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第三十四条医疗器械注册人、备案人可以自行生产医疗器械，也可以委托符合本条例规定、具备相应条件的企业生产医疗器械。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委托生产医疗器械的，医疗器械注册人、备案人应当对所委托生产的医疗器械质量负责，并加强对受托生产企业生产行为的管理，保证其按照法定要求进行生产。医疗器械注册人、备案人应当与受</w:t>
      </w:r>
      <w:r w:rsidRPr="00323C93">
        <w:rPr>
          <w:rFonts w:ascii="仿宋_GB2312" w:eastAsia="仿宋_GB2312" w:hAnsi="微软雅黑" w:cs="宋体" w:hint="eastAsia"/>
          <w:color w:val="333333"/>
          <w:sz w:val="28"/>
          <w:szCs w:val="28"/>
        </w:rPr>
        <w:lastRenderedPageBreak/>
        <w:t>托生产企业签订委托协议，明确双方权利、义务和责任。受托生产企业应当依照法律法规、医疗器械生产质量管理规范、强制性标准、产品技术要求和委托协议组织生产，对生产行为负责，并接受委托方的监督。</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具有高风险的植入性医疗器械不得委托生产，具体目录由国务院药品监督管理部门制定、调整并公布。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五条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医疗器械注册人、备案人、受托生产企业应当定期对质量管理体系的运行情况进行自查，并按照国务院药品监督管理部门的规定提交自查报告。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六条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第三十七条医疗器械应当使用通用名称。通用名称应当符合国务院药品监督管理部门制定的医疗器械命名规则。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第三十八条国家根据医疗器械产品类别，分步实施医疗器械唯一标识制度，实现医疗器械可追溯，具体办法由国务院药品监督管理部门会同国务院有关部门制定。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第三十九条医疗器械应当有说明书、标签。说明书、标签的内容应当与经注册或者备案的相关内容一致，确保真实、准确。</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医疗器械的说明书、标签应当标明下列事项：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（一）通用名称、型号、规格；</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（二）医疗器械注册人、备案人、受托生产企业的名称、地址以及联系方式；</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（三）生产日期，使用期限或者失效日期；</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（四）产品性能、主要结构、适用范围；</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（五）禁忌、注意事项以及其他需要警示或者提示的内容；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（六）安装和使用说明或者图示；</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（七）维护和保养方法，特殊运输、贮存的条件、方法；</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（八）产品技术要求规定应当标明的其他内容。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第二类、第三类医疗器械还应当标明医疗器械注册证编号。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由消费者个人自行使用的医疗器械还应当具有安全使用的特别说明。</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第四章医疗器械经营与使用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第四十条从事医疗器械经营活动，应当有与经营规模和经营范围相适应的经营场所和贮存条件，以及与经营的医疗器械相适应的质量管理制度和质量管理机构或者人员。</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第四十一条从事第二类医疗器械经营的，由经营企业向所在地设区的市级人民政府负责药品监督管理的部门备案并提交符合本条例第四十条规定条件的有关资料。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按照国务院药品监督管理部门的规定，对产品安全性、有效性不受流通过程影响的第二类医疗器械，可以免于经营备案。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第四十二条从事第三类医疗器械经营的，经营企业应当向所在地设区的市级人民政府负责药品监督管理的部门申请经营许可并提交符合本条例第四十条规定条件的有关资料。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受理经营许可申请的负责药品监督管理的部门应当对申请资料进行审查，必要时组织核查，并自受理申请之日起20个工作日内作出决定。对符合规定条件的，准予许可并发给医疗器械经营许可证；对不符合规定条件的，不予许可并书面说明理由。</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医疗器械经营许可证有效期为5年。有效期届满需要延续的，依照有关行政许可的法律规定办理延续手续。</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第四十三条医疗器械注册人、备案人经营其注册、备案的医疗器械，无需办理医疗器械经营许可或者备案，但应当符合本条例规定的经营条件。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第四十四条从事医疗器械经营，应当依照法律法规和国务院药品监督管理部门制定的医疗器械经营质量管理规范的要求，建立健全与所经营医疗器械相适应的质量管理体系并保证其有效运行。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五条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记录事项包括：</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（一）医疗器械的名称、型号、规格、数量；</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（二）医疗器械的生产批号、使用期限或者失效日期、销售日期；</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（三）医疗器械注册人、备案人和受托生产企业的名称；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（四）供货者或者购货者的名称、地址以及联系方式；</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（五）相关许可证明文件编号等。</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进货查验记录和销售记录应当真实、准确、完整和可追溯，并按照国务院药品监督管理部门规定的期限予以保存。国家鼓励采用先进技术手段进行记录。</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六条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第四十七条运输、贮存医疗器械，应当符合医疗器械说明书和标签标示的要求；对温度、湿度等环境条件有特殊要求的，应当采取相应措施，保证医疗器械的安全、有效。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第四十八条医疗器械使用单位应当有与在用医疗器械品种、数量相适应的贮存场所和条件。医疗器械使用单位应当加强对工作人员的技术培训，按照产品说明书、技术操作规范等要求使用医疗器械。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大型医用设备配置管理办法由国务院卫生主管部门会同国务院有关部门制定。大型医用设备目录由国务院卫生主管部门商国务院有关部门提出，报国务院批准后执行。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第四十九条医疗器械使用单位对重复使用的医疗器械，应当按照国务院卫生主管部门制定的消毒和管理的规定进行处理。</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一次性使用的医疗器械不得重复使用，对使用过的应当按照国家有关规定销毁并记录。一次性使用的医疗器械目录由国务院药品监督</w:t>
      </w:r>
      <w:r w:rsidRPr="00323C93">
        <w:rPr>
          <w:rFonts w:ascii="仿宋_GB2312" w:eastAsia="仿宋_GB2312" w:hAnsi="微软雅黑" w:cs="宋体" w:hint="eastAsia"/>
          <w:color w:val="333333"/>
          <w:sz w:val="28"/>
          <w:szCs w:val="28"/>
        </w:rPr>
        <w:lastRenderedPageBreak/>
        <w:t>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条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第五十一条医疗器械使用单位应当妥善保存购入第三类医疗器械的原始资料，并确保信息具有可追溯性。</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使用大型医疗器械以及植入和介入类医疗器械的，应当将医疗器械的名称、关键性技术参数等信息以及与使用质量安全密切相关的必要信息记载到病历等相关记录中。</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二条发现使用的医疗器械存在安全隐患的，医疗器械使用单位应当立即停止使用，并通知医疗器械注册人、备案人或者其他负责产品质量的机构进行检修；经检修仍不能达到使用安全标准的医疗器械，不得继续使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三条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第五十四条负责药品监督管理的部门和卫生主管部门依据各自职责，分别对使用环节的医疗器械质量和医疗器械使用行为进行监督管理。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第五十五条医疗器械经营企业、使用单位不得经营、使用未依法注册或者备案、无合格证明文件以及过期、失效、淘汰的医疗器械。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第五十六条医疗器械使用单位之间转让在用医疗器械，转让方应当确保所转让的医疗器械安全、有效，不得转让过期、失效、淘汰以及检验不合格的医疗器械。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第五十七条进口的医疗器械应当是依照本条例第二章的规定已注册或者已备案的医疗器械。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医疗机构因临床急需进口少量第二类、第三类医疗器械的，经国务院药品监督管理部门或者国务院授权的省、自治区、直辖市人民政府批准，可以进口。进口的医疗器械应当在指定医疗机构内用于特定医疗目的。</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禁止进口过期、失效、淘汰等已使用过的医疗器械。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第五十八条出入境检验检疫机构依法对进口的医疗器械实施检验；检验不合格的，不得进口。</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第五十九条出口医疗器械的企业应当保证其出口的医疗器械符合进口国（地区）的要求。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第六十条医疗器械广告的内容应当真实合法，以经负责药品监督管理的部门注册或者备案的医疗器械说明书为准，不得含有虚假、夸大、误导性的内容。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发布医疗器械广告，应当在发布前由省、自治区、直辖市人民政府确定的广告审查机关对广告内容进行审查，并取得医疗器械广告批准文号；未经审查，不得发布。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省级以上人民政府药品监督管理部门责令暂停生产、进口、经营和使用的医疗器械，在暂停期间不得发布涉及该医疗器械的广告。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医疗器械广告的审查办法由国务院市场监督管理部门制定。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第五章不良事件的处理与医疗器械的召回</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第六十一条国家建立医疗器械不良事件监测制度，对医疗器械不良事件及时进行收集、分析、评价、控制。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二条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其他单位和个人发现医疗器械不良事件或者可疑不良事件，有权向负责药品监督管理的部门或者医疗器械不良事件监测技术机构报告。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第六十三条国务院药品监督管理部门应当加强医疗器械不良事件监测信息网络建设。</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医疗器械不良事件监测技术机构应当公布联系方式，方便医疗器械注册人、备案人、生产经营企业、使用单位等报告医疗器械不良事件。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第六十四条负责药品监督管理的部门应当根据医疗器械不良事件评估结果及时采取发布警示信息以及责令暂停生产、进口、经营和使用等控制措施。</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省级以上人民政府药品监督管理部门应当会同同级卫生主管部门和相关部门组织对引起突发、群发的严重伤害或者死亡的医疗器械不良事件及时进行调查和处理，并组织对同类医疗器械加强监测。</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负责药品监督管理的部门应当及时向同级卫生主管部门通报医疗器械使用单位的不良事件监测有关情况。</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第六十五条医疗器械注册人、备案人、生产经营企业、使用单位应当对医疗器械不良事件监测技术机构、负责药品监督管理的部门、卫生主管部门开展的医疗器械不良事件调查予以配合。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第六十六条有下列情形之一的，医疗器械注册人、备案人应当主动开展已上市医疗器械再评价：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（一）根据科学研究的发展，对医疗器械的安全、有效有认识上的改变；</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（二）医疗器械不良事件监测、评估结果表明医疗器械可能存在缺陷；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（三）国务院药品监督管理部门规定的其他情形。</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省级以上人民政府药品监督管理部门根据医疗器械不良事件监测、评估等情况，对已上市医疗器械开展再评价。再评价结果表明已上市医疗器械不能保证安全、有效的，应当注销医疗器械注册证或者取消备案。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负责药品监督管理的部门应当向社会及时公布注销医疗器械注册证和取消备案情况。被注销医疗器械注册证或者取消备案的医疗器械不得继续生产、进口、经营、使用。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七条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医疗器械注册人、备案人、受托生产企业、经营企业未依照本条规定实施召回或者停止生产、经营的，负责药品监督管理的部门可以责令其召回或者停止生产、经营。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第六章监督检查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第六十八条国家建立职业化专业化检查员制度，加强对医疗器械的监督检查。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第六十九条负责药品监督管理的部门应当对医疗器械的研制、生产、经营活动以及使用环节的医疗器械质量加强监督检查，并对下列事项进行重点监督检查：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（一）是否按照经注册或者备案的产品技术要求组织生产；</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（二）质量管理体系是否保持有效运行；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（三）生产经营条件是否持续符合法定要求。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必要时，负责药品监督管理的部门可以对为医疗器械研制、生产、经营、使用等活动提供产品或者服务的其他相关单位和个人进行延伸检查。</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第七十条负责药品监督管理的部门在监督检查中有下列职权：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（一）进入现场实施检查、抽取样品；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（二）查阅、复制、查封、扣押有关合同、票据、账簿以及其他有关资料；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（三）查封、扣押不符合法定要求的医疗器械，违法使用的零配件、原材料以及用于违法生产经营医疗器械的工具、设备；</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（四）查封违反本条例规定从事医疗器械生产经营活动的场所。</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进行监督检查，应当出示执法证件，保守被检查单位的商业秘密。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有关单位和个人应当对监督检查予以配合，提供相关文件和资料，不得隐瞒、拒绝、阻挠。</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第七十一条卫生主管部门应当对医疗机构的医疗器械使用行为加强监督检查。实施监督检查时，可以进入医疗机构，查阅、复制有关档案、记录以及其他有关资料。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第七十二条医疗器械生产经营过程中存在产品质量安全隐患，未及时采取措施消除的，负责药品监督管理的部门可以采取告诫、责任约谈、责令限期整改等措施。</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对人体造成伤害或者有证据证明可能危害人体健康的医疗器械，负责药品监督管理的部门可以采取责令暂停生产、进口、经营、使用的紧急控制措施，并发布安全警示信息。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第七十三条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卫生主管部门应当对大型医用设备的使用状况进行监督和评估；发现违规使用以及与大型医用设备相关的过度检查、过度治疗等情形的，应当立即纠正，依法予以处理。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四条负责药品监督管理的部门未及时发现医疗器械安全系统性风险，未及时消除监督管理区域内医疗器械安全隐患的，本级人民政府或者上级人民政府负责药品监督管理的部门应当对其主要负责人进行约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地方人民政府未履行医疗器械安全职责，未及时消除区域性重大医疗器械安全隐患的，上级人民政府或者上级人民政府负责药品监督管理的部门应当对其主要负责人进行约谈。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被约谈的部门和地方人民政府应当立即采取措施，对医疗器械监督管理工作进行整改。</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第七十五条医疗器械检验机构资质认定工作按照国家有关规定实行统一管理。经国务院认证认可监督管理部门会同国务院药品监督管理部门认定的检验机构，方可对医疗器械实施检验。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负责药品监督管理的部门在执法工作中需要对医疗器械进行检验的，应当委托有资质的医疗器械检验机构进行，并支付相关费用。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第七十六条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第七十七条市场监督管理部门应当依照有关广告管理的法律、行政法规的规定，对医疗器械广告进行监督检查，查处违法行为。</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第七十八条负责药品监督管理的部门应当通过国务院药品监督管理部门在线政务服务平台依法及时公布医疗器械许可、备案、抽查检验、违法行为查处等日常监督管理信息。但是，不得泄露当事人的商业秘密。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负责药品监督管理的部门建立医疗器械注册人、备案人、生产经营企业、使用单位信用档案，对有不良信用记录的增加监督检查频次，依法加强失信惩戒。</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十九条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有关医疗器械研制、生产、经营、使用行为的举报经调查属实的，负责药品监督管理的部门等部门对举报人应当给予奖励。有关部门应当为举报人保密。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条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第七章法律责任</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（一）生产、经营未取得医疗器械注册证的第二类、第三类医疗器械；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（二）未经许可从事第二类、第三类医疗器械生产活动；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（三）未经许可从事第三类医疗器械经营活动。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有前款第一项情形、情节严重的，由原发证部门吊销医疗器械生产许可证或者医疗器械经营许可证。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二条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三条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w:t>
      </w:r>
      <w:r w:rsidRPr="00323C93">
        <w:rPr>
          <w:rFonts w:ascii="仿宋_GB2312" w:eastAsia="仿宋_GB2312" w:hAnsi="微软雅黑" w:cs="宋体" w:hint="eastAsia"/>
          <w:color w:val="333333"/>
          <w:sz w:val="28"/>
          <w:szCs w:val="28"/>
        </w:rPr>
        <w:lastRenderedPageBreak/>
        <w:t>责任人员，没收违法行为发生期间自本单位所获收入，并处所获收入30%以上3倍以下罚款，终身禁止其从事医疗器械生产经营活动。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（一）生产、经营未经备案的第一类医疗器械；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（二）未经备案从事第一类医疗器械生产；</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（三）经营第二类医疗器械，应当备案但未备案；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（四）已经备案的资料不符合要求。</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第八十六条有下列情形之一的，由负责药品监督管理的部门责令改正，没收违法生产经营使用的医疗器械；违法生产经营使用的</w:t>
      </w:r>
      <w:r w:rsidRPr="00323C93">
        <w:rPr>
          <w:rFonts w:ascii="仿宋_GB2312" w:eastAsia="仿宋_GB2312" w:hAnsi="微软雅黑" w:cs="宋体" w:hint="eastAsia"/>
          <w:color w:val="333333"/>
          <w:sz w:val="28"/>
          <w:szCs w:val="28"/>
        </w:rPr>
        <w:lastRenderedPageBreak/>
        <w:t>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（一）生产、经营、使用不符合强制性标准或者不符合经注册或者备案的产品技术要求的医疗器械；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（二）未按照经注册或者备案的产品技术要求组织生产，或者未依照本条例规定建立质量管理体系并保持有效运行，影响产品安全、有效；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（三）经营、使用无合格证明文件、过期、失效、淘汰的医疗器械，或者使用未依法注册的医疗器械；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（四）在负责药品监督管理的部门责令召回后仍拒不召回，或者在负责药品监督管理的部门责令停止或者暂停生产、进口、经营后，仍拒不停止生产、进口、经营医疗器械；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（五）委托不具备本条例规定条件的企业生产医疗器械，或者未对受托生产企业的生产行为进行管理；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（六）进口过期、失效、淘汰等已使用过的医疗器械。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七条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w:t>
      </w:r>
      <w:r w:rsidRPr="00323C93">
        <w:rPr>
          <w:rFonts w:ascii="仿宋_GB2312" w:eastAsia="仿宋_GB2312" w:hAnsi="微软雅黑" w:cs="宋体" w:hint="eastAsia"/>
          <w:color w:val="333333"/>
          <w:sz w:val="28"/>
          <w:szCs w:val="28"/>
        </w:rPr>
        <w:lastRenderedPageBreak/>
        <w:t>法定代表人、主要负责人、直接负责的主管人员和其他责任人员，没收违法行为发生期间自本单位所获收入，并处所获收入30%以上2倍以下罚款，5年内禁止其从事医疗器械生产经营活动：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（一）生产条件发生变化、不再符合医疗器械质量管理体系要求，未依照本条例规定整改、停止生产、报告；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（二）生产、经营说明书、标签不符合本条例规定的医疗器械；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（三）未按照医疗器械说明书和标签标示要求运输、贮存医疗器械；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（四）转让过期、失效、淘汰或者检验不合格的在用医疗器械。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（一）未按照要求提交质量管理体系自查报告；</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（二）从不具备合法资质的供货者购进医疗器械；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（三）医疗器械经营企业、使用单位未依照本条例规定建立并执行医疗器械进货查验记录制度；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（四）从事第二类、第三类医疗器械批发业务以及第三类医疗器械零售业务的经营企业未依照本条例规定建立并执行销售记录制度；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（六）医疗器械注册人、备案人未按照规定制定上市后研究和风险管控计划并保证有效实施；</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（七）医疗器械注册人、备案人未按照规定建立并执行产品追溯制度；</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（八）医疗器械注册人、备案人、经营企业从事医疗器械网络销售未按照规定告知负责药品监督管理的部门；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（九）对需要定期检查、检验、校准、保养、维护的医疗器械，医疗器械使用单位未按照产品说明书要求进行检查、检验、校准、保养、维护并予以记录，及时进行分析、评估，确保医疗器械处于良好状态；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（十）医疗器械使用单位未妥善保存购入第三类医疗器械的原始资料。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条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处所获收入30%以上3倍以下罚款，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（一）对重复使用的医疗器械，医疗器械使用单位未按照消毒和管理的规定进行处理；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（二）医疗器械使用单位重复使用一次性使用的医疗器械，或者未按照规定销毁使用过的一次性使用的医疗器械；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（三）医疗器械使用单位未按照规定将大型医疗器械以及植入和介入类医疗器械的信息记载到病历等相关记录中；</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lastRenderedPageBreak/>
        <w:t xml:space="preserve">　　（四）医疗器械使用单位发现使用的医疗器械存在安全隐患未立即停止使用、通知检修，或者继续使用经检修仍不能达到使用安全标准的医疗器械；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（五）医疗器械使用单位违规使用大型医用设备，不能保障医疗质量安全。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第九十一条违反进出口商品检验相关法律、行政法规进口医疗器械的，由出入境检验检疫机构依法处理。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三条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w:t>
      </w:r>
      <w:r w:rsidRPr="00323C93">
        <w:rPr>
          <w:rFonts w:ascii="仿宋_GB2312" w:eastAsia="仿宋_GB2312" w:hAnsi="微软雅黑" w:cs="宋体" w:hint="eastAsia"/>
          <w:color w:val="333333"/>
          <w:sz w:val="28"/>
          <w:szCs w:val="28"/>
        </w:rPr>
        <w:lastRenderedPageBreak/>
        <w:t>主要负责人、直接负责的主管人员和其他责任人员，没收违法行为发生期间自本单位所获收入，并处所获收入30%以上3倍以下罚款。</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六条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处所获收入30%以上3倍以下罚款，依法给予处分；受到开除处分的，10年内禁止其从事医疗器械检验工作。</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第九十七条违反本条例有关医疗器械广告管理规定的，依照《中华人民共和国广告法》的规定给予处罚。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八条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境外医疗器械注册人、备案人拒不履行依据本条例作出的行政处罚决定的，10年内禁止其医疗器械进口。</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九十九条医疗器械研制、生产、经营单位和检验机构违反本条例规定使用禁止从事医疗器械生产经营活动、检验工作的人员的，由负责药品监督管理的部门责令改正，给予警告；拒不改正的，责令停产停业直至吊销许可证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条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第一百零一条负责药品监督管理的部门或者其他有关部门工作人员违反本条例规定，滥用职权、玩忽职守、徇私舞弊的，依法给予处分。</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第一百零二条违反本条例规定，构成犯罪的，依法追究刑事责任；造成人身、财产或者其他损害的，依法承担赔偿责任。</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第八章附则</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第一百零三条本条例下列用语的含义：</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（一）疾病的诊断、预防、监护、治疗或者缓解；</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（二）损伤的诊断、监护、治疗、缓解或者功能补偿；</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（三）生理结构或者生理过程的检验、替代、调节或者支持；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（四）生命的支持或者维持；</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（五）妊娠控制；</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lastRenderedPageBreak/>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（六）通过对来自人体的样本进行检查，为医疗或者诊断目的提供信息。</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医疗器械注册人、备案人，是指取得医疗器械注册证或者办理医疗器械备案的企业或者研制机构。</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医疗器械使用单位，是指使用医疗器械为他人提供医疗等技术服务的机构，包括医疗机构、计划生育技术服务机构、血站、单采血浆站、康复辅助器具适配机构等。</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大型医用设备，是指使用技术复杂、资金投入量大、运行成本高、对医疗费用影响大且纳入目录管理的大型医疗器械。</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第一百零四条医疗器械产品注册可以收取费用。具体收费项目、标准分别由国务院财政、价格主管部门按照国家有关规定制定。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第一百零五条医疗卫生机构为应对突发公共卫生事件而研制的医疗器械的管理办法，由国务院药品监督管理部门会同国务院卫生主管部门制定。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从事非营利的避孕医疗器械的存储、调拨和供应，应当遵守国务院卫生主管部门会同国务院药品监督管理部门制定的管理办法。</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中医医疗器械的技术指导原则，由国务院药品监督管理部门会同国务院中医药管理部门制定。</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第一百零六条军队医疗器械使用的监督管理，依照本条例和军队有关规定执行。</w:t>
      </w:r>
    </w:p>
    <w:p w:rsidR="00323C93" w:rsidRPr="00323C93" w:rsidRDefault="00323C93" w:rsidP="00323C93">
      <w:pPr>
        <w:shd w:val="clear" w:color="auto" w:fill="FFFFFF"/>
        <w:adjustRightInd/>
        <w:snapToGrid/>
        <w:spacing w:after="0" w:line="302" w:lineRule="atLeast"/>
        <w:rPr>
          <w:rFonts w:ascii="宋体" w:eastAsia="宋体" w:hAnsi="宋体" w:cs="宋体" w:hint="eastAsia"/>
          <w:color w:val="333333"/>
          <w:sz w:val="28"/>
          <w:szCs w:val="28"/>
        </w:rPr>
      </w:pPr>
      <w:r w:rsidRPr="00323C93">
        <w:rPr>
          <w:rFonts w:ascii="宋体" w:eastAsia="宋体" w:hAnsi="宋体" w:cs="宋体" w:hint="eastAsia"/>
          <w:color w:val="333333"/>
          <w:sz w:val="28"/>
          <w:szCs w:val="28"/>
        </w:rPr>
        <w:t> </w:t>
      </w:r>
    </w:p>
    <w:p w:rsidR="00323C93" w:rsidRPr="00323C93" w:rsidRDefault="00323C93" w:rsidP="00323C93">
      <w:pPr>
        <w:shd w:val="clear" w:color="auto" w:fill="FFFFFF"/>
        <w:adjustRightInd/>
        <w:snapToGrid/>
        <w:spacing w:after="0" w:line="302" w:lineRule="atLeast"/>
        <w:rPr>
          <w:rFonts w:ascii="仿宋_GB2312" w:eastAsia="仿宋_GB2312" w:hAnsi="微软雅黑" w:cs="宋体" w:hint="eastAsia"/>
          <w:color w:val="333333"/>
          <w:sz w:val="28"/>
          <w:szCs w:val="28"/>
        </w:rPr>
      </w:pPr>
      <w:r w:rsidRPr="00323C93">
        <w:rPr>
          <w:rFonts w:ascii="仿宋_GB2312" w:eastAsia="仿宋_GB2312" w:hAnsi="微软雅黑" w:cs="宋体" w:hint="eastAsia"/>
          <w:color w:val="333333"/>
          <w:sz w:val="28"/>
          <w:szCs w:val="28"/>
        </w:rPr>
        <w:t xml:space="preserve">　　第一百零七条本条例自2021年6月1日起施行。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23C93"/>
    <w:rsid w:val="003D37D8"/>
    <w:rsid w:val="00426133"/>
    <w:rsid w:val="004358AB"/>
    <w:rsid w:val="008B7726"/>
    <w:rsid w:val="00A03AD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323C93"/>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23C93"/>
    <w:rPr>
      <w:rFonts w:ascii="宋体" w:eastAsia="宋体" w:hAnsi="宋体" w:cs="宋体"/>
      <w:b/>
      <w:bCs/>
      <w:sz w:val="36"/>
      <w:szCs w:val="36"/>
    </w:rPr>
  </w:style>
  <w:style w:type="character" w:customStyle="1" w:styleId="size">
    <w:name w:val="size"/>
    <w:basedOn w:val="a0"/>
    <w:rsid w:val="00323C93"/>
  </w:style>
  <w:style w:type="character" w:styleId="a3">
    <w:name w:val="Hyperlink"/>
    <w:basedOn w:val="a0"/>
    <w:uiPriority w:val="99"/>
    <w:semiHidden/>
    <w:unhideWhenUsed/>
    <w:rsid w:val="00323C93"/>
    <w:rPr>
      <w:color w:val="0000FF"/>
      <w:u w:val="single"/>
    </w:rPr>
  </w:style>
  <w:style w:type="paragraph" w:styleId="a4">
    <w:name w:val="Normal (Web)"/>
    <w:basedOn w:val="a"/>
    <w:uiPriority w:val="99"/>
    <w:semiHidden/>
    <w:unhideWhenUsed/>
    <w:rsid w:val="00323C93"/>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126121154">
      <w:bodyDiv w:val="1"/>
      <w:marLeft w:val="0"/>
      <w:marRight w:val="0"/>
      <w:marTop w:val="0"/>
      <w:marBottom w:val="0"/>
      <w:divBdr>
        <w:top w:val="none" w:sz="0" w:space="0" w:color="auto"/>
        <w:left w:val="none" w:sz="0" w:space="0" w:color="auto"/>
        <w:bottom w:val="none" w:sz="0" w:space="0" w:color="auto"/>
        <w:right w:val="none" w:sz="0" w:space="0" w:color="auto"/>
      </w:divBdr>
      <w:divsChild>
        <w:div w:id="1162648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3225</Words>
  <Characters>18384</Characters>
  <Application>Microsoft Office Word</Application>
  <DocSecurity>0</DocSecurity>
  <Lines>153</Lines>
  <Paragraphs>43</Paragraphs>
  <ScaleCrop>false</ScaleCrop>
  <Company/>
  <LinksUpToDate>false</LinksUpToDate>
  <CharactersWithSpaces>21566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2021-12-27T08:28:00Z</dcterms:modified>
</cp:coreProperties>
</file>