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40" w:lineRule="atLeast"/>
        <w:jc w:val="center"/>
        <w:rPr>
          <w:rStyle w:val="7"/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4"/>
        <w:spacing w:before="0" w:beforeAutospacing="0" w:after="0" w:afterAutospacing="0" w:line="240" w:lineRule="atLeast"/>
        <w:jc w:val="center"/>
        <w:rPr>
          <w:rStyle w:val="7"/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240" w:lineRule="atLeast"/>
        <w:jc w:val="center"/>
        <w:rPr>
          <w:rStyle w:val="7"/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240" w:lineRule="atLeast"/>
        <w:jc w:val="center"/>
        <w:rPr>
          <w:rStyle w:val="7"/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240" w:lineRule="atLeast"/>
        <w:jc w:val="center"/>
        <w:rPr>
          <w:rStyle w:val="7"/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240" w:lineRule="atLeast"/>
        <w:jc w:val="center"/>
        <w:rPr>
          <w:rStyle w:val="7"/>
          <w:rFonts w:ascii="仿宋_GB2312" w:eastAsia="仿宋_GB2312"/>
          <w:sz w:val="28"/>
          <w:szCs w:val="28"/>
        </w:rPr>
      </w:pPr>
    </w:p>
    <w:p>
      <w:pPr>
        <w:spacing w:line="520" w:lineRule="exact"/>
        <w:rPr>
          <w:rFonts w:ascii="黑体" w:hAnsi="黑体" w:eastAsia="黑体"/>
          <w:b/>
          <w:szCs w:val="21"/>
        </w:rPr>
      </w:pPr>
    </w:p>
    <w:p>
      <w:pPr>
        <w:spacing w:line="320" w:lineRule="exact"/>
        <w:rPr>
          <w:rFonts w:ascii="黑体" w:hAnsi="黑体" w:eastAsia="黑体"/>
          <w:b/>
          <w:szCs w:val="21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兴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市监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spacing w:line="500" w:lineRule="exact"/>
        <w:rPr>
          <w:rFonts w:ascii="黑体" w:eastAsia="黑体"/>
          <w:sz w:val="10"/>
          <w:szCs w:val="10"/>
        </w:rPr>
      </w:pP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兴县</w:t>
      </w:r>
      <w:r>
        <w:rPr>
          <w:rFonts w:hint="eastAsia" w:ascii="方正小标宋简体" w:eastAsia="方正小标宋简体"/>
          <w:sz w:val="44"/>
          <w:szCs w:val="44"/>
        </w:rPr>
        <w:t>市场监督管理局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年全县食品安全监督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抽检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实施</w:t>
      </w:r>
      <w:r>
        <w:rPr>
          <w:rFonts w:hint="eastAsia" w:ascii="方正小标宋简体" w:eastAsia="方正小标宋简体"/>
          <w:sz w:val="44"/>
          <w:szCs w:val="44"/>
        </w:rPr>
        <w:t>方案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各基层所、执法中队、相关业务股室、第三方承检机构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为高质量高效率完成今年的抽检任务，根据《吕梁市市场监督管理局关于印发2022年全市食品安全抽检监测工作实施方案的通知》（吕市监发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59号）和市局重点工作要求，结合我县实际，经县局研究制定了《2022年全县食品安全监督抽检实施方案》，现印发给你们，请认真组织并贯彻落实。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此页无正文）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兴县</w:t>
      </w:r>
      <w:r>
        <w:rPr>
          <w:rFonts w:hint="eastAsia" w:ascii="仿宋_GB2312" w:hAnsi="仿宋" w:eastAsia="仿宋_GB2312"/>
          <w:sz w:val="32"/>
          <w:szCs w:val="32"/>
        </w:rPr>
        <w:t>市场监督管理局</w:t>
      </w:r>
    </w:p>
    <w:p>
      <w:pPr>
        <w:spacing w:line="578" w:lineRule="exact"/>
        <w:ind w:right="32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hAnsi="仿宋" w:eastAsia="仿宋_GB2312"/>
          <w:sz w:val="32"/>
          <w:szCs w:val="32"/>
        </w:rPr>
      </w:pPr>
    </w:p>
    <w:p>
      <w:pPr>
        <w:pStyle w:val="2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pacing w:before="100" w:beforeAutospacing="1" w:after="100" w:afterAutospacing="1" w:line="680" w:lineRule="exact"/>
        <w:ind w:right="1599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 w:cs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51435</wp:posOffset>
                </wp:positionV>
                <wp:extent cx="5370195" cy="0"/>
                <wp:effectExtent l="0" t="0" r="0" b="0"/>
                <wp:wrapNone/>
                <wp:docPr id="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019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4.8pt;margin-top:4.05pt;height:0pt;width:422.85pt;z-index:251660288;mso-width-relative:page;mso-height-relative:page;" filled="f" stroked="t" coordsize="21600,21600" o:gfxdata="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fKhzHVAAAABgEAAA8AAAAAAAAA&#10;AQAgAAAAIgAAAGRycy9kb3ducmV2LnhtbFBLAQIUABQAAAAIAIdO4kC7Knbn2wEAANsDAAAOAAAA&#10;AAAAAAEAIAAAACQ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兴县</w:t>
      </w:r>
      <w:r>
        <w:rPr>
          <w:rFonts w:hint="eastAsia" w:ascii="仿宋_GB2312" w:hAnsi="宋体" w:eastAsia="仿宋_GB2312"/>
          <w:sz w:val="30"/>
          <w:szCs w:val="30"/>
        </w:rPr>
        <w:t xml:space="preserve">市场监督管理局   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ascii="仿宋_GB2312" w:hAnsi="宋体" w:eastAsia="仿宋_GB2312"/>
          <w:sz w:val="30"/>
          <w:szCs w:val="30"/>
        </w:rPr>
        <w:t xml:space="preserve">      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20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 w:cs="仿宋_GB2312"/>
          <w:sz w:val="30"/>
          <w:szCs w:val="30"/>
        </w:rPr>
        <w:t>日印发</w:t>
      </w:r>
    </w:p>
    <w:p>
      <w:pPr>
        <w:spacing w:line="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13335</wp:posOffset>
                </wp:positionV>
                <wp:extent cx="5370195" cy="0"/>
                <wp:effectExtent l="0" t="0" r="0" b="0"/>
                <wp:wrapNone/>
                <wp:docPr id="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019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-4.8pt;margin-top:1.05pt;height:0pt;width:422.85pt;z-index:251659264;mso-width-relative:page;mso-height-relative:page;" filled="f" stroked="t" coordsize="21600,21600" o:gfxdata="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x0oufVAAAABgEAAA8AAAAAAAAA&#10;AQAgAAAAIgAAAGRycy9kb3ducmV2LnhtbFBLAQIUABQAAAAIAIdO4kBUwicH2wEAANoDAAAOAAAA&#10;AAAAAAEAIAAAACQ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line="560" w:lineRule="exact"/>
        <w:ind w:right="-105" w:rightChars="-50"/>
        <w:jc w:val="center"/>
        <w:textAlignment w:val="auto"/>
      </w:pPr>
      <w:r>
        <w:rPr>
          <w:rFonts w:hint="eastAsia" w:ascii="黑体" w:hAnsi="黑体" w:eastAsia="黑体" w:cs="黑体"/>
          <w:sz w:val="44"/>
          <w:szCs w:val="44"/>
        </w:rPr>
        <w:t>2022年全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县</w:t>
      </w:r>
      <w:r>
        <w:rPr>
          <w:rFonts w:hint="eastAsia" w:ascii="黑体" w:hAnsi="黑体" w:eastAsia="黑体" w:cs="黑体"/>
          <w:sz w:val="44"/>
          <w:szCs w:val="44"/>
        </w:rPr>
        <w:t>食品安全监督抽检实施方案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为进一步健全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完善食品安全抽检监测工作体系，提升工作质效和风险防控水平，科学规范做好食品安全抽检工作，</w:t>
      </w:r>
      <w:r>
        <w:rPr>
          <w:rFonts w:hint="eastAsia" w:ascii="仿宋" w:hAnsi="仿宋" w:eastAsia="仿宋" w:cs="仿宋"/>
          <w:sz w:val="32"/>
          <w:szCs w:val="32"/>
        </w:rPr>
        <w:t>高标准、高质量完成20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年全县食品安全抽检监测任务，</w:t>
      </w:r>
      <w:r>
        <w:rPr>
          <w:rFonts w:hint="eastAsia" w:ascii="仿宋" w:hAnsi="仿宋" w:eastAsia="仿宋" w:cs="仿宋"/>
          <w:sz w:val="32"/>
          <w:szCs w:val="32"/>
        </w:rPr>
        <w:t>依据《中华人民共和国食品安全法》及其实施条例、《食品安全抽样检验管理办法》和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吕梁市</w:t>
      </w:r>
      <w:r>
        <w:rPr>
          <w:rFonts w:hint="eastAsia" w:ascii="仿宋" w:hAnsi="仿宋" w:eastAsia="仿宋" w:cs="仿宋"/>
          <w:sz w:val="32"/>
          <w:szCs w:val="32"/>
        </w:rPr>
        <w:t>市场监督管理局关于印发《2022年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全市</w:t>
      </w:r>
      <w:r>
        <w:rPr>
          <w:rFonts w:hint="eastAsia" w:ascii="仿宋" w:hAnsi="仿宋" w:eastAsia="仿宋" w:cs="仿宋"/>
          <w:sz w:val="32"/>
          <w:szCs w:val="32"/>
        </w:rPr>
        <w:t>食品安全抽检监测工作实施方案》的通知》（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吕市监发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号）有关要求，结合我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实际，特制定如下工作方案。</w:t>
      </w:r>
    </w:p>
    <w:p>
      <w:pPr>
        <w:pStyle w:val="8"/>
        <w:keepNext w:val="0"/>
        <w:keepLines w:val="0"/>
        <w:pageBreakBefore w:val="0"/>
        <w:wordWrap/>
        <w:overflowPunct/>
        <w:topLinePunct w:val="0"/>
        <w:autoSpaceDN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>一、总体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-105" w:rightChars="-50"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坚决贯彻落实食品安全“四个最严”要求，坚持统一制定计划、统一组织实施、统一数据报送、统一结果利用原则，坚持食品抽检四级分工、各有侧重、不重不漏；坚持问题导向，专项抽检与常规抽检相结合，从时间、区域、品种上推进均衡抽检；充分发挥食品检验检测技术支撑作用，让食品抽检工作成为“监管跑在风险前面”的利器，促进食品安全治理现代化。</w:t>
      </w:r>
    </w:p>
    <w:p>
      <w:pPr>
        <w:pStyle w:val="8"/>
        <w:keepNext w:val="0"/>
        <w:keepLines w:val="0"/>
        <w:pageBreakBefore w:val="0"/>
        <w:wordWrap/>
        <w:overflowPunct/>
        <w:topLinePunct w:val="0"/>
        <w:autoSpaceDN w:val="0"/>
        <w:bidi w:val="0"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ascii="黑体" w:hAnsi="黑体" w:eastAsia="黑体" w:cs="黑体"/>
          <w:color w:val="auto"/>
          <w:sz w:val="32"/>
          <w:szCs w:val="32"/>
        </w:rPr>
        <w:t>监督抽检任务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按照全市食品安全监督抽检</w:t>
      </w:r>
      <w:r>
        <w:rPr>
          <w:rFonts w:hint="eastAsia" w:ascii="仿宋" w:hAnsi="仿宋" w:eastAsia="仿宋" w:cs="仿宋"/>
          <w:sz w:val="32"/>
          <w:szCs w:val="32"/>
          <w:u w:val="none"/>
        </w:rPr>
        <w:t>任务要求，结合我县实际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食品安全监督抽检</w:t>
      </w:r>
      <w:r>
        <w:rPr>
          <w:rFonts w:hint="eastAsia" w:ascii="仿宋" w:hAnsi="仿宋" w:eastAsia="仿宋" w:cs="仿宋"/>
          <w:sz w:val="32"/>
          <w:szCs w:val="32"/>
        </w:rPr>
        <w:t>监测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任务共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批次，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计划抽检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农产品410批次，普通食品510批次，“你点我检”100批次，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品种和项目按照省局、市局规定，结合兴县实际监管需要，围绕高风险品种、项目、区域、环节开展，聚焦“米袋子”“菜篮子”等大宗消费品，聚焦涉及消费者身体健康的安全性指标，聚焦校园周边、城乡结合部、农村和网络销售等重点区域、重点环节，并跟踪以往抽检不合格相关食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</w:rPr>
        <w:t>（一）抽样</w:t>
      </w: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  <w:lang w:eastAsia="zh-CN"/>
        </w:rPr>
        <w:t>品种及项目</w:t>
      </w: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抽检品种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主要是</w:t>
      </w:r>
      <w:r>
        <w:rPr>
          <w:rFonts w:hint="eastAsia" w:ascii="仿宋_GB2312" w:hAnsi="仿宋_GB2312" w:eastAsia="仿宋_GB2312" w:cs="仿宋_GB2312"/>
          <w:sz w:val="32"/>
          <w:szCs w:val="32"/>
        </w:rPr>
        <w:t>县内生产销售的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普通食品、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食用农产品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范围涵盖不同业态，不同环节，种类包括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地方特色食品，小作坊、小摊贩、小餐饮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生产经营的食品、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去年抽检不合格的相关产品、节令性食品等。食用农产品检验项目按照总局确定的必检项目，同时根据监管需要增加不少于2个自检项目；普通食品检验项目参照市局监督抽检项目，并结合兴县监管实际情况设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</w:rPr>
        <w:t>（二）抽样时间和频次。</w:t>
      </w:r>
      <w:r>
        <w:rPr>
          <w:rFonts w:hint="eastAsia" w:ascii="仿宋_GB2312" w:hAnsi="仿宋_GB2312" w:eastAsia="仿宋_GB2312" w:cs="仿宋_GB2312"/>
          <w:sz w:val="32"/>
          <w:szCs w:val="32"/>
        </w:rPr>
        <w:t>与承检机构签订合同之日起，原则上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每月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均衡抽检。每月抽检的食品种类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按规定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抽检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地销售的食用农产品外，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根据抽检任务，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我县的实际消费特点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适当抽检其他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Cs w:val="0"/>
          <w:color w:val="000000"/>
          <w:kern w:val="2"/>
          <w:sz w:val="32"/>
          <w:szCs w:val="32"/>
        </w:rPr>
        <w:t>（三）抽样场所。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抽检要覆盖全县15个乡镇，主要是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除国抽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省抽已覆盖的当地获证食品生产企业生产的食品，城乡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农贸市场、商场、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销售农产品的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超市、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幼儿园、中小学学校食堂、行政事业单位食堂、企业职工食堂、餐饮单位以及乡镇“三小”行业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及校园周边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等场所进行食品抽样。加强对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城乡结合部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、农村地区的农贸市场、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集市、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商场、超市、便利店、小食杂店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地的食品抽样工作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numPr>
          <w:ilvl w:val="0"/>
          <w:numId w:val="0"/>
        </w:numPr>
        <w:ind w:firstLine="640" w:firstLineChars="200"/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  <w:t>三、组织领导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为确保此次抽检工作取得实效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</w:rPr>
        <w:t>加强统一领导和组织协调，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兴县市场监督管理局成立了食品安全监督抽检领导组。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长：梁云云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（党组书记、局长）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副组长：吕金成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（党组成员、副局长）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此次抽检工作由组长总负责，副组长组织实施。领导组下设办公室，办公室主任由食品药品稽查队队长曹树永担任。专项抽检、核查处置工作由食品药品稽查队具体承担，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基层所、执法中队配合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。信息报送由食品药品稽查队与局办公室协调负责。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u w:val="none"/>
        </w:rPr>
        <w:t>工作要求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Cs w:val="0"/>
          <w:color w:val="000000"/>
          <w:kern w:val="2"/>
          <w:sz w:val="32"/>
          <w:szCs w:val="32"/>
        </w:rPr>
        <w:t>（一）</w:t>
      </w:r>
      <w:r>
        <w:rPr>
          <w:rStyle w:val="7"/>
          <w:rFonts w:hint="eastAsia" w:ascii="楷体_GB2312" w:hAnsi="楷体_GB2312" w:eastAsia="楷体_GB2312" w:cs="楷体_GB2312"/>
          <w:bCs w:val="0"/>
          <w:color w:val="000000"/>
          <w:kern w:val="2"/>
          <w:sz w:val="32"/>
          <w:szCs w:val="32"/>
          <w:lang w:val="en-US" w:eastAsia="zh-CN"/>
        </w:rPr>
        <w:t>加强组织领导，按时完成抽检任务。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食品药品稽查队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要加强组织协调，科学制定抽检计划，统筹安排抽检任务，明确职责任务，跟踪指导抽检过程。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各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基层所、执法中队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要固定执法人员，专门配合抽检，配合人员实行双重管理，专门负责陪同抽检、监督检查、执法取证、核查处置等工作。相关部门要加强沟通协调，深化抽检互动，建立畅通工作运行机制，确保抽检任务按期完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Cs w:val="0"/>
          <w:color w:val="000000"/>
          <w:kern w:val="2"/>
          <w:sz w:val="32"/>
          <w:szCs w:val="32"/>
          <w:lang w:eastAsia="zh-CN"/>
        </w:rPr>
        <w:t>（</w:t>
      </w:r>
      <w:r>
        <w:rPr>
          <w:rStyle w:val="7"/>
          <w:rFonts w:hint="eastAsia" w:ascii="楷体_GB2312" w:hAnsi="楷体_GB2312" w:eastAsia="楷体_GB2312" w:cs="楷体_GB2312"/>
          <w:bCs w:val="0"/>
          <w:color w:val="000000"/>
          <w:kern w:val="2"/>
          <w:sz w:val="32"/>
          <w:szCs w:val="32"/>
          <w:lang w:val="en-US" w:eastAsia="zh-CN"/>
        </w:rPr>
        <w:t>二</w:t>
      </w:r>
      <w:r>
        <w:rPr>
          <w:rStyle w:val="7"/>
          <w:rFonts w:hint="eastAsia" w:ascii="楷体_GB2312" w:hAnsi="楷体_GB2312" w:eastAsia="楷体_GB2312" w:cs="楷体_GB2312"/>
          <w:bCs w:val="0"/>
          <w:color w:val="000000"/>
          <w:kern w:val="2"/>
          <w:sz w:val="32"/>
          <w:szCs w:val="32"/>
          <w:lang w:eastAsia="zh-CN"/>
        </w:rPr>
        <w:t>）</w:t>
      </w:r>
      <w:r>
        <w:rPr>
          <w:rStyle w:val="7"/>
          <w:rFonts w:hint="eastAsia" w:ascii="楷体_GB2312" w:hAnsi="楷体_GB2312" w:eastAsia="楷体_GB2312" w:cs="楷体_GB2312"/>
          <w:bCs w:val="0"/>
          <w:color w:val="000000"/>
          <w:kern w:val="2"/>
          <w:sz w:val="32"/>
          <w:szCs w:val="32"/>
        </w:rPr>
        <w:t>规范抽检工作</w:t>
      </w:r>
      <w:r>
        <w:rPr>
          <w:rStyle w:val="7"/>
          <w:rFonts w:hint="eastAsia" w:ascii="楷体_GB2312" w:hAnsi="楷体_GB2312" w:eastAsia="楷体_GB2312" w:cs="楷体_GB2312"/>
          <w:bCs w:val="0"/>
          <w:color w:val="000000"/>
          <w:kern w:val="2"/>
          <w:sz w:val="32"/>
          <w:szCs w:val="32"/>
          <w:lang w:eastAsia="zh-CN"/>
        </w:rPr>
        <w:t>，</w:t>
      </w:r>
      <w:r>
        <w:rPr>
          <w:rStyle w:val="7"/>
          <w:rFonts w:hint="eastAsia" w:ascii="楷体_GB2312" w:hAnsi="楷体_GB2312" w:eastAsia="楷体_GB2312" w:cs="楷体_GB2312"/>
          <w:bCs w:val="0"/>
          <w:color w:val="000000"/>
          <w:kern w:val="2"/>
          <w:sz w:val="32"/>
          <w:szCs w:val="32"/>
          <w:lang w:val="en-US" w:eastAsia="zh-CN"/>
        </w:rPr>
        <w:t>保证抽检工作质量</w:t>
      </w:r>
      <w:r>
        <w:rPr>
          <w:rStyle w:val="7"/>
          <w:rFonts w:hint="eastAsia" w:ascii="楷体_GB2312" w:hAnsi="楷体_GB2312" w:eastAsia="楷体_GB2312" w:cs="楷体_GB2312"/>
          <w:bCs w:val="0"/>
          <w:color w:val="000000"/>
          <w:kern w:val="2"/>
          <w:sz w:val="32"/>
          <w:szCs w:val="32"/>
        </w:rPr>
        <w:t>。</w:t>
      </w:r>
      <w:r>
        <w:rPr>
          <w:rStyle w:val="7"/>
          <w:rFonts w:hint="eastAsia" w:ascii="仿宋_GB2312" w:hAnsi="仿宋" w:eastAsia="仿宋_GB2312" w:cs="仿宋"/>
          <w:b w:val="0"/>
          <w:color w:val="000000"/>
          <w:kern w:val="2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严格按照规定公开招标确定承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严格按照有关规定开展对承检机构的检查与考核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承检机构要在抽检工作中严格执行有关法律法规、规章及相关规定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严格按照规定的时限和规范要求报送抽检数据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承检机构须在抽到样品之日起5个工作日内，专人负责将抽样信息录入“食品安全抽检监测信息系统”，从接到样品之日起20个工作日内，专人将检验数据录入“食品安全抽检监测信息系统”。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检机构发现不合格样品中可能存在重大隐患或急性健康风险的，应当在确认检验结果后24小时之内报告组织实施的市场监管部门，在流通环节抽取外省样品的，还应同时通报食品标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生产者所在地同级市场监管部门。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 食用农产品、进口重点冷链食品（包括畜禽肉、水产品）抽检要根据《食用农产品抽样检验和核查处置规定》（国市监食检〔2020〕184号）及新冠肺炎防疫防控有关要求，由县局相关部门和基层所、队监管人员陪同抽样、监督检查取证和记录产品溯源信息，抽取的食用农产品要严格按食用农产品监督抽检工作要求执行；“你点我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按照省局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关于推行12345工作法深入开展你点我检活动的通知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和《山西省食品安全你点我检工作规范》要求进行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</w:rPr>
        <w:t>（</w:t>
      </w: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  <w:lang w:val="en-US" w:eastAsia="zh-CN"/>
        </w:rPr>
        <w:t>三</w:t>
      </w: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</w:rPr>
        <w:t>）依法核查处置</w:t>
      </w: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  <w:lang w:eastAsia="zh-CN"/>
        </w:rPr>
        <w:t>，</w:t>
      </w: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  <w:lang w:val="en-US" w:eastAsia="zh-CN"/>
        </w:rPr>
        <w:t>及时公布抽检抽检信息。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部门要以争先创优的态度，高质量、高标准做好核查处置工作，在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收到检验报告和结果通知书后，3日内将上述资料告知并送达生产经营者并告知权利与义务，生产经营者应签字盖章并将信息、图片等即时填报回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平台，4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个工作日内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产品控制，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个工作日内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原因排查，1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个工作日内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行政处罚，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工作日内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复查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，并在核查处置工作完成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工作日内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将核查处置情况汇总，报局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食品安全监督抽检领导组审核并公示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基层所、执法中队要按照“五个到位”要求，配合食药稽查队做好核查处置工作。对监督抽检不合格食品及时采取风险控制和核查处置。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对不合格样品或问题样品检出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非食用物质或其他可能存在较高或急性健康风险的，应当在24小时之内启动核查处置，及时开展执法检查，对存在违法行为的，依法严厉查处，涉嫌犯罪的，移送公安机关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。核查处置案卷经法制股合法性审查后由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食药稽查队负责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归档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食品药品稽查队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应安排专人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负责核查处置信息系统任务认领和填报、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抽检结果信息和核查处置情况公布、统计报表等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工作，并会同局办公室协调县政府信息中心，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及时按照规定的公开要素在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网专栏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公布抽检结果信息和不合格食品的核查处置情况。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前将本月已公布的抽检信息进行汇总，填报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《20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年食品安全监督抽检统计数据报表》报市局食品安全抽检监测科。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</w:rPr>
        <w:t>（</w:t>
      </w: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  <w:lang w:val="en-US" w:eastAsia="zh-CN"/>
        </w:rPr>
        <w:t>四</w:t>
      </w:r>
      <w:r>
        <w:rPr>
          <w:rStyle w:val="7"/>
          <w:rFonts w:hint="eastAsia" w:ascii="楷体" w:hAnsi="楷体" w:eastAsia="楷体" w:cs="楷体"/>
          <w:bCs w:val="0"/>
          <w:color w:val="000000"/>
          <w:kern w:val="2"/>
          <w:sz w:val="32"/>
          <w:szCs w:val="32"/>
        </w:rPr>
        <w:t>）</w:t>
      </w:r>
      <w:r>
        <w:rPr>
          <w:rStyle w:val="7"/>
          <w:rFonts w:hint="eastAsia" w:ascii="楷体" w:hAnsi="楷体" w:eastAsia="楷体" w:cs="楷体"/>
          <w:bCs w:val="0"/>
          <w:color w:val="000000"/>
          <w:sz w:val="32"/>
          <w:szCs w:val="32"/>
          <w:lang w:val="en-US" w:eastAsia="zh-CN"/>
        </w:rPr>
        <w:t>加强承检机构管理，做好数据分析与风险研判工作。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县局要对承担县食品抽检任务的承检机构开展考核管理，并通过承检机构自我声明与承诺、合同管理、日常管理、现场检查等方式进行监督管理，重点检查样品信息、检验数据信息、文书写作情况、工作纪律等，确保抽检工作质量。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食品药品稽查队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要对全县食品抽检数据质量100%进行审查，每月按时将审查数据报送市局；年底要根据食品抽样检验结果进行数据分析，形成书面报告一份，总结抽检工作规律，提升抽检工作的针对性和靶向性。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附件：兴县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2022年国家食品安全监督抽检、监测县抽任务表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50FE"/>
    <w:rsid w:val="069604B5"/>
    <w:rsid w:val="1CD57194"/>
    <w:rsid w:val="1F003F8A"/>
    <w:rsid w:val="1FC40BC8"/>
    <w:rsid w:val="1FE04BDC"/>
    <w:rsid w:val="26520AA3"/>
    <w:rsid w:val="27733393"/>
    <w:rsid w:val="296774C9"/>
    <w:rsid w:val="2A8F62E2"/>
    <w:rsid w:val="2C752B50"/>
    <w:rsid w:val="376E599E"/>
    <w:rsid w:val="377F0D27"/>
    <w:rsid w:val="3B0B482B"/>
    <w:rsid w:val="448D394B"/>
    <w:rsid w:val="45486BFC"/>
    <w:rsid w:val="4C5079A2"/>
    <w:rsid w:val="5B0F05CE"/>
    <w:rsid w:val="5F62596E"/>
    <w:rsid w:val="61E31EAB"/>
    <w:rsid w:val="64F32289"/>
    <w:rsid w:val="668C7C4C"/>
    <w:rsid w:val="698950FE"/>
    <w:rsid w:val="70546452"/>
    <w:rsid w:val="7B937ECA"/>
    <w:rsid w:val="7C2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2022-03-24T01:14:00Z</dcterms:created>
  <dc:creator>树永</dc:creator>
  <cp:lastModifiedBy>Administrator</cp:lastModifiedBy>
  <cp:lastPrinted>2022-03-24T03:01:00Z</cp:lastPrinted>
  <dcterms:modified xsi:type="dcterms:W3CDTF">2022-03-25T00:55:03Z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A266C400A13743B3A61E33E7F206C099</vt:lpwstr>
  </property>
</Properties>
</file>