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6869912" w:lineRule="exact"/>
        <w:jc w:val="center"/>
      </w:pPr>
      <w:r>
        <w:rPr>
          <w:rFonts w:hint="default" w:ascii="宋体" w:hAnsi="宋体" w:cs="宋体"/>
          <w:b/>
          <w:bCs/>
          <w:color w:val="FF0000"/>
          <w:spacing w:val="68"/>
          <w:w w:val="90"/>
          <w:sz w:val="92"/>
          <w:szCs w:val="92"/>
        </w:rPr>
        <w:t>兴县司法信息</w:t>
      </w:r>
    </w:p>
    <w:p>
      <w:pPr>
        <w:spacing w:line="536870312" w:lineRule="exact"/>
        <w:ind w:firstLine="640" w:firstLineChars="200"/>
        <w:jc w:val="left"/>
      </w:pPr>
      <w:r>
        <w:rPr>
          <w:rFonts w:hint="default" w:ascii="仿宋_GB2312" w:hAnsi="仿宋_GB2312" w:eastAsia="仿宋_GB2312" w:cs="仿宋_GB2312"/>
          <w:sz w:val="32"/>
          <w:szCs w:val="32"/>
          <w:lang w:val="en-US"/>
        </w:rPr>
        <w:t xml:space="preserve">                  </w:t>
      </w:r>
      <w:r>
        <w:rPr>
          <w:rFonts w:hint="default"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91</w:t>
      </w:r>
      <w:r>
        <w:rPr>
          <w:rFonts w:hint="default" w:ascii="仿宋_GB2312" w:hAnsi="仿宋_GB2312" w:eastAsia="仿宋_GB2312" w:cs="仿宋_GB2312"/>
          <w:sz w:val="32"/>
          <w:szCs w:val="32"/>
        </w:rPr>
        <w:t>期</w:t>
      </w:r>
    </w:p>
    <w:p>
      <w:pPr>
        <w:jc w:val="center"/>
      </w:pPr>
      <w:r>
        <w:rPr>
          <w:rFonts w:hint="default" w:ascii="仿宋_GB2312" w:hAnsi="仿宋_GB2312" w:eastAsia="仿宋_GB2312" w:cs="仿宋_GB2312"/>
          <w:b/>
          <w:bCs/>
          <w:sz w:val="32"/>
          <w:szCs w:val="32"/>
          <w:u w:val="single"/>
        </w:rPr>
        <w:t>兴县司法局办公室                  2021年</w:t>
      </w:r>
      <w:r>
        <w:rPr>
          <w:rFonts w:hint="eastAsia" w:ascii="仿宋_GB2312" w:hAnsi="仿宋_GB2312" w:eastAsia="仿宋_GB2312" w:cs="仿宋_GB2312"/>
          <w:b/>
          <w:bCs/>
          <w:sz w:val="32"/>
          <w:szCs w:val="32"/>
          <w:u w:val="single"/>
          <w:lang w:val="en-US" w:eastAsia="zh-CN"/>
        </w:rPr>
        <w:t>11</w:t>
      </w:r>
      <w:r>
        <w:rPr>
          <w:rFonts w:hint="default" w:ascii="仿宋_GB2312" w:hAnsi="仿宋_GB2312" w:eastAsia="仿宋_GB2312" w:cs="仿宋_GB2312"/>
          <w:b/>
          <w:bCs/>
          <w:sz w:val="32"/>
          <w:szCs w:val="32"/>
          <w:u w:val="single"/>
        </w:rPr>
        <w:t>月</w:t>
      </w:r>
      <w:r>
        <w:rPr>
          <w:rFonts w:hint="eastAsia" w:ascii="仿宋_GB2312" w:hAnsi="仿宋_GB2312" w:eastAsia="仿宋_GB2312" w:cs="仿宋_GB2312"/>
          <w:b/>
          <w:bCs/>
          <w:sz w:val="32"/>
          <w:szCs w:val="32"/>
          <w:u w:val="single"/>
          <w:lang w:val="en-US" w:eastAsia="zh-CN"/>
        </w:rPr>
        <w:t>17</w:t>
      </w:r>
      <w:r>
        <w:rPr>
          <w:rFonts w:hint="default" w:ascii="仿宋_GB2312" w:hAnsi="仿宋_GB2312" w:eastAsia="仿宋_GB2312" w:cs="仿宋_GB2312"/>
          <w:b/>
          <w:bCs/>
          <w:sz w:val="32"/>
          <w:szCs w:val="32"/>
          <w:u w:val="single"/>
        </w:rPr>
        <w:t>日</w:t>
      </w:r>
    </w:p>
    <w:p>
      <w:pPr>
        <w:pStyle w:val="2"/>
        <w:ind w:left="0" w:leftChars="0" w:firstLine="0" w:firstLineChars="0"/>
        <w:jc w:val="left"/>
        <w:rPr>
          <w:b/>
          <w:bCs/>
        </w:rPr>
      </w:pPr>
    </w:p>
    <w:p>
      <w:pPr>
        <w:pStyle w:val="2"/>
        <w:ind w:left="0" w:leftChars="0" w:firstLine="883" w:firstLineChars="20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法治教育进校园  照亮青春成长路</w:t>
      </w:r>
    </w:p>
    <w:p>
      <w:pPr>
        <w:pStyle w:val="2"/>
        <w:ind w:left="0" w:leftChars="0" w:firstLine="640" w:firstLineChars="200"/>
        <w:jc w:val="both"/>
        <w:rPr>
          <w:rFonts w:hint="eastAsia"/>
          <w:lang w:eastAsia="zh-CN"/>
        </w:rPr>
      </w:pPr>
    </w:p>
    <w:p>
      <w:pPr>
        <w:pStyle w:val="2"/>
        <w:ind w:left="0" w:leftChars="0" w:firstLine="640" w:firstLineChars="200"/>
        <w:jc w:val="both"/>
        <w:rPr>
          <w:rFonts w:hint="eastAsia"/>
          <w:lang w:val="en-US" w:eastAsia="zh-CN"/>
        </w:rPr>
      </w:pPr>
      <w:r>
        <w:rPr>
          <w:rFonts w:hint="eastAsia"/>
          <w:lang w:eastAsia="zh-CN"/>
        </w:rPr>
        <w:t>为更好的弘扬法治精神，维护校园治安秩序，提升青少年的法治意识和法治素养，引导学生健康成长，</w:t>
      </w:r>
      <w:r>
        <w:rPr>
          <w:rFonts w:hint="eastAsia"/>
          <w:lang w:val="en-US" w:eastAsia="zh-CN"/>
        </w:rPr>
        <w:t>11月16日</w:t>
      </w:r>
      <w:r>
        <w:rPr>
          <w:rFonts w:hint="eastAsia"/>
          <w:lang w:eastAsia="zh-CN"/>
        </w:rPr>
        <w:t>，兴县司法局走进兴县一二</w:t>
      </w:r>
      <w:r>
        <w:rPr>
          <w:rFonts w:hint="eastAsia"/>
          <w:lang w:val="en-US" w:eastAsia="zh-CN"/>
        </w:rPr>
        <w:t>0师学校</w:t>
      </w:r>
      <w:r>
        <w:rPr>
          <w:rFonts w:hint="eastAsia"/>
          <w:lang w:eastAsia="zh-CN"/>
        </w:rPr>
        <w:t>，开展法治讲座，为在场师生上了一堂精彩纷呈的法治宣传课。</w:t>
      </w:r>
    </w:p>
    <w:p>
      <w:pPr>
        <w:pStyle w:val="2"/>
        <w:spacing w:line="240" w:lineRule="auto"/>
        <w:ind w:left="0" w:leftChars="0" w:firstLine="0" w:firstLineChars="0"/>
        <w:jc w:val="both"/>
        <w:rPr>
          <w:rFonts w:hint="eastAsia"/>
          <w:lang w:val="en-US" w:eastAsia="zh-CN"/>
        </w:rPr>
      </w:pPr>
      <w:r>
        <w:rPr>
          <w:rFonts w:hint="eastAsia"/>
          <w:lang w:val="en-US" w:eastAsia="zh-CN"/>
        </w:rPr>
        <w:drawing>
          <wp:inline distT="0" distB="0" distL="114300" distR="114300">
            <wp:extent cx="5234940" cy="3926205"/>
            <wp:effectExtent l="0" t="0" r="3810" b="17145"/>
            <wp:docPr id="4" name="图片 4" descr="开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开场"/>
                    <pic:cNvPicPr>
                      <a:picLocks noChangeAspect="1"/>
                    </pic:cNvPicPr>
                  </pic:nvPicPr>
                  <pic:blipFill>
                    <a:blip r:embed="rId4"/>
                    <a:stretch>
                      <a:fillRect/>
                    </a:stretch>
                  </pic:blipFill>
                  <pic:spPr>
                    <a:xfrm>
                      <a:off x="0" y="0"/>
                      <a:ext cx="5234940" cy="3926205"/>
                    </a:xfrm>
                    <a:prstGeom prst="rect">
                      <a:avLst/>
                    </a:prstGeom>
                  </pic:spPr>
                </pic:pic>
              </a:graphicData>
            </a:graphic>
          </wp:inline>
        </w:drawing>
      </w:r>
    </w:p>
    <w:p>
      <w:pPr>
        <w:pStyle w:val="2"/>
        <w:ind w:left="0" w:leftChars="0" w:firstLine="640" w:firstLineChars="200"/>
        <w:jc w:val="both"/>
        <w:rPr>
          <w:rFonts w:hint="eastAsia"/>
          <w:lang w:val="en-US" w:eastAsia="zh-CN"/>
        </w:rPr>
      </w:pPr>
      <w:r>
        <w:rPr>
          <w:rFonts w:hint="eastAsia"/>
          <w:lang w:val="en-US" w:eastAsia="zh-CN"/>
        </w:rPr>
        <w:t>活动中，兴县司法局向兴县</w:t>
      </w:r>
      <w:r>
        <w:rPr>
          <w:rFonts w:hint="eastAsia"/>
          <w:lang w:eastAsia="zh-CN"/>
        </w:rPr>
        <w:t>一二</w:t>
      </w:r>
      <w:r>
        <w:rPr>
          <w:rFonts w:hint="eastAsia"/>
          <w:lang w:val="en-US" w:eastAsia="zh-CN"/>
        </w:rPr>
        <w:t>0师学校赠送了《民法典》、《未成年人保护法》进校园书籍，并由兴县司法局的杨中勤同志为该校七年级学生</w:t>
      </w:r>
      <w:bookmarkStart w:id="0" w:name="_GoBack"/>
      <w:bookmarkEnd w:id="0"/>
      <w:r>
        <w:rPr>
          <w:rFonts w:hint="eastAsia"/>
          <w:lang w:val="en-US" w:eastAsia="zh-CN"/>
        </w:rPr>
        <w:t>进行了《法治教育进校园 照亮青春成长路》专题讲座。</w:t>
      </w:r>
    </w:p>
    <w:p>
      <w:pPr>
        <w:pStyle w:val="2"/>
        <w:spacing w:line="240" w:lineRule="auto"/>
        <w:ind w:left="0" w:leftChars="0" w:firstLine="0" w:firstLineChars="0"/>
        <w:jc w:val="both"/>
        <w:rPr>
          <w:rFonts w:hint="eastAsia"/>
          <w:lang w:val="en-US" w:eastAsia="zh-CN"/>
        </w:rPr>
      </w:pPr>
      <w:r>
        <w:rPr>
          <w:rFonts w:hint="eastAsia"/>
          <w:lang w:val="en-US" w:eastAsia="zh-CN"/>
        </w:rPr>
        <w:drawing>
          <wp:inline distT="0" distB="0" distL="114300" distR="114300">
            <wp:extent cx="5234940" cy="3926205"/>
            <wp:effectExtent l="0" t="0" r="3810" b="17145"/>
            <wp:docPr id="5" name="图片 5" descr="赠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赠书"/>
                    <pic:cNvPicPr>
                      <a:picLocks noChangeAspect="1"/>
                    </pic:cNvPicPr>
                  </pic:nvPicPr>
                  <pic:blipFill>
                    <a:blip r:embed="rId5"/>
                    <a:stretch>
                      <a:fillRect/>
                    </a:stretch>
                  </pic:blipFill>
                  <pic:spPr>
                    <a:xfrm>
                      <a:off x="0" y="0"/>
                      <a:ext cx="5234940" cy="3926205"/>
                    </a:xfrm>
                    <a:prstGeom prst="rect">
                      <a:avLst/>
                    </a:prstGeom>
                  </pic:spPr>
                </pic:pic>
              </a:graphicData>
            </a:graphic>
          </wp:inline>
        </w:drawing>
      </w:r>
    </w:p>
    <w:p>
      <w:pPr>
        <w:pStyle w:val="2"/>
        <w:spacing w:line="240" w:lineRule="auto"/>
        <w:ind w:left="0" w:leftChars="0" w:firstLine="640" w:firstLineChars="200"/>
        <w:jc w:val="both"/>
        <w:rPr>
          <w:rFonts w:hint="eastAsia"/>
          <w:lang w:val="en-US" w:eastAsia="zh-CN"/>
        </w:rPr>
      </w:pPr>
      <w:r>
        <w:rPr>
          <w:rFonts w:hint="eastAsia"/>
          <w:lang w:val="en-US" w:eastAsia="zh-CN"/>
        </w:rPr>
        <w:t>讲座中，杨中勤同志为学生总结分析了在学校能遇到的违法犯罪事件及青少年常见的不良社会现象，重点以发生在学校周边、学生身边的鲜活案例为教材，采取以案讲法、以案学法的方式为学生答疑解惑。针对在校学生涉世未深、对事物的认知及判断能力差、法制观念淡薄、自控能力较弱的特点，杨中勤同志对典型案例进行剖析，为同学们普及了法律的相关知识，加深了对法律的了解。</w:t>
      </w:r>
    </w:p>
    <w:p>
      <w:pPr>
        <w:pStyle w:val="2"/>
        <w:spacing w:line="240" w:lineRule="auto"/>
        <w:ind w:left="0" w:leftChars="0" w:firstLine="0" w:firstLineChars="0"/>
        <w:jc w:val="both"/>
        <w:rPr>
          <w:rFonts w:hint="default"/>
          <w:lang w:val="en-US" w:eastAsia="zh-CN"/>
        </w:rPr>
      </w:pPr>
      <w:r>
        <w:rPr>
          <w:rFonts w:hint="default"/>
          <w:lang w:val="en-US" w:eastAsia="zh-CN"/>
        </w:rPr>
        <w:drawing>
          <wp:inline distT="0" distB="0" distL="114300" distR="114300">
            <wp:extent cx="5234940" cy="3926205"/>
            <wp:effectExtent l="0" t="0" r="3810" b="17145"/>
            <wp:docPr id="6" name="图片 6" descr="讲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讲课"/>
                    <pic:cNvPicPr>
                      <a:picLocks noChangeAspect="1"/>
                    </pic:cNvPicPr>
                  </pic:nvPicPr>
                  <pic:blipFill>
                    <a:blip r:embed="rId6"/>
                    <a:stretch>
                      <a:fillRect/>
                    </a:stretch>
                  </pic:blipFill>
                  <pic:spPr>
                    <a:xfrm>
                      <a:off x="0" y="0"/>
                      <a:ext cx="5234940" cy="3926205"/>
                    </a:xfrm>
                    <a:prstGeom prst="rect">
                      <a:avLst/>
                    </a:prstGeom>
                  </pic:spPr>
                </pic:pic>
              </a:graphicData>
            </a:graphic>
          </wp:inline>
        </w:drawing>
      </w:r>
    </w:p>
    <w:p>
      <w:pPr>
        <w:pStyle w:val="2"/>
        <w:ind w:left="0" w:leftChars="0" w:firstLine="640" w:firstLineChars="200"/>
        <w:jc w:val="both"/>
        <w:rPr>
          <w:rFonts w:hint="eastAsia"/>
          <w:lang w:val="en-US" w:eastAsia="zh-CN"/>
        </w:rPr>
      </w:pPr>
      <w:r>
        <w:rPr>
          <w:rFonts w:hint="eastAsia"/>
          <w:lang w:val="en-US" w:eastAsia="zh-CN"/>
        </w:rPr>
        <w:t>通过此次活动，进一步提高了在场师生的法治意识和自我保护能力，对预防和减少青少年违法犯罪、促进青少年健康成长起到良好作用，为确保校园环境安全奠定了坚实基础，为青少年健康成长点亮了法律的路灯，使其能在知法守法懂法用法的人生大道上走的更顺、更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71CC4"/>
    <w:rsid w:val="05F065C4"/>
    <w:rsid w:val="07F1600F"/>
    <w:rsid w:val="08465A79"/>
    <w:rsid w:val="0BFD4DD6"/>
    <w:rsid w:val="0E825855"/>
    <w:rsid w:val="17BA17D3"/>
    <w:rsid w:val="18836AE1"/>
    <w:rsid w:val="1DB54EA4"/>
    <w:rsid w:val="21831087"/>
    <w:rsid w:val="2BA300E7"/>
    <w:rsid w:val="2BC7718C"/>
    <w:rsid w:val="2C15123C"/>
    <w:rsid w:val="32176C12"/>
    <w:rsid w:val="35B7321C"/>
    <w:rsid w:val="3F5F00DA"/>
    <w:rsid w:val="40C574F4"/>
    <w:rsid w:val="42787218"/>
    <w:rsid w:val="43A46A0A"/>
    <w:rsid w:val="4EB80B49"/>
    <w:rsid w:val="5321387A"/>
    <w:rsid w:val="56437E8D"/>
    <w:rsid w:val="58E920E0"/>
    <w:rsid w:val="599416E5"/>
    <w:rsid w:val="5E7C7B03"/>
    <w:rsid w:val="62F465AD"/>
    <w:rsid w:val="6D1F0827"/>
    <w:rsid w:val="6E13391B"/>
    <w:rsid w:val="723D0F6A"/>
    <w:rsid w:val="725C5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spacing w:beforeAutospacing="1" w:afterAutospacing="1"/>
      <w:jc w:val="left"/>
      <w:outlineLvl w:val="1"/>
    </w:pPr>
    <w:rPr>
      <w:rFonts w:hint="eastAsia" w:ascii="宋体" w:hAnsi="宋体"/>
      <w:b/>
      <w:kern w:val="0"/>
      <w:sz w:val="36"/>
      <w:szCs w:val="36"/>
    </w:rPr>
  </w:style>
  <w:style w:type="paragraph" w:styleId="5">
    <w:name w:val="heading 3"/>
    <w:basedOn w:val="1"/>
    <w:next w:val="1"/>
    <w:qFormat/>
    <w:uiPriority w:val="0"/>
    <w:pPr>
      <w:spacing w:beforeAutospacing="1" w:afterAutospacing="1"/>
      <w:jc w:val="left"/>
      <w:outlineLvl w:val="2"/>
    </w:pPr>
    <w:rPr>
      <w:rFonts w:hint="eastAsia" w:ascii="宋体" w:hAnsi="宋体"/>
      <w:b/>
      <w:kern w:val="0"/>
      <w:sz w:val="27"/>
      <w:szCs w:val="27"/>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customStyle="1" w:styleId="2">
    <w:name w:val="正文文本首行缩进 21"/>
    <w:basedOn w:val="3"/>
    <w:qFormat/>
    <w:uiPriority w:val="0"/>
    <w:pPr>
      <w:ind w:firstLine="420" w:firstLineChars="200"/>
    </w:pPr>
  </w:style>
  <w:style w:type="paragraph" w:customStyle="1" w:styleId="3">
    <w:name w:val="正文文本缩进1"/>
    <w:qFormat/>
    <w:uiPriority w:val="0"/>
    <w:pPr>
      <w:widowControl w:val="0"/>
      <w:spacing w:line="600" w:lineRule="exact"/>
      <w:ind w:left="420" w:leftChars="200"/>
      <w:jc w:val="center"/>
    </w:pPr>
    <w:rPr>
      <w:rFonts w:ascii="Calibri" w:hAnsi="Calibri" w:eastAsia="仿宋_GB2312" w:cs="Times New Roman"/>
      <w:kern w:val="2"/>
      <w:sz w:val="32"/>
      <w:szCs w:val="22"/>
      <w:lang w:val="en-US" w:eastAsia="zh-CN" w:bidi="ar-SA"/>
    </w:rPr>
  </w:style>
  <w:style w:type="paragraph" w:styleId="6">
    <w:name w:val="Balloon Text"/>
    <w:basedOn w:val="1"/>
    <w:link w:val="13"/>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Emphasis"/>
    <w:basedOn w:val="11"/>
    <w:qFormat/>
    <w:uiPriority w:val="0"/>
    <w:rPr>
      <w:i/>
    </w:rPr>
  </w:style>
  <w:style w:type="character" w:customStyle="1" w:styleId="13">
    <w:name w:val="批注框文本 Char"/>
    <w:basedOn w:val="11"/>
    <w:link w:val="6"/>
    <w:qFormat/>
    <w:uiPriority w:val="0"/>
    <w:rPr>
      <w:rFonts w:ascii="Calibri" w:hAnsi="Calibri"/>
      <w:kern w:val="2"/>
      <w:sz w:val="18"/>
      <w:szCs w:val="18"/>
    </w:rPr>
  </w:style>
  <w:style w:type="character" w:customStyle="1" w:styleId="14">
    <w:name w:val="页眉 Char"/>
    <w:basedOn w:val="11"/>
    <w:link w:val="8"/>
    <w:qFormat/>
    <w:uiPriority w:val="0"/>
    <w:rPr>
      <w:rFonts w:ascii="Calibri" w:hAnsi="Calibri"/>
      <w:kern w:val="2"/>
      <w:sz w:val="18"/>
      <w:szCs w:val="18"/>
    </w:rPr>
  </w:style>
  <w:style w:type="character" w:customStyle="1" w:styleId="15">
    <w:name w:val="页脚 Char"/>
    <w:basedOn w:val="11"/>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441</Words>
  <Characters>449</Characters>
  <Paragraphs>15</Paragraphs>
  <TotalTime>11</TotalTime>
  <ScaleCrop>false</ScaleCrop>
  <LinksUpToDate>false</LinksUpToDate>
  <CharactersWithSpaces>494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2021-09-02T18:32:00Z</dcterms:created>
  <dc:creator>Administrator</dc:creator>
  <cp:lastModifiedBy>Administrator</cp:lastModifiedBy>
  <dcterms:modified xsi:type="dcterms:W3CDTF">2021-11-17T02:54:03Z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33BBBEB204D94B468021957271318535</vt:lpwstr>
  </property>
</Properties>
</file>