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ind w:firstLine="1620" w:firstLineChars="900"/>
        <w:rPr>
          <w:rFonts w:ascii="仿宋" w:hAnsi="仿宋" w:eastAsia="仿宋"/>
          <w:sz w:val="18"/>
          <w:szCs w:val="18"/>
        </w:rPr>
      </w:pPr>
    </w:p>
    <w:p>
      <w:pPr>
        <w:ind w:firstLine="2880" w:firstLineChars="900"/>
        <w:rPr>
          <w:rFonts w:ascii="仿宋" w:hAnsi="仿宋" w:eastAsia="仿宋"/>
          <w:sz w:val="32"/>
          <w:szCs w:val="32"/>
        </w:rPr>
      </w:pPr>
      <w:r>
        <w:rPr>
          <w:rFonts w:hint="eastAsia" w:ascii="仿宋" w:hAnsi="仿宋" w:eastAsia="仿宋"/>
          <w:sz w:val="32"/>
          <w:szCs w:val="32"/>
        </w:rPr>
        <w:t>兴交字〔20</w:t>
      </w:r>
      <w:r>
        <w:rPr>
          <w:rFonts w:ascii="仿宋" w:hAnsi="仿宋" w:eastAsia="仿宋"/>
          <w:sz w:val="32"/>
          <w:szCs w:val="32"/>
        </w:rPr>
        <w:t>22</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号</w:t>
      </w:r>
    </w:p>
    <w:p>
      <w:pPr>
        <w:ind w:firstLine="7920" w:firstLineChars="1800"/>
        <w:rPr>
          <w:rFonts w:ascii="仿宋" w:hAnsi="仿宋" w:eastAsia="仿宋"/>
          <w:sz w:val="44"/>
          <w:szCs w:val="44"/>
        </w:rPr>
      </w:pPr>
    </w:p>
    <w:p>
      <w:pPr>
        <w:jc w:val="center"/>
        <w:rPr>
          <w:rFonts w:ascii="宋体" w:hAnsi="宋体" w:cs="宋体"/>
          <w:b/>
          <w:bCs/>
          <w:sz w:val="44"/>
          <w:szCs w:val="44"/>
        </w:rPr>
      </w:pPr>
      <w:r>
        <w:rPr>
          <w:rFonts w:hint="eastAsia" w:ascii="宋体" w:hAnsi="宋体" w:cs="仿宋_GB2312"/>
          <w:sz w:val="32"/>
          <w:szCs w:val="32"/>
        </w:rPr>
        <w:t xml:space="preserve">    </w:t>
      </w:r>
      <w:r>
        <w:rPr>
          <w:rFonts w:hint="eastAsia" w:ascii="宋体" w:hAnsi="宋体" w:cs="宋体"/>
          <w:b/>
          <w:bCs/>
          <w:sz w:val="44"/>
          <w:szCs w:val="44"/>
        </w:rPr>
        <w:t>兴县交通运输局</w:t>
      </w:r>
    </w:p>
    <w:p>
      <w:pPr>
        <w:jc w:val="center"/>
        <w:rPr>
          <w:rFonts w:ascii="宋体" w:hAnsi="宋体"/>
          <w:b/>
          <w:bCs/>
          <w:sz w:val="44"/>
          <w:szCs w:val="44"/>
        </w:rPr>
      </w:pPr>
      <w:bookmarkStart w:id="0" w:name="_Hlk93047154"/>
      <w:r>
        <w:rPr>
          <w:rFonts w:ascii="宋体" w:hAnsi="宋体"/>
          <w:b/>
          <w:bCs/>
          <w:sz w:val="44"/>
          <w:szCs w:val="44"/>
        </w:rPr>
        <w:t>2022年春运工作方案</w:t>
      </w:r>
    </w:p>
    <w:bookmarkEnd w:id="0"/>
    <w:p>
      <w:pPr>
        <w:jc w:val="center"/>
        <w:rPr>
          <w:rFonts w:ascii="仿宋" w:hAnsi="仿宋" w:eastAsia="仿宋" w:cs="仿宋"/>
          <w:b/>
          <w:bCs/>
          <w:sz w:val="32"/>
          <w:szCs w:val="32"/>
        </w:rPr>
      </w:pPr>
    </w:p>
    <w:p>
      <w:pPr>
        <w:jc w:val="center"/>
        <w:rPr>
          <w:rFonts w:ascii="宋体" w:hAnsi="宋体"/>
          <w:b/>
          <w:bCs/>
          <w:sz w:val="44"/>
          <w:szCs w:val="44"/>
        </w:rPr>
      </w:pPr>
    </w:p>
    <w:p>
      <w:pPr>
        <w:spacing w:line="600" w:lineRule="exact"/>
        <w:jc w:val="left"/>
        <w:rPr>
          <w:rFonts w:ascii="仿宋" w:hAnsi="仿宋" w:eastAsia="仿宋" w:cs="仿宋"/>
          <w:bCs/>
          <w:sz w:val="32"/>
          <w:szCs w:val="32"/>
        </w:rPr>
      </w:pPr>
      <w:r>
        <w:rPr>
          <w:rFonts w:hint="eastAsia" w:ascii="仿宋" w:hAnsi="仿宋" w:eastAsia="仿宋" w:cs="仿宋"/>
          <w:bCs/>
          <w:sz w:val="32"/>
          <w:szCs w:val="32"/>
        </w:rPr>
        <w:t>各股（室、站、所、处、队、司）：</w:t>
      </w:r>
    </w:p>
    <w:p>
      <w:pPr>
        <w:spacing w:line="60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现将《2022年春运工作方案》印发给你们，请遵照执行。</w:t>
      </w:r>
    </w:p>
    <w:p>
      <w:pPr>
        <w:spacing w:line="600" w:lineRule="exact"/>
        <w:ind w:firstLine="4160" w:firstLineChars="1300"/>
        <w:jc w:val="left"/>
        <w:rPr>
          <w:rFonts w:ascii="仿宋" w:hAnsi="仿宋" w:eastAsia="仿宋" w:cs="仿宋"/>
          <w:bCs/>
          <w:sz w:val="32"/>
          <w:szCs w:val="32"/>
        </w:rPr>
      </w:pPr>
    </w:p>
    <w:p>
      <w:pPr>
        <w:spacing w:line="600" w:lineRule="exact"/>
        <w:ind w:firstLine="4160" w:firstLineChars="1300"/>
        <w:jc w:val="left"/>
        <w:rPr>
          <w:rFonts w:ascii="仿宋" w:hAnsi="仿宋" w:eastAsia="仿宋" w:cs="仿宋"/>
          <w:bCs/>
          <w:sz w:val="32"/>
          <w:szCs w:val="32"/>
        </w:rPr>
      </w:pPr>
    </w:p>
    <w:p>
      <w:pPr>
        <w:spacing w:line="600" w:lineRule="exact"/>
        <w:ind w:firstLine="4160" w:firstLineChars="1300"/>
        <w:jc w:val="left"/>
        <w:rPr>
          <w:rFonts w:ascii="仿宋" w:hAnsi="仿宋" w:eastAsia="仿宋" w:cs="仿宋"/>
          <w:bCs/>
          <w:sz w:val="32"/>
          <w:szCs w:val="32"/>
        </w:rPr>
      </w:pPr>
    </w:p>
    <w:p>
      <w:pPr>
        <w:spacing w:line="600" w:lineRule="exact"/>
        <w:ind w:firstLine="4160" w:firstLineChars="1300"/>
        <w:jc w:val="left"/>
        <w:rPr>
          <w:rFonts w:ascii="仿宋" w:hAnsi="仿宋" w:eastAsia="仿宋" w:cs="仿宋"/>
          <w:bCs/>
          <w:sz w:val="32"/>
          <w:szCs w:val="32"/>
        </w:rPr>
      </w:pPr>
      <w:r>
        <w:rPr>
          <w:rFonts w:hint="eastAsia" w:ascii="仿宋" w:hAnsi="仿宋" w:eastAsia="仿宋" w:cs="仿宋"/>
          <w:bCs/>
          <w:sz w:val="32"/>
          <w:szCs w:val="32"/>
        </w:rPr>
        <w:t>兴县交通运输局</w:t>
      </w:r>
    </w:p>
    <w:p>
      <w:pPr>
        <w:spacing w:line="600" w:lineRule="exact"/>
        <w:ind w:firstLine="4160" w:firstLineChars="13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w:t>
      </w:r>
      <w:r>
        <w:rPr>
          <w:rFonts w:ascii="仿宋" w:hAnsi="仿宋" w:eastAsia="仿宋" w:cs="仿宋"/>
          <w:bCs/>
          <w:color w:val="000000" w:themeColor="text1"/>
          <w:sz w:val="32"/>
          <w:szCs w:val="32"/>
          <w14:textFill>
            <w14:solidFill>
              <w14:schemeClr w14:val="tx1"/>
            </w14:solidFill>
          </w14:textFill>
        </w:rPr>
        <w:t>022</w:t>
      </w:r>
      <w:r>
        <w:rPr>
          <w:rFonts w:hint="eastAsia" w:ascii="仿宋" w:hAnsi="仿宋" w:eastAsia="仿宋" w:cs="仿宋"/>
          <w:bCs/>
          <w:color w:val="000000" w:themeColor="text1"/>
          <w:sz w:val="32"/>
          <w:szCs w:val="32"/>
          <w14:textFill>
            <w14:solidFill>
              <w14:schemeClr w14:val="tx1"/>
            </w14:solidFill>
          </w14:textFill>
        </w:rPr>
        <w:t>年</w:t>
      </w:r>
      <w:r>
        <w:rPr>
          <w:rFonts w:ascii="仿宋" w:hAnsi="仿宋" w:eastAsia="仿宋" w:cs="仿宋"/>
          <w:bCs/>
          <w:color w:val="000000" w:themeColor="text1"/>
          <w:sz w:val="32"/>
          <w:szCs w:val="32"/>
          <w14:textFill>
            <w14:solidFill>
              <w14:schemeClr w14:val="tx1"/>
            </w14:solidFill>
          </w14:textFill>
        </w:rPr>
        <w:t>1</w:t>
      </w:r>
      <w:r>
        <w:rPr>
          <w:rFonts w:hint="eastAsia" w:ascii="仿宋" w:hAnsi="仿宋" w:eastAsia="仿宋" w:cs="仿宋"/>
          <w:bCs/>
          <w:color w:val="000000" w:themeColor="text1"/>
          <w:sz w:val="32"/>
          <w:szCs w:val="32"/>
          <w14:textFill>
            <w14:solidFill>
              <w14:schemeClr w14:val="tx1"/>
            </w14:solidFill>
          </w14:textFill>
        </w:rPr>
        <w:t>月</w:t>
      </w:r>
      <w:r>
        <w:rPr>
          <w:rFonts w:ascii="仿宋" w:hAnsi="仿宋" w:eastAsia="仿宋" w:cs="仿宋"/>
          <w:bCs/>
          <w:color w:val="000000" w:themeColor="text1"/>
          <w:sz w:val="32"/>
          <w:szCs w:val="32"/>
          <w14:textFill>
            <w14:solidFill>
              <w14:schemeClr w14:val="tx1"/>
            </w14:solidFill>
          </w14:textFill>
        </w:rPr>
        <w:t>11</w:t>
      </w:r>
      <w:r>
        <w:rPr>
          <w:rFonts w:hint="eastAsia" w:ascii="仿宋" w:hAnsi="仿宋" w:eastAsia="仿宋" w:cs="仿宋"/>
          <w:bCs/>
          <w:color w:val="000000" w:themeColor="text1"/>
          <w:sz w:val="32"/>
          <w:szCs w:val="32"/>
          <w14:textFill>
            <w14:solidFill>
              <w14:schemeClr w14:val="tx1"/>
            </w14:solidFill>
          </w14:textFill>
        </w:rPr>
        <w:t>日</w:t>
      </w:r>
    </w:p>
    <w:p>
      <w:pPr>
        <w:jc w:val="center"/>
        <w:rPr>
          <w:rFonts w:ascii="宋体" w:hAnsi="宋体"/>
          <w:b/>
          <w:bCs/>
          <w:sz w:val="44"/>
          <w:szCs w:val="44"/>
        </w:rPr>
      </w:pPr>
    </w:p>
    <w:p>
      <w:pPr>
        <w:jc w:val="center"/>
        <w:rPr>
          <w:rFonts w:ascii="宋体" w:hAnsi="宋体"/>
          <w:b/>
          <w:bCs/>
          <w:sz w:val="44"/>
          <w:szCs w:val="44"/>
        </w:rPr>
      </w:pPr>
      <w:r>
        <w:rPr>
          <w:rFonts w:ascii="宋体" w:hAnsi="宋体"/>
          <w:b/>
          <w:bCs/>
          <w:sz w:val="44"/>
          <w:szCs w:val="44"/>
        </w:rPr>
        <w:t>2022年春运工作方案</w:t>
      </w:r>
    </w:p>
    <w:p>
      <w:pPr>
        <w:spacing w:line="600" w:lineRule="exact"/>
        <w:ind w:firstLine="640" w:firstLineChars="200"/>
        <w:rPr>
          <w:rFonts w:ascii="仿宋" w:hAnsi="仿宋" w:eastAsia="仿宋"/>
          <w:sz w:val="32"/>
          <w:szCs w:val="32"/>
        </w:rPr>
      </w:pPr>
      <w:r>
        <w:rPr>
          <w:rFonts w:ascii="仿宋" w:hAnsi="仿宋" w:eastAsia="仿宋"/>
          <w:sz w:val="32"/>
          <w:szCs w:val="32"/>
        </w:rPr>
        <w:t>2022年春运自1月17日开始，至2月25日结束，共计40天。按照</w:t>
      </w:r>
      <w:r>
        <w:rPr>
          <w:rFonts w:hint="eastAsia" w:ascii="仿宋" w:hAnsi="仿宋" w:eastAsia="仿宋"/>
          <w:sz w:val="32"/>
          <w:szCs w:val="32"/>
        </w:rPr>
        <w:t>市局1月1</w:t>
      </w:r>
      <w:r>
        <w:rPr>
          <w:rFonts w:ascii="仿宋" w:hAnsi="仿宋" w:eastAsia="仿宋"/>
          <w:sz w:val="32"/>
          <w:szCs w:val="32"/>
        </w:rPr>
        <w:t>1</w:t>
      </w:r>
      <w:r>
        <w:rPr>
          <w:rFonts w:hint="eastAsia" w:ascii="仿宋" w:hAnsi="仿宋" w:eastAsia="仿宋"/>
          <w:sz w:val="32"/>
          <w:szCs w:val="32"/>
        </w:rPr>
        <w:t>日《关于召开吕梁市2</w:t>
      </w:r>
      <w:r>
        <w:rPr>
          <w:rFonts w:ascii="仿宋" w:hAnsi="仿宋" w:eastAsia="仿宋"/>
          <w:sz w:val="32"/>
          <w:szCs w:val="32"/>
        </w:rPr>
        <w:t>022</w:t>
      </w:r>
      <w:r>
        <w:rPr>
          <w:rFonts w:hint="eastAsia" w:ascii="仿宋" w:hAnsi="仿宋" w:eastAsia="仿宋"/>
          <w:sz w:val="32"/>
          <w:szCs w:val="32"/>
        </w:rPr>
        <w:t>年春运疫情防控和运输服务保障工作会议》精神和《关于成立2</w:t>
      </w:r>
      <w:r>
        <w:rPr>
          <w:rFonts w:ascii="仿宋" w:hAnsi="仿宋" w:eastAsia="仿宋"/>
          <w:sz w:val="32"/>
          <w:szCs w:val="32"/>
        </w:rPr>
        <w:t>022</w:t>
      </w:r>
      <w:r>
        <w:rPr>
          <w:rFonts w:hint="eastAsia" w:ascii="仿宋" w:hAnsi="仿宋" w:eastAsia="仿宋"/>
          <w:sz w:val="32"/>
          <w:szCs w:val="32"/>
        </w:rPr>
        <w:t>年吕梁市交通运输系统春运工作领导组的通知》（吕交综运发</w:t>
      </w:r>
      <w:r>
        <w:rPr>
          <w:rFonts w:hint="eastAsia" w:ascii="等线" w:hAnsi="等线" w:eastAsia="等线"/>
          <w:sz w:val="32"/>
          <w:szCs w:val="32"/>
        </w:rPr>
        <w:t>〔2</w:t>
      </w:r>
      <w:r>
        <w:rPr>
          <w:rFonts w:ascii="等线" w:hAnsi="等线" w:eastAsia="等线"/>
          <w:sz w:val="32"/>
          <w:szCs w:val="32"/>
        </w:rPr>
        <w:t>022</w:t>
      </w:r>
      <w:r>
        <w:rPr>
          <w:rFonts w:hint="eastAsia" w:ascii="等线" w:hAnsi="等线" w:eastAsia="等线"/>
          <w:sz w:val="32"/>
          <w:szCs w:val="32"/>
        </w:rPr>
        <w:t>〕1</w:t>
      </w:r>
      <w:r>
        <w:rPr>
          <w:rFonts w:ascii="等线" w:hAnsi="等线" w:eastAsia="等线"/>
          <w:sz w:val="32"/>
          <w:szCs w:val="32"/>
        </w:rPr>
        <w:t>0</w:t>
      </w:r>
      <w:r>
        <w:rPr>
          <w:rFonts w:hint="eastAsia" w:ascii="等线" w:hAnsi="等线" w:eastAsia="等线"/>
          <w:sz w:val="32"/>
          <w:szCs w:val="32"/>
        </w:rPr>
        <w:t>号</w:t>
      </w:r>
      <w:r>
        <w:rPr>
          <w:rFonts w:hint="eastAsia" w:ascii="仿宋" w:hAnsi="仿宋" w:eastAsia="仿宋"/>
          <w:sz w:val="32"/>
          <w:szCs w:val="32"/>
        </w:rPr>
        <w:t>）文件精神，</w:t>
      </w:r>
      <w:r>
        <w:rPr>
          <w:rFonts w:ascii="仿宋" w:hAnsi="仿宋" w:eastAsia="仿宋"/>
          <w:sz w:val="32"/>
          <w:szCs w:val="32"/>
        </w:rPr>
        <w:t>为全力做好2022年全</w:t>
      </w:r>
      <w:r>
        <w:rPr>
          <w:rFonts w:hint="eastAsia" w:ascii="仿宋" w:hAnsi="仿宋" w:eastAsia="仿宋"/>
          <w:sz w:val="32"/>
          <w:szCs w:val="32"/>
        </w:rPr>
        <w:t>县</w:t>
      </w:r>
      <w:r>
        <w:rPr>
          <w:rFonts w:ascii="仿宋" w:hAnsi="仿宋" w:eastAsia="仿宋"/>
          <w:sz w:val="32"/>
          <w:szCs w:val="32"/>
        </w:rPr>
        <w:t>交通运输系统春运工作，更好地满足广大人民群众出行需求，保障经济社会平稳运行，制定本方案。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全县交通运输系统全体干部职工要以习近平新时代中国特色社会主义</w:t>
      </w:r>
      <w:r>
        <w:rPr>
          <w:rFonts w:ascii="仿宋" w:hAnsi="仿宋" w:eastAsia="仿宋"/>
          <w:sz w:val="32"/>
          <w:szCs w:val="32"/>
        </w:rPr>
        <w:t>思想为指导，</w:t>
      </w:r>
      <w:r>
        <w:rPr>
          <w:rFonts w:hint="eastAsia" w:ascii="仿宋" w:hAnsi="仿宋" w:eastAsia="仿宋"/>
          <w:sz w:val="32"/>
          <w:szCs w:val="32"/>
        </w:rPr>
        <w:t>全面贯彻党的十九大和十九届历次全会精神，按照党中央、国务院决策部署，坚决贯彻“外防输入、内防反弹”总策略、“动态清零”总方针，坚持在疫情防控常态化条件下谋划春运举措，根据疫情防控要求，及时调整工作措施和应对策略。按照减少人员流动、引导错峰出行、降低旅途风险、加强人员防护的原则，组织做好春运疫情防控和服务保障工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二、科学统筹，切实抓好各项防控措施的落实</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临近 “春节”群众出行需求增大，公路运营领域迎来疫情防控和春运保障双重考验，根据疫情防控形势，各职能股室及运输企业要坚持“三同防、两畅通、一保障”(“人、物、环境”同防，人畅其行、货畅其流，保障春运)，要常态化对入兴车辆及人员查验行程码、健康码，开展体温检查和症状检测，凡1</w:t>
      </w:r>
      <w:r>
        <w:rPr>
          <w:rFonts w:ascii="仿宋" w:hAnsi="仿宋" w:eastAsia="仿宋"/>
          <w:sz w:val="32"/>
          <w:szCs w:val="32"/>
        </w:rPr>
        <w:t>4</w:t>
      </w:r>
      <w:r>
        <w:rPr>
          <w:rFonts w:hint="eastAsia" w:ascii="仿宋" w:hAnsi="仿宋" w:eastAsia="仿宋"/>
          <w:sz w:val="32"/>
          <w:szCs w:val="32"/>
        </w:rPr>
        <w:t>天内有中高风险地区和疫情发生地所在地市旅居史的人员，须提供4</w:t>
      </w:r>
      <w:r>
        <w:rPr>
          <w:rFonts w:ascii="仿宋" w:hAnsi="仿宋" w:eastAsia="仿宋"/>
          <w:sz w:val="32"/>
          <w:szCs w:val="32"/>
        </w:rPr>
        <w:t>8</w:t>
      </w:r>
      <w:r>
        <w:rPr>
          <w:rFonts w:hint="eastAsia" w:ascii="仿宋" w:hAnsi="仿宋" w:eastAsia="仿宋"/>
          <w:sz w:val="32"/>
          <w:szCs w:val="32"/>
        </w:rPr>
        <w:t>小时内核酸检测阴性证明，无法提供者将予以劝返。切实做好 “春节”疫情防控和安全生产工作。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三、工作安排</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(一)健全春运工作机制</w:t>
      </w:r>
    </w:p>
    <w:p>
      <w:pPr>
        <w:spacing w:line="600" w:lineRule="exact"/>
        <w:ind w:firstLine="640" w:firstLineChars="200"/>
        <w:rPr>
          <w:rFonts w:ascii="仿宋" w:hAnsi="仿宋" w:eastAsia="仿宋"/>
          <w:sz w:val="32"/>
          <w:szCs w:val="32"/>
        </w:rPr>
      </w:pPr>
      <w:r>
        <w:rPr>
          <w:rFonts w:ascii="仿宋" w:hAnsi="仿宋" w:eastAsia="仿宋"/>
          <w:sz w:val="32"/>
          <w:szCs w:val="32"/>
        </w:rPr>
        <w:t>完善春运工作组织领导机制。</w:t>
      </w:r>
      <w:r>
        <w:rPr>
          <w:rFonts w:hint="eastAsia" w:ascii="仿宋" w:hAnsi="仿宋" w:eastAsia="仿宋"/>
          <w:sz w:val="32"/>
          <w:szCs w:val="32"/>
        </w:rPr>
        <w:t>我</w:t>
      </w:r>
      <w:r>
        <w:rPr>
          <w:rFonts w:ascii="仿宋" w:hAnsi="仿宋" w:eastAsia="仿宋"/>
          <w:sz w:val="32"/>
          <w:szCs w:val="32"/>
        </w:rPr>
        <w:t>局成立2022年春运工作领导小组，由局党组书记、局长任组长，各相关业务分管领导为副组长，局</w:t>
      </w:r>
      <w:r>
        <w:rPr>
          <w:rFonts w:hint="eastAsia" w:ascii="仿宋" w:hAnsi="仿宋" w:eastAsia="仿宋"/>
          <w:sz w:val="32"/>
          <w:szCs w:val="32"/>
        </w:rPr>
        <w:t>各股室成立</w:t>
      </w:r>
      <w:r>
        <w:rPr>
          <w:rFonts w:ascii="仿宋" w:hAnsi="仿宋" w:eastAsia="仿宋"/>
          <w:sz w:val="32"/>
          <w:szCs w:val="32"/>
        </w:rPr>
        <w:t>。</w:t>
      </w:r>
      <w:r>
        <w:rPr>
          <w:rFonts w:hint="eastAsia" w:ascii="仿宋" w:hAnsi="仿宋" w:eastAsia="仿宋"/>
          <w:sz w:val="32"/>
          <w:szCs w:val="32"/>
        </w:rPr>
        <w:t>领导小组办公室设在局运输事业发展中心，负责春运的综合协调、指导春运安全生产和春运应急工作；局农村公路发展中心组织内设股室</w:t>
      </w:r>
      <w:r>
        <w:rPr>
          <w:rFonts w:ascii="仿宋" w:hAnsi="仿宋" w:eastAsia="仿宋"/>
          <w:sz w:val="32"/>
          <w:szCs w:val="32"/>
        </w:rPr>
        <w:t>负责保持辖</w:t>
      </w:r>
      <w:r>
        <w:rPr>
          <w:rFonts w:hint="eastAsia" w:ascii="仿宋" w:hAnsi="仿宋" w:eastAsia="仿宋"/>
          <w:sz w:val="32"/>
          <w:szCs w:val="32"/>
        </w:rPr>
        <w:t>区</w:t>
      </w:r>
      <w:r>
        <w:rPr>
          <w:rFonts w:ascii="仿宋" w:hAnsi="仿宋" w:eastAsia="仿宋"/>
          <w:sz w:val="32"/>
          <w:szCs w:val="32"/>
        </w:rPr>
        <w:t>道路桥梁设施完好，保障公路畅通；局</w:t>
      </w:r>
      <w:r>
        <w:rPr>
          <w:rFonts w:hint="eastAsia" w:ascii="仿宋" w:hAnsi="仿宋" w:eastAsia="仿宋"/>
          <w:sz w:val="32"/>
          <w:szCs w:val="32"/>
        </w:rPr>
        <w:t>综合行政执法队</w:t>
      </w:r>
      <w:r>
        <w:rPr>
          <w:rFonts w:ascii="仿宋" w:hAnsi="仿宋" w:eastAsia="仿宋"/>
          <w:sz w:val="32"/>
          <w:szCs w:val="32"/>
        </w:rPr>
        <w:t xml:space="preserve">负责春运职责范围内的执法工作； </w:t>
      </w:r>
    </w:p>
    <w:p>
      <w:pPr>
        <w:spacing w:line="600" w:lineRule="exact"/>
        <w:ind w:firstLine="640" w:firstLineChars="200"/>
        <w:rPr>
          <w:rFonts w:ascii="仿宋" w:hAnsi="仿宋" w:eastAsia="仿宋"/>
          <w:sz w:val="32"/>
          <w:szCs w:val="32"/>
        </w:rPr>
      </w:pPr>
      <w:r>
        <w:rPr>
          <w:rFonts w:ascii="仿宋" w:hAnsi="仿宋" w:eastAsia="仿宋"/>
          <w:sz w:val="32"/>
          <w:szCs w:val="32"/>
        </w:rPr>
        <w:t>建立跨区域、多部门的联动机制。要加强与公安、</w:t>
      </w:r>
      <w:r>
        <w:rPr>
          <w:rFonts w:hint="eastAsia" w:ascii="仿宋" w:hAnsi="仿宋" w:eastAsia="仿宋"/>
          <w:sz w:val="32"/>
          <w:szCs w:val="32"/>
        </w:rPr>
        <w:t>交警</w:t>
      </w:r>
      <w:r>
        <w:rPr>
          <w:rFonts w:ascii="仿宋" w:hAnsi="仿宋" w:eastAsia="仿宋"/>
          <w:sz w:val="32"/>
          <w:szCs w:val="32"/>
        </w:rPr>
        <w:t>、旅游、气象等部门的协调配合，完善联席会议、联勤联动、专题会商等工作机制。</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(二)提高运输组织和保障能力</w:t>
      </w:r>
    </w:p>
    <w:p>
      <w:pPr>
        <w:spacing w:line="600" w:lineRule="exact"/>
        <w:ind w:firstLine="643" w:firstLineChars="200"/>
        <w:rPr>
          <w:rFonts w:ascii="仿宋" w:hAnsi="仿宋" w:eastAsia="仿宋"/>
          <w:sz w:val="32"/>
          <w:szCs w:val="32"/>
        </w:rPr>
      </w:pPr>
      <w:r>
        <w:rPr>
          <w:rFonts w:hint="eastAsia" w:ascii="楷体" w:hAnsi="楷体" w:eastAsia="楷体"/>
          <w:b/>
          <w:bCs/>
          <w:sz w:val="32"/>
          <w:szCs w:val="32"/>
        </w:rPr>
        <w:t>1</w:t>
      </w:r>
      <w:r>
        <w:rPr>
          <w:rFonts w:ascii="楷体" w:hAnsi="楷体" w:eastAsia="楷体"/>
          <w:b/>
          <w:bCs/>
          <w:sz w:val="32"/>
          <w:szCs w:val="32"/>
        </w:rPr>
        <w:t>.做好道路旅客通行保障。</w:t>
      </w:r>
      <w:r>
        <w:rPr>
          <w:rFonts w:ascii="仿宋" w:hAnsi="仿宋" w:eastAsia="仿宋"/>
          <w:sz w:val="32"/>
          <w:szCs w:val="32"/>
        </w:rPr>
        <w:t>一是合理安排公路养护施工作业计划，加强对</w:t>
      </w:r>
      <w:r>
        <w:rPr>
          <w:rFonts w:hint="eastAsia" w:ascii="仿宋" w:hAnsi="仿宋" w:eastAsia="仿宋"/>
          <w:sz w:val="32"/>
          <w:szCs w:val="32"/>
        </w:rPr>
        <w:t>县乡</w:t>
      </w:r>
      <w:r>
        <w:rPr>
          <w:rFonts w:ascii="仿宋" w:hAnsi="仿宋" w:eastAsia="仿宋"/>
          <w:sz w:val="32"/>
          <w:szCs w:val="32"/>
        </w:rPr>
        <w:t>公路排查</w:t>
      </w:r>
      <w:r>
        <w:rPr>
          <w:rFonts w:hint="eastAsia" w:ascii="仿宋" w:hAnsi="仿宋" w:eastAsia="仿宋"/>
          <w:sz w:val="32"/>
          <w:szCs w:val="32"/>
        </w:rPr>
        <w:t>，</w:t>
      </w:r>
      <w:r>
        <w:rPr>
          <w:rFonts w:ascii="仿宋" w:hAnsi="仿宋" w:eastAsia="仿宋"/>
          <w:sz w:val="32"/>
          <w:szCs w:val="32"/>
        </w:rPr>
        <w:t>做好恶劣天气条件下的道路保通。</w:t>
      </w:r>
      <w:r>
        <w:rPr>
          <w:rFonts w:hint="eastAsia" w:ascii="仿宋" w:hAnsi="仿宋" w:eastAsia="仿宋"/>
          <w:sz w:val="32"/>
          <w:szCs w:val="32"/>
        </w:rPr>
        <w:t>二</w:t>
      </w:r>
      <w:r>
        <w:rPr>
          <w:rFonts w:ascii="仿宋" w:hAnsi="仿宋" w:eastAsia="仿宋"/>
          <w:sz w:val="32"/>
          <w:szCs w:val="32"/>
        </w:rPr>
        <w:t>是健全路警联合巡查与指挥协同机制。要主动加强与公安</w:t>
      </w:r>
      <w:r>
        <w:rPr>
          <w:rFonts w:hint="eastAsia" w:ascii="仿宋" w:hAnsi="仿宋" w:eastAsia="仿宋"/>
          <w:sz w:val="32"/>
          <w:szCs w:val="32"/>
        </w:rPr>
        <w:t>交警等</w:t>
      </w:r>
      <w:r>
        <w:rPr>
          <w:rFonts w:ascii="仿宋" w:hAnsi="仿宋" w:eastAsia="仿宋"/>
          <w:sz w:val="32"/>
          <w:szCs w:val="32"/>
        </w:rPr>
        <w:t>部门联系沟通，强化信息共享与协调联动，做好交通管控事前会商。提前发布交通路况信息和绕行信息，引导群众合理安排出行。</w:t>
      </w:r>
    </w:p>
    <w:p>
      <w:pPr>
        <w:spacing w:line="600" w:lineRule="exact"/>
        <w:ind w:firstLine="643" w:firstLineChars="200"/>
        <w:rPr>
          <w:rFonts w:ascii="仿宋" w:hAnsi="仿宋" w:eastAsia="仿宋"/>
          <w:sz w:val="32"/>
          <w:szCs w:val="32"/>
        </w:rPr>
      </w:pPr>
      <w:r>
        <w:rPr>
          <w:rFonts w:ascii="楷体" w:hAnsi="楷体" w:eastAsia="楷体"/>
          <w:b/>
          <w:bCs/>
          <w:sz w:val="32"/>
          <w:szCs w:val="32"/>
        </w:rPr>
        <w:t>2.科学调配客运供给。</w:t>
      </w:r>
      <w:r>
        <w:rPr>
          <w:rFonts w:ascii="仿宋" w:hAnsi="仿宋" w:eastAsia="仿宋"/>
          <w:sz w:val="32"/>
          <w:szCs w:val="32"/>
        </w:rPr>
        <w:t>要利用大数据科学预测春运需求和客流流量流向变化，针对特定时段、特定区域制定合理疏运方案，统筹安排运力资源，在重点地区、热点线路和高峰时段提前调配运力。特别要有针对性增开农村客运、城乡公交和定制公交，满足农村群众节日出行需求。</w:t>
      </w:r>
    </w:p>
    <w:p>
      <w:pPr>
        <w:spacing w:line="600" w:lineRule="exact"/>
        <w:ind w:firstLine="643" w:firstLineChars="200"/>
        <w:rPr>
          <w:rFonts w:ascii="仿宋" w:hAnsi="仿宋" w:eastAsia="仿宋"/>
          <w:sz w:val="32"/>
          <w:szCs w:val="32"/>
        </w:rPr>
      </w:pPr>
      <w:r>
        <w:rPr>
          <w:rFonts w:ascii="楷体" w:hAnsi="楷体" w:eastAsia="楷体"/>
          <w:b/>
          <w:bCs/>
          <w:sz w:val="32"/>
          <w:szCs w:val="32"/>
        </w:rPr>
        <w:t>3.做好路网畅通保障。</w:t>
      </w:r>
      <w:r>
        <w:rPr>
          <w:rFonts w:ascii="仿宋" w:hAnsi="仿宋" w:eastAsia="仿宋"/>
          <w:sz w:val="32"/>
          <w:szCs w:val="32"/>
        </w:rPr>
        <w:t>充分利用信息化手段，加强路网运行监测，优化路网调度管理，针对易堵路段</w:t>
      </w:r>
      <w:r>
        <w:rPr>
          <w:rFonts w:hint="eastAsia" w:ascii="仿宋" w:hAnsi="仿宋" w:eastAsia="仿宋"/>
          <w:sz w:val="32"/>
          <w:szCs w:val="32"/>
        </w:rPr>
        <w:t>，</w:t>
      </w:r>
      <w:r>
        <w:rPr>
          <w:rFonts w:ascii="仿宋" w:hAnsi="仿宋" w:eastAsia="仿宋"/>
          <w:sz w:val="32"/>
          <w:szCs w:val="32"/>
        </w:rPr>
        <w:t>制定疏堵保畅方案，提早发现、处置拥堵路段。对交通事故快速实施救援，保障公路畅通。及时发布公路路况、交通管制、分流绕行、恶劣天气安全出行提示等信息，引导旅客科学安排出行路线。做好各级公路养护管理，合理安排干线公路养护施工作业计划，错峰进行养护作业。对易积雪、结冰路段和事故多发路段重点进行防控，提前做好机械设备调试和融雪剂、防滑料等物资储备。及时查处占道经营、违法堆占、超限运输等影响公路畅通的行为，确保公路、桥梁</w:t>
      </w:r>
      <w:r>
        <w:rPr>
          <w:rFonts w:hint="eastAsia" w:ascii="仿宋" w:hAnsi="仿宋" w:eastAsia="仿宋"/>
          <w:sz w:val="32"/>
          <w:szCs w:val="32"/>
        </w:rPr>
        <w:t>安全畅通。</w:t>
      </w:r>
    </w:p>
    <w:p>
      <w:pPr>
        <w:spacing w:line="600" w:lineRule="exact"/>
        <w:ind w:firstLine="643" w:firstLineChars="200"/>
        <w:rPr>
          <w:rFonts w:ascii="仿宋" w:hAnsi="仿宋" w:eastAsia="仿宋"/>
          <w:sz w:val="32"/>
          <w:szCs w:val="32"/>
        </w:rPr>
      </w:pPr>
      <w:r>
        <w:rPr>
          <w:rFonts w:ascii="楷体" w:hAnsi="楷体" w:eastAsia="楷体"/>
          <w:b/>
          <w:bCs/>
          <w:sz w:val="32"/>
          <w:szCs w:val="32"/>
        </w:rPr>
        <w:t>4.做好城市公共交通出行保障。</w:t>
      </w:r>
      <w:r>
        <w:rPr>
          <w:rFonts w:ascii="仿宋" w:hAnsi="仿宋" w:eastAsia="仿宋"/>
          <w:sz w:val="32"/>
          <w:szCs w:val="32"/>
        </w:rPr>
        <w:t>一是加强城市公交管理。要充分利用智能调度信息化手段加强运营管理，保证首末车准点率。二是加强城市出租汽车管理。要督促企业加强对驾驶员的管理和教育，杜绝出租车无故拒载、强行拼客、中途甩客等违规行为的发生。三是要最大程度加强运输衔接。要主动对接铁路部门，强化城市公共交通与干线运输的协同衔接，安排好火车站、汽车站的夜间公交、出租运力，积极开展联程运输服务。</w:t>
      </w:r>
    </w:p>
    <w:p>
      <w:pPr>
        <w:spacing w:line="600" w:lineRule="exact"/>
        <w:ind w:firstLine="643" w:firstLineChars="200"/>
        <w:rPr>
          <w:rFonts w:ascii="仿宋" w:hAnsi="仿宋" w:eastAsia="仿宋"/>
          <w:sz w:val="32"/>
          <w:szCs w:val="32"/>
        </w:rPr>
      </w:pPr>
      <w:r>
        <w:rPr>
          <w:rFonts w:hint="eastAsia" w:ascii="楷体" w:hAnsi="楷体" w:eastAsia="楷体"/>
          <w:b/>
          <w:bCs/>
          <w:sz w:val="32"/>
          <w:szCs w:val="32"/>
        </w:rPr>
        <w:t>5</w:t>
      </w:r>
      <w:r>
        <w:rPr>
          <w:rFonts w:ascii="楷体" w:hAnsi="楷体" w:eastAsia="楷体"/>
          <w:b/>
          <w:bCs/>
          <w:sz w:val="32"/>
          <w:szCs w:val="32"/>
        </w:rPr>
        <w:t>.做好重点物资运输保障。</w:t>
      </w:r>
      <w:r>
        <w:rPr>
          <w:rFonts w:ascii="仿宋" w:hAnsi="仿宋" w:eastAsia="仿宋"/>
          <w:sz w:val="32"/>
          <w:szCs w:val="32"/>
        </w:rPr>
        <w:t>按照“以客为主，客货兼顾”的原则，在集中</w:t>
      </w:r>
      <w:r>
        <w:rPr>
          <w:rFonts w:hint="eastAsia" w:ascii="仿宋" w:hAnsi="仿宋" w:eastAsia="仿宋"/>
          <w:sz w:val="32"/>
          <w:szCs w:val="32"/>
        </w:rPr>
        <w:t>力量抓好旅客运输的同时，要充分利用春运前和客流波谷时段，组织好煤电油气、粮油肉菜等重点生产生活物资的运输，确保春节期间企业正常生产和居民生活平稳有序。</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(三)全力强化安全</w:t>
      </w:r>
      <w:r>
        <w:rPr>
          <w:rFonts w:hint="eastAsia" w:ascii="仿宋" w:hAnsi="仿宋" w:eastAsia="仿宋"/>
          <w:b/>
          <w:bCs/>
          <w:sz w:val="32"/>
          <w:szCs w:val="32"/>
        </w:rPr>
        <w:t>及疫情防控</w:t>
      </w:r>
    </w:p>
    <w:p>
      <w:pPr>
        <w:spacing w:line="600" w:lineRule="exact"/>
        <w:ind w:firstLine="643" w:firstLineChars="200"/>
        <w:rPr>
          <w:rFonts w:ascii="仿宋" w:hAnsi="仿宋" w:eastAsia="仿宋"/>
          <w:color w:val="000000" w:themeColor="text1"/>
          <w:sz w:val="32"/>
          <w:szCs w:val="32"/>
          <w14:textFill>
            <w14:solidFill>
              <w14:schemeClr w14:val="tx1"/>
            </w14:solidFill>
          </w14:textFill>
        </w:rPr>
      </w:pPr>
      <w:r>
        <w:rPr>
          <w:rFonts w:ascii="楷体" w:hAnsi="楷体" w:eastAsia="楷体"/>
          <w:b/>
          <w:bCs/>
          <w:sz w:val="32"/>
          <w:szCs w:val="32"/>
        </w:rPr>
        <w:t>1.严格落实安全生产责任。</w:t>
      </w:r>
      <w:r>
        <w:rPr>
          <w:rFonts w:ascii="仿宋" w:hAnsi="仿宋" w:eastAsia="仿宋"/>
          <w:sz w:val="32"/>
          <w:szCs w:val="32"/>
        </w:rPr>
        <w:t>按照“党政同责、一岗</w:t>
      </w:r>
      <w:r>
        <w:rPr>
          <w:rFonts w:hint="eastAsia" w:ascii="仿宋" w:hAnsi="仿宋" w:eastAsia="仿宋"/>
          <w:sz w:val="32"/>
          <w:szCs w:val="32"/>
        </w:rPr>
        <w:t>双</w:t>
      </w:r>
      <w:r>
        <w:rPr>
          <w:rFonts w:ascii="仿宋" w:hAnsi="仿宋" w:eastAsia="仿宋"/>
          <w:sz w:val="32"/>
          <w:szCs w:val="32"/>
        </w:rPr>
        <w:t>责、齐抓共管、失职追责”和“三个必须”的总体要求，</w:t>
      </w:r>
      <w:r>
        <w:rPr>
          <w:rFonts w:ascii="仿宋" w:hAnsi="仿宋" w:eastAsia="仿宋"/>
          <w:color w:val="000000" w:themeColor="text1"/>
          <w:sz w:val="32"/>
          <w:szCs w:val="32"/>
          <w14:textFill>
            <w14:solidFill>
              <w14:schemeClr w14:val="tx1"/>
            </w14:solidFill>
          </w14:textFill>
        </w:rPr>
        <w:t>严格落实部门安全监管责任以及企业安全生产主体责任，将责任落实到岗位、落实到人头，贯通到各个环节。</w:t>
      </w:r>
    </w:p>
    <w:p>
      <w:pPr>
        <w:spacing w:line="600" w:lineRule="exact"/>
        <w:ind w:firstLine="643" w:firstLineChars="200"/>
        <w:rPr>
          <w:rFonts w:ascii="仿宋" w:hAnsi="仿宋" w:eastAsia="仿宋"/>
          <w:sz w:val="32"/>
          <w:szCs w:val="32"/>
        </w:rPr>
      </w:pPr>
      <w:r>
        <w:rPr>
          <w:rFonts w:ascii="楷体" w:hAnsi="楷体" w:eastAsia="楷体"/>
          <w:b/>
          <w:bCs/>
          <w:sz w:val="32"/>
          <w:szCs w:val="32"/>
        </w:rPr>
        <w:t>2.强化运输源头监管。</w:t>
      </w:r>
      <w:r>
        <w:rPr>
          <w:rFonts w:ascii="仿宋" w:hAnsi="仿宋" w:eastAsia="仿宋"/>
          <w:sz w:val="32"/>
          <w:szCs w:val="32"/>
        </w:rPr>
        <w:t>确保车辆技术条件符合参运要求，从业人员具备上岗资格，严禁逾期未检验、逾期未报废的客运车辆以及驾驶证计满12分的营运驾驶人参加春运。督促客运场站严格执行“三不进站、六不出站”规定。汽车站要全面落实源头管理责任，严格执行安检制度，防止“三品”进站(场)。进一步完善应急预案，避免旅客滞留和安全事故。</w:t>
      </w:r>
    </w:p>
    <w:p>
      <w:pPr>
        <w:spacing w:line="600" w:lineRule="exact"/>
        <w:ind w:firstLine="643" w:firstLineChars="200"/>
        <w:rPr>
          <w:rFonts w:ascii="仿宋" w:hAnsi="仿宋" w:eastAsia="仿宋"/>
          <w:sz w:val="32"/>
          <w:szCs w:val="32"/>
        </w:rPr>
      </w:pPr>
      <w:r>
        <w:rPr>
          <w:rFonts w:ascii="楷体" w:hAnsi="楷体" w:eastAsia="楷体"/>
          <w:b/>
          <w:bCs/>
          <w:sz w:val="32"/>
          <w:szCs w:val="32"/>
        </w:rPr>
        <w:t>3.全面排查整治隐患。</w:t>
      </w:r>
      <w:r>
        <w:rPr>
          <w:rFonts w:ascii="仿宋" w:hAnsi="仿宋" w:eastAsia="仿宋"/>
          <w:sz w:val="32"/>
          <w:szCs w:val="32"/>
        </w:rPr>
        <w:t>结合《</w:t>
      </w:r>
      <w:r>
        <w:rPr>
          <w:rFonts w:hint="eastAsia" w:ascii="仿宋" w:hAnsi="仿宋" w:eastAsia="仿宋"/>
          <w:sz w:val="32"/>
          <w:szCs w:val="32"/>
        </w:rPr>
        <w:t>交通运输系统开展风险隐患大排查大整治“百日攻坚”集中行动实施方案</w:t>
      </w:r>
      <w:r>
        <w:rPr>
          <w:rFonts w:ascii="仿宋" w:hAnsi="仿宋" w:eastAsia="仿宋"/>
          <w:sz w:val="32"/>
          <w:szCs w:val="32"/>
        </w:rPr>
        <w:t>》有关要求，广泛采取明察暗访等方式，对投入春运的线路、场站设施、运输设备、从业人员、管理制度等开展春运安全检查。要将立查立改、边查边改和排查整改、执法查处、督查督办贯穿检查全过程，对查处的问题和隐患能够马上</w:t>
      </w:r>
      <w:r>
        <w:rPr>
          <w:rFonts w:hint="eastAsia" w:ascii="仿宋" w:hAnsi="仿宋" w:eastAsia="仿宋"/>
          <w:sz w:val="32"/>
          <w:szCs w:val="32"/>
        </w:rPr>
        <w:t>改正的要立改立纠、举一反三；不能立即改正的，要建立台账，逐级挂牌督办，严格整治措施，限期整改到位，依法依规执法处罚到位。对拒不整改或多次整改不到位的企业，情节严重的依法追究企业及相关人员责任。</w:t>
      </w:r>
    </w:p>
    <w:p>
      <w:pPr>
        <w:spacing w:line="600" w:lineRule="exact"/>
        <w:ind w:firstLine="643" w:firstLineChars="200"/>
        <w:rPr>
          <w:rFonts w:ascii="仿宋" w:hAnsi="仿宋" w:eastAsia="仿宋"/>
          <w:sz w:val="32"/>
          <w:szCs w:val="32"/>
        </w:rPr>
      </w:pPr>
      <w:r>
        <w:rPr>
          <w:rFonts w:ascii="楷体" w:hAnsi="楷体" w:eastAsia="楷体"/>
          <w:b/>
          <w:bCs/>
          <w:sz w:val="32"/>
          <w:szCs w:val="32"/>
        </w:rPr>
        <w:t>4.提升应急保障能力。</w:t>
      </w:r>
      <w:r>
        <w:rPr>
          <w:rFonts w:ascii="仿宋" w:hAnsi="仿宋" w:eastAsia="仿宋"/>
          <w:sz w:val="32"/>
          <w:szCs w:val="32"/>
        </w:rPr>
        <w:t>结合实际，要重点加强低温、雨雪、冰冻、大雾等恶劣天气的预警工作，主动与气象部门沟通，建立气象信息快速通报机制，提前做好防范工作。要与公安部门建立恶劣天气应急联合指挥机制和路警联动处置机制，共同协调做好恶劣天气道路交通应急管理工作。</w:t>
      </w:r>
    </w:p>
    <w:p>
      <w:pPr>
        <w:spacing w:line="600" w:lineRule="exact"/>
        <w:ind w:firstLine="643" w:firstLineChars="200"/>
        <w:rPr>
          <w:rFonts w:ascii="仿宋" w:hAnsi="仿宋" w:eastAsia="仿宋"/>
          <w:sz w:val="32"/>
          <w:szCs w:val="32"/>
        </w:rPr>
      </w:pPr>
      <w:r>
        <w:rPr>
          <w:rFonts w:ascii="楷体" w:hAnsi="楷体" w:eastAsia="楷体"/>
          <w:b/>
          <w:bCs/>
          <w:sz w:val="32"/>
          <w:szCs w:val="32"/>
        </w:rPr>
        <w:t>5.强化车辆动态监管。</w:t>
      </w:r>
      <w:r>
        <w:rPr>
          <w:rFonts w:ascii="仿宋" w:hAnsi="仿宋" w:eastAsia="仿宋"/>
          <w:sz w:val="32"/>
          <w:szCs w:val="32"/>
        </w:rPr>
        <w:t>督促道路运输企业加强“两客一危”重点营运车辆动态监控，及时提醒和纠正驾驶员交通违法违规行为。旅游包车企业要严格按照许可的经营范围和约定的线路规范运营。货运企业要严格落实实名登记查验及货物安全检查等制度，对托运人不如实登记身份或者拒绝验视的，坚决不予托运</w:t>
      </w:r>
      <w:r>
        <w:rPr>
          <w:rFonts w:hint="eastAsia" w:ascii="仿宋" w:hAnsi="仿宋" w:eastAsia="仿宋"/>
          <w:sz w:val="32"/>
          <w:szCs w:val="32"/>
        </w:rPr>
        <w:t>。</w:t>
      </w:r>
    </w:p>
    <w:p>
      <w:pPr>
        <w:spacing w:line="600" w:lineRule="exact"/>
        <w:ind w:firstLine="643" w:firstLineChars="200"/>
        <w:rPr>
          <w:rFonts w:ascii="楷体" w:hAnsi="楷体" w:eastAsia="楷体"/>
          <w:b/>
          <w:bCs/>
          <w:sz w:val="32"/>
          <w:szCs w:val="32"/>
        </w:rPr>
      </w:pPr>
      <w:r>
        <w:rPr>
          <w:rFonts w:hint="eastAsia" w:ascii="楷体" w:hAnsi="楷体" w:eastAsia="楷体"/>
          <w:b/>
          <w:bCs/>
          <w:sz w:val="32"/>
          <w:szCs w:val="32"/>
        </w:rPr>
        <w:t>6</w:t>
      </w:r>
      <w:r>
        <w:rPr>
          <w:rFonts w:ascii="楷体" w:hAnsi="楷体" w:eastAsia="楷体"/>
          <w:b/>
          <w:bCs/>
          <w:sz w:val="32"/>
          <w:szCs w:val="32"/>
        </w:rPr>
        <w:t>.</w:t>
      </w:r>
      <w:r>
        <w:rPr>
          <w:rFonts w:hint="eastAsia" w:ascii="楷体" w:hAnsi="楷体" w:eastAsia="楷体"/>
          <w:b/>
          <w:bCs/>
          <w:sz w:val="32"/>
          <w:szCs w:val="32"/>
        </w:rPr>
        <w:t xml:space="preserve"> 要坚持分区分级、精准防控，继续严格落实“一断三不断”的要求，严格落实“人、物、环境同防”、切断病毒输入通道，做好公路水路保通保畅保运保供。</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一是要指导城市公共汽电、交通运输企业，严格落实《客运场站和交通运输工程新冠肺炎疫情分区分级防控指南（第六版）》，严格落实乘客、客运场站服务人员、司乘人员佩戴口罩、测量体温、发热乘客留观移交等措施，严格执行场站、码头、交通工具清洁、消毒、通风和从业人员防护等要求。车站等大型公共场所要强化健康扫码、测体温、通风消毒等防控措施，提醒进入场所的人员戴口罩、保持安全距离。定期对公共设施设备特别是门把手、卫生间等开展预防性消毒。督促指导出租车、网约车等从业人员严格戴口罩、“一米线”社交距离等防控措施。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二是要指导各交通运输企业、工程建设项目有关单位结合当地疫情防控实际，科学合理组织施工，减少人员聚集，加强人员防护和健康监测。</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是假期出行需求增大，通过各种形式入境人员增加，疫情输入和传播风险加大，要坚决落实常态化疫情防控各项措施，进一步关心关爱一线工作人员，加强个人防护，做好健康宣传教育。要严格人员管理和中高风险区关联性排查，压实“四方责任”，加强人员健康监测和疫情响应，做好防疫物资储备，按照属地要求做好疫情防控，确保交通运输系统干部职工安全健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四是深入贯彻落实上级关于疫情防控决策部署，严格落实车辆运输装备消毒、场站管理等疫情防控等工作。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是督促指导各有关冷链物流运输企业等经营单位严格执行《公路、水路进口冷链食品物流新冠病毒防控和消毒技术指南》等要求，做好装卸、运输等环节防控和消毒，制定新冠肺炎疫情应急处置方案，及时处置和报告疫情情况，有效预防新冠病毒的传播。要加强从业人员防护，配备必要的个人防护、消毒用品和装备，进一步加强对冷链物流一线工作人员的个人防护，防止感染风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是要准确掌握冷链运输企业、车辆、人员信息，冷链物流企业要严格落实信息登记制度，形成闭环管理，切实防止新冠病毒通过冷链物流渠道传播，对进口冷链食品或包装物检出新冠病毒核酸阳性的，要积极配合做好涉事产品运输环节接触人员的排查和跟踪监测，发现情况及时有效处置。</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w:t>
      </w:r>
      <w:r>
        <w:rPr>
          <w:rFonts w:hint="eastAsia" w:ascii="仿宋" w:hAnsi="仿宋" w:eastAsia="仿宋"/>
          <w:b/>
          <w:bCs/>
          <w:sz w:val="32"/>
          <w:szCs w:val="32"/>
        </w:rPr>
        <w:t>四</w:t>
      </w:r>
      <w:r>
        <w:rPr>
          <w:rFonts w:ascii="仿宋" w:hAnsi="仿宋" w:eastAsia="仿宋"/>
          <w:b/>
          <w:bCs/>
          <w:sz w:val="32"/>
          <w:szCs w:val="32"/>
        </w:rPr>
        <w:t>)积极营造和谐氛围</w:t>
      </w:r>
    </w:p>
    <w:p>
      <w:pPr>
        <w:spacing w:line="600" w:lineRule="exact"/>
        <w:ind w:firstLine="643" w:firstLineChars="200"/>
        <w:rPr>
          <w:rFonts w:ascii="仿宋" w:hAnsi="仿宋" w:eastAsia="仿宋"/>
          <w:sz w:val="32"/>
          <w:szCs w:val="32"/>
        </w:rPr>
      </w:pPr>
      <w:r>
        <w:rPr>
          <w:rFonts w:ascii="楷体" w:hAnsi="楷体" w:eastAsia="楷体"/>
          <w:b/>
          <w:bCs/>
          <w:sz w:val="32"/>
          <w:szCs w:val="32"/>
        </w:rPr>
        <w:t>1.做好舆情监测处置工作。</w:t>
      </w:r>
      <w:r>
        <w:rPr>
          <w:rFonts w:ascii="仿宋" w:hAnsi="仿宋" w:eastAsia="仿宋"/>
          <w:sz w:val="32"/>
          <w:szCs w:val="32"/>
        </w:rPr>
        <w:t>要加强对春运舆情的监测分析，及时了解热点焦点问题，积极回应社会关切。要畅通服务监督投诉渠道，发挥12345服务热线畅通民意的作用，妥善处理各类举报投诉事件。</w:t>
      </w:r>
    </w:p>
    <w:p>
      <w:pPr>
        <w:spacing w:line="600" w:lineRule="exact"/>
        <w:ind w:firstLine="643" w:firstLineChars="200"/>
        <w:rPr>
          <w:rFonts w:ascii="仿宋" w:hAnsi="仿宋" w:eastAsia="仿宋"/>
          <w:sz w:val="32"/>
          <w:szCs w:val="32"/>
        </w:rPr>
      </w:pPr>
      <w:r>
        <w:rPr>
          <w:rFonts w:ascii="楷体" w:hAnsi="楷体" w:eastAsia="楷体"/>
          <w:b/>
          <w:bCs/>
          <w:sz w:val="32"/>
          <w:szCs w:val="32"/>
        </w:rPr>
        <w:t>2.提升宣传效果。</w:t>
      </w:r>
      <w:r>
        <w:rPr>
          <w:rFonts w:ascii="仿宋" w:hAnsi="仿宋" w:eastAsia="仿宋"/>
          <w:sz w:val="32"/>
          <w:szCs w:val="32"/>
        </w:rPr>
        <w:t>要以交通服务设施和窗口单位为载体，持续深入开展形式多样的专题宣传，张贴宣传海报，综合发挥广播、电视、报纸等传统媒体和门户网站、“两微一端”等新媒体作用，积极宣传报道正面典型和有特色的春运人和事，曝光联合惩戒的典型案例。</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w:t>
      </w:r>
      <w:r>
        <w:rPr>
          <w:rFonts w:hint="eastAsia" w:ascii="仿宋" w:hAnsi="仿宋" w:eastAsia="仿宋"/>
          <w:b/>
          <w:bCs/>
          <w:sz w:val="32"/>
          <w:szCs w:val="32"/>
        </w:rPr>
        <w:t>五</w:t>
      </w:r>
      <w:r>
        <w:rPr>
          <w:rFonts w:ascii="仿宋" w:hAnsi="仿宋" w:eastAsia="仿宋"/>
          <w:b/>
          <w:bCs/>
          <w:sz w:val="32"/>
          <w:szCs w:val="32"/>
        </w:rPr>
        <w:t>)强化值守，做好信息总结报送</w:t>
      </w:r>
    </w:p>
    <w:p>
      <w:pPr>
        <w:spacing w:line="600" w:lineRule="exact"/>
        <w:ind w:firstLine="643" w:firstLineChars="200"/>
        <w:rPr>
          <w:rFonts w:ascii="仿宋" w:hAnsi="仿宋" w:eastAsia="仿宋"/>
          <w:sz w:val="32"/>
          <w:szCs w:val="32"/>
        </w:rPr>
      </w:pPr>
      <w:r>
        <w:rPr>
          <w:rFonts w:ascii="楷体" w:hAnsi="楷体" w:eastAsia="楷体"/>
          <w:b/>
          <w:bCs/>
          <w:sz w:val="32"/>
          <w:szCs w:val="32"/>
        </w:rPr>
        <w:t>1.加强信息报送。</w:t>
      </w:r>
      <w:r>
        <w:rPr>
          <w:rFonts w:ascii="仿宋" w:hAnsi="仿宋" w:eastAsia="仿宋"/>
          <w:sz w:val="32"/>
          <w:szCs w:val="32"/>
        </w:rPr>
        <w:t>各有关</w:t>
      </w:r>
      <w:r>
        <w:rPr>
          <w:rFonts w:hint="eastAsia" w:ascii="仿宋" w:hAnsi="仿宋" w:eastAsia="仿宋"/>
          <w:sz w:val="32"/>
          <w:szCs w:val="32"/>
        </w:rPr>
        <w:t>股室</w:t>
      </w:r>
      <w:r>
        <w:rPr>
          <w:rFonts w:ascii="仿宋" w:hAnsi="仿宋" w:eastAsia="仿宋"/>
          <w:sz w:val="32"/>
          <w:szCs w:val="32"/>
        </w:rPr>
        <w:t>要高度重视春运信息报送工作，明确专人负责，加强信息收集与数据分析应用，编制春运简报，将典型事迹及好的经验做法及时上报局</w:t>
      </w:r>
      <w:r>
        <w:rPr>
          <w:rFonts w:hint="eastAsia" w:ascii="仿宋" w:hAnsi="仿宋" w:eastAsia="仿宋"/>
          <w:sz w:val="32"/>
          <w:szCs w:val="32"/>
        </w:rPr>
        <w:t>领导组</w:t>
      </w:r>
      <w:r>
        <w:rPr>
          <w:rFonts w:ascii="仿宋" w:hAnsi="仿宋" w:eastAsia="仿宋"/>
          <w:sz w:val="32"/>
          <w:szCs w:val="32"/>
        </w:rPr>
        <w:t>。遇有涉及春运重要舆情，要第一时间上报，并妥善处理。春运结束后，要对春运工作进行全面总结，形成工作报告，并于2022年2月</w:t>
      </w:r>
      <w:r>
        <w:rPr>
          <w:rFonts w:hint="eastAsia" w:ascii="仿宋" w:hAnsi="仿宋" w:eastAsia="仿宋"/>
          <w:sz w:val="32"/>
          <w:szCs w:val="32"/>
        </w:rPr>
        <w:t>2</w:t>
      </w:r>
      <w:r>
        <w:rPr>
          <w:rFonts w:hint="eastAsia" w:ascii="仿宋" w:hAnsi="仿宋" w:eastAsia="仿宋"/>
          <w:sz w:val="32"/>
          <w:szCs w:val="32"/>
          <w:lang w:val="en-US" w:eastAsia="zh-CN"/>
        </w:rPr>
        <w:t>8</w:t>
      </w:r>
      <w:bookmarkStart w:id="1" w:name="_GoBack"/>
      <w:bookmarkEnd w:id="1"/>
      <w:r>
        <w:rPr>
          <w:rFonts w:ascii="仿宋" w:hAnsi="仿宋" w:eastAsia="仿宋"/>
          <w:sz w:val="32"/>
          <w:szCs w:val="32"/>
        </w:rPr>
        <w:t>日前报</w:t>
      </w:r>
      <w:r>
        <w:rPr>
          <w:rFonts w:hint="eastAsia" w:ascii="仿宋" w:hAnsi="仿宋" w:eastAsia="仿宋"/>
          <w:sz w:val="32"/>
          <w:szCs w:val="32"/>
        </w:rPr>
        <w:t>领导组</w:t>
      </w:r>
      <w:r>
        <w:rPr>
          <w:rFonts w:ascii="仿宋" w:hAnsi="仿宋" w:eastAsia="仿宋"/>
          <w:sz w:val="32"/>
          <w:szCs w:val="32"/>
        </w:rPr>
        <w:t>办公室，电话(传真)：</w:t>
      </w:r>
      <w:r>
        <w:rPr>
          <w:rFonts w:hint="eastAsia" w:ascii="仿宋" w:hAnsi="仿宋" w:eastAsia="仿宋"/>
          <w:sz w:val="32"/>
          <w:szCs w:val="32"/>
        </w:rPr>
        <w:t>0</w:t>
      </w:r>
      <w:r>
        <w:rPr>
          <w:rFonts w:ascii="仿宋" w:hAnsi="仿宋" w:eastAsia="仿宋"/>
          <w:sz w:val="32"/>
          <w:szCs w:val="32"/>
        </w:rPr>
        <w:t>358</w:t>
      </w:r>
      <w:r>
        <w:rPr>
          <w:rFonts w:hint="eastAsia" w:ascii="仿宋" w:hAnsi="仿宋" w:eastAsia="仿宋"/>
          <w:sz w:val="32"/>
          <w:szCs w:val="32"/>
        </w:rPr>
        <w:t>—</w:t>
      </w:r>
      <w:r>
        <w:rPr>
          <w:rFonts w:ascii="仿宋" w:hAnsi="仿宋" w:eastAsia="仿宋"/>
          <w:sz w:val="32"/>
          <w:szCs w:val="32"/>
        </w:rPr>
        <w:t>6322138。</w:t>
      </w:r>
    </w:p>
    <w:p>
      <w:pPr>
        <w:spacing w:line="600" w:lineRule="exact"/>
        <w:ind w:firstLine="643" w:firstLineChars="200"/>
        <w:rPr>
          <w:rFonts w:ascii="仿宋" w:hAnsi="仿宋" w:eastAsia="仿宋"/>
          <w:sz w:val="32"/>
          <w:szCs w:val="32"/>
        </w:rPr>
      </w:pPr>
      <w:r>
        <w:rPr>
          <w:rFonts w:ascii="楷体" w:hAnsi="楷体" w:eastAsia="楷体"/>
          <w:b/>
          <w:bCs/>
          <w:sz w:val="32"/>
          <w:szCs w:val="32"/>
        </w:rPr>
        <w:t>2.加强值班值守。</w:t>
      </w:r>
      <w:r>
        <w:rPr>
          <w:rFonts w:ascii="仿宋" w:hAnsi="仿宋" w:eastAsia="仿宋"/>
          <w:sz w:val="32"/>
          <w:szCs w:val="32"/>
        </w:rPr>
        <w:t>各</w:t>
      </w:r>
      <w:r>
        <w:rPr>
          <w:rFonts w:hint="eastAsia" w:ascii="仿宋" w:hAnsi="仿宋" w:eastAsia="仿宋"/>
          <w:sz w:val="32"/>
          <w:szCs w:val="32"/>
        </w:rPr>
        <w:t>相关股室</w:t>
      </w:r>
      <w:r>
        <w:rPr>
          <w:rFonts w:ascii="仿宋" w:hAnsi="仿宋" w:eastAsia="仿宋"/>
          <w:sz w:val="32"/>
          <w:szCs w:val="32"/>
        </w:rPr>
        <w:t>要严格落实24小时到岗值班制度和领导带班制度，建立健全联络指挥体系，畅通联络渠道。</w:t>
      </w: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hint="eastAsia" w:ascii="仿宋" w:hAnsi="仿宋" w:eastAsia="仿宋"/>
          <w:b/>
          <w:sz w:val="32"/>
          <w:szCs w:val="32"/>
        </w:rPr>
      </w:pPr>
    </w:p>
    <w:p>
      <w:pPr>
        <w:tabs>
          <w:tab w:val="left" w:pos="1311"/>
        </w:tabs>
        <w:jc w:val="left"/>
        <w:rPr>
          <w:rFonts w:ascii="仿宋_GB2312" w:hAnsi="仿宋_GB2312" w:eastAsia="仿宋_GB2312" w:cs="仿宋_GB2312"/>
          <w:sz w:val="32"/>
          <w:szCs w:val="32"/>
        </w:rPr>
      </w:pPr>
      <w:r>
        <w:rPr>
          <w:rFonts w:hint="eastAsia" w:ascii="仿宋_GB2312" w:hAnsi="仿宋_GB2312" w:eastAsia="仿宋_GB2312" w:cs="仿宋_GB2312"/>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395605</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15pt;height:0pt;width:441pt;z-index:251660288;mso-width-relative:page;mso-height-relative:page;" filled="f" stroked="t" coordsize="21600,21600" o:gfxdata="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k&#10;oeYB0wAAAAYBAAAPAAAAAAAAAAEAIAAAACIAAABkcnMvZG93bnJldi54bWxQSwECFAAUAAAACACH&#10;TuJAftSJNfABAADmAwAADgAAAAAAAAABACAAAAAiAQAAZHJzL2Uyb0RvYy54bWxQSwUGAAAAAAYA&#10;BgBZAQAAhA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val="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41pt;z-index:251659264;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ueu&#10;otAAAAACAQAADwAAAAAAAAABACAAAAAiAAAAZHJzL2Rvd25yZXYueG1sUEsBAhQAFAAAAAgAh07i&#10;QHc/i/3xAQAA5gMAAA4AAAAAAAAAAQAgAAAAHwEAAGRycy9lMm9Eb2MueG1sUEsFBgAAAAAGAAYA&#10;WQEAAII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  兴县交通运输局办公室                20</w:t>
      </w:r>
      <w:r>
        <w:rPr>
          <w:rFonts w:ascii="仿宋_GB2312" w:hAnsi="仿宋_GB2312" w:eastAsia="仿宋_GB2312" w:cs="仿宋_GB2312"/>
          <w:sz w:val="28"/>
          <w:szCs w:val="28"/>
        </w:rPr>
        <w:t>22</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14</w:t>
      </w:r>
      <w:r>
        <w:rPr>
          <w:rFonts w:hint="eastAsia" w:ascii="仿宋_GB2312" w:hAnsi="仿宋_GB2312" w:eastAsia="仿宋_GB2312" w:cs="仿宋_GB2312"/>
          <w:sz w:val="28"/>
          <w:szCs w:val="28"/>
        </w:rPr>
        <w:t xml:space="preserve">日印发   </w:t>
      </w:r>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908586"/>
      <w:docPartObj>
        <w:docPartGallery w:val="AutoText"/>
      </w:docPartObj>
    </w:sdtPr>
    <w:sdtEndPr>
      <w:rPr>
        <w:rFonts w:ascii="仿宋" w:hAnsi="仿宋" w:eastAsia="仿宋"/>
        <w:sz w:val="28"/>
        <w:szCs w:val="28"/>
      </w:rPr>
    </w:sdtEndPr>
    <w:sdtContent>
      <w:p>
        <w:pPr>
          <w:pStyle w:val="4"/>
          <w:jc w:val="right"/>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w:t>
        </w:r>
        <w:r>
          <w:rPr>
            <w:rFonts w:ascii="仿宋" w:hAnsi="仿宋" w:eastAsia="仿宋"/>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3056794"/>
      <w:docPartObj>
        <w:docPartGallery w:val="AutoText"/>
      </w:docPartObj>
    </w:sdtPr>
    <w:sdtContent>
      <w:p>
        <w:pPr>
          <w:pStyle w:val="4"/>
          <w:ind w:right="720"/>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w:t>
        </w:r>
        <w:r>
          <w:rPr>
            <w:rFonts w:ascii="仿宋" w:hAnsi="仿宋" w:eastAsia="仿宋"/>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OTc3MGU5YTM3ODY3ZTc3YTlkM2UyYTQzNDViMWUifQ=="/>
  </w:docVars>
  <w:rsids>
    <w:rsidRoot w:val="68ED0B71"/>
    <w:rsid w:val="0000779B"/>
    <w:rsid w:val="000655B3"/>
    <w:rsid w:val="000835D5"/>
    <w:rsid w:val="000931CF"/>
    <w:rsid w:val="000B0AA5"/>
    <w:rsid w:val="000C6F93"/>
    <w:rsid w:val="000D4A78"/>
    <w:rsid w:val="000D59EA"/>
    <w:rsid w:val="000F1E8C"/>
    <w:rsid w:val="001065A7"/>
    <w:rsid w:val="00130F08"/>
    <w:rsid w:val="00137191"/>
    <w:rsid w:val="00150F83"/>
    <w:rsid w:val="00174FD9"/>
    <w:rsid w:val="00194080"/>
    <w:rsid w:val="001A5FFD"/>
    <w:rsid w:val="001B232E"/>
    <w:rsid w:val="001B618D"/>
    <w:rsid w:val="001C3644"/>
    <w:rsid w:val="00225257"/>
    <w:rsid w:val="002347D4"/>
    <w:rsid w:val="002448E1"/>
    <w:rsid w:val="002637B4"/>
    <w:rsid w:val="00276C7A"/>
    <w:rsid w:val="00281C4A"/>
    <w:rsid w:val="00285BFF"/>
    <w:rsid w:val="002C081C"/>
    <w:rsid w:val="002C4D0B"/>
    <w:rsid w:val="002C6B4D"/>
    <w:rsid w:val="002D10A8"/>
    <w:rsid w:val="00325C5B"/>
    <w:rsid w:val="00347D0E"/>
    <w:rsid w:val="003503EA"/>
    <w:rsid w:val="00350F00"/>
    <w:rsid w:val="00356D1F"/>
    <w:rsid w:val="00357E2B"/>
    <w:rsid w:val="003968A2"/>
    <w:rsid w:val="003A24F4"/>
    <w:rsid w:val="003B7C37"/>
    <w:rsid w:val="003E121C"/>
    <w:rsid w:val="00400902"/>
    <w:rsid w:val="00401A78"/>
    <w:rsid w:val="00413871"/>
    <w:rsid w:val="0041558A"/>
    <w:rsid w:val="004468D1"/>
    <w:rsid w:val="0047037F"/>
    <w:rsid w:val="0048668B"/>
    <w:rsid w:val="004935F1"/>
    <w:rsid w:val="00493E8F"/>
    <w:rsid w:val="004A0851"/>
    <w:rsid w:val="004B6C5F"/>
    <w:rsid w:val="004E23EA"/>
    <w:rsid w:val="00500803"/>
    <w:rsid w:val="005129BE"/>
    <w:rsid w:val="005221E6"/>
    <w:rsid w:val="0052227B"/>
    <w:rsid w:val="0053584C"/>
    <w:rsid w:val="00542670"/>
    <w:rsid w:val="0054713A"/>
    <w:rsid w:val="00547FE6"/>
    <w:rsid w:val="00565A60"/>
    <w:rsid w:val="00566215"/>
    <w:rsid w:val="005920E7"/>
    <w:rsid w:val="005920EF"/>
    <w:rsid w:val="0059291D"/>
    <w:rsid w:val="005A194F"/>
    <w:rsid w:val="005B76ED"/>
    <w:rsid w:val="005D2694"/>
    <w:rsid w:val="005F5513"/>
    <w:rsid w:val="00615F89"/>
    <w:rsid w:val="00625F37"/>
    <w:rsid w:val="00634E4A"/>
    <w:rsid w:val="006436F9"/>
    <w:rsid w:val="006734DB"/>
    <w:rsid w:val="006751D4"/>
    <w:rsid w:val="006A37DA"/>
    <w:rsid w:val="006B3DCA"/>
    <w:rsid w:val="006B55C3"/>
    <w:rsid w:val="006C146D"/>
    <w:rsid w:val="006E1CC9"/>
    <w:rsid w:val="0070333D"/>
    <w:rsid w:val="00720ADD"/>
    <w:rsid w:val="00766DBA"/>
    <w:rsid w:val="00777C99"/>
    <w:rsid w:val="00797FBC"/>
    <w:rsid w:val="007B7264"/>
    <w:rsid w:val="007C0C1C"/>
    <w:rsid w:val="007C1850"/>
    <w:rsid w:val="007D179F"/>
    <w:rsid w:val="007D3A67"/>
    <w:rsid w:val="007F5A54"/>
    <w:rsid w:val="00826FFD"/>
    <w:rsid w:val="00834C12"/>
    <w:rsid w:val="00873A8C"/>
    <w:rsid w:val="008B6423"/>
    <w:rsid w:val="008C3092"/>
    <w:rsid w:val="008C7A16"/>
    <w:rsid w:val="008E1D64"/>
    <w:rsid w:val="008E38C1"/>
    <w:rsid w:val="00913262"/>
    <w:rsid w:val="0091436E"/>
    <w:rsid w:val="00916DD6"/>
    <w:rsid w:val="00916E05"/>
    <w:rsid w:val="00937FDA"/>
    <w:rsid w:val="009A20A7"/>
    <w:rsid w:val="009A4442"/>
    <w:rsid w:val="009A6ED4"/>
    <w:rsid w:val="009D3FE7"/>
    <w:rsid w:val="009E33C4"/>
    <w:rsid w:val="009E34E1"/>
    <w:rsid w:val="009F74CA"/>
    <w:rsid w:val="00A04059"/>
    <w:rsid w:val="00A2487D"/>
    <w:rsid w:val="00A24CBE"/>
    <w:rsid w:val="00A31DA7"/>
    <w:rsid w:val="00A372E7"/>
    <w:rsid w:val="00A53019"/>
    <w:rsid w:val="00A542CC"/>
    <w:rsid w:val="00AD02AF"/>
    <w:rsid w:val="00B1508F"/>
    <w:rsid w:val="00B222C6"/>
    <w:rsid w:val="00B31143"/>
    <w:rsid w:val="00B41B5D"/>
    <w:rsid w:val="00BB2683"/>
    <w:rsid w:val="00BB38FD"/>
    <w:rsid w:val="00BC657E"/>
    <w:rsid w:val="00BE4272"/>
    <w:rsid w:val="00BF5C9E"/>
    <w:rsid w:val="00C51192"/>
    <w:rsid w:val="00C54979"/>
    <w:rsid w:val="00C63C8E"/>
    <w:rsid w:val="00C76633"/>
    <w:rsid w:val="00C909E3"/>
    <w:rsid w:val="00C9347B"/>
    <w:rsid w:val="00CB5099"/>
    <w:rsid w:val="00CC296B"/>
    <w:rsid w:val="00CE4E0E"/>
    <w:rsid w:val="00CE751A"/>
    <w:rsid w:val="00D04A2A"/>
    <w:rsid w:val="00D2694C"/>
    <w:rsid w:val="00D57D85"/>
    <w:rsid w:val="00D62841"/>
    <w:rsid w:val="00D71EDA"/>
    <w:rsid w:val="00D72294"/>
    <w:rsid w:val="00DA1872"/>
    <w:rsid w:val="00DA3B10"/>
    <w:rsid w:val="00DA6A78"/>
    <w:rsid w:val="00DD7BA8"/>
    <w:rsid w:val="00E24C25"/>
    <w:rsid w:val="00E44559"/>
    <w:rsid w:val="00E605D1"/>
    <w:rsid w:val="00E91B5F"/>
    <w:rsid w:val="00E9201D"/>
    <w:rsid w:val="00E95941"/>
    <w:rsid w:val="00EA7795"/>
    <w:rsid w:val="00EC297C"/>
    <w:rsid w:val="00ED6C89"/>
    <w:rsid w:val="00EE616F"/>
    <w:rsid w:val="00EF4918"/>
    <w:rsid w:val="00EF4FE6"/>
    <w:rsid w:val="00F15F16"/>
    <w:rsid w:val="00F22748"/>
    <w:rsid w:val="00F2749C"/>
    <w:rsid w:val="00F36D59"/>
    <w:rsid w:val="00F42BAC"/>
    <w:rsid w:val="00F62CDE"/>
    <w:rsid w:val="00F83A39"/>
    <w:rsid w:val="00FA0506"/>
    <w:rsid w:val="00FA619E"/>
    <w:rsid w:val="00FC3E75"/>
    <w:rsid w:val="00FD11B2"/>
    <w:rsid w:val="00FD1E0F"/>
    <w:rsid w:val="06D8025D"/>
    <w:rsid w:val="2A0F50E3"/>
    <w:rsid w:val="345C5900"/>
    <w:rsid w:val="3AFB2284"/>
    <w:rsid w:val="40313F0B"/>
    <w:rsid w:val="43AB0E14"/>
    <w:rsid w:val="4BFB28B8"/>
    <w:rsid w:val="4E846B54"/>
    <w:rsid w:val="53F551D0"/>
    <w:rsid w:val="58F76952"/>
    <w:rsid w:val="5CB14606"/>
    <w:rsid w:val="5EF47259"/>
    <w:rsid w:val="651C25F1"/>
    <w:rsid w:val="68ED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uiPriority w:val="0"/>
    <w:pPr>
      <w:ind w:left="100" w:leftChars="2500"/>
    </w:pPr>
  </w:style>
  <w:style w:type="paragraph" w:styleId="3">
    <w:name w:val="Balloon Text"/>
    <w:basedOn w:val="1"/>
    <w:link w:val="10"/>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0"/>
    <w:rPr>
      <w:rFonts w:eastAsia="宋体"/>
      <w:kern w:val="2"/>
      <w:sz w:val="18"/>
      <w:szCs w:val="18"/>
    </w:rPr>
  </w:style>
  <w:style w:type="character" w:customStyle="1" w:styleId="9">
    <w:name w:val="页脚 字符"/>
    <w:basedOn w:val="7"/>
    <w:link w:val="4"/>
    <w:uiPriority w:val="99"/>
    <w:rPr>
      <w:rFonts w:eastAsia="宋体"/>
      <w:kern w:val="2"/>
      <w:sz w:val="18"/>
      <w:szCs w:val="18"/>
    </w:rPr>
  </w:style>
  <w:style w:type="character" w:customStyle="1" w:styleId="10">
    <w:name w:val="批注框文本 字符"/>
    <w:basedOn w:val="7"/>
    <w:link w:val="3"/>
    <w:uiPriority w:val="0"/>
    <w:rPr>
      <w:rFonts w:eastAsia="宋体"/>
      <w:kern w:val="2"/>
      <w:sz w:val="18"/>
      <w:szCs w:val="18"/>
    </w:rPr>
  </w:style>
  <w:style w:type="character" w:customStyle="1" w:styleId="11">
    <w:name w:val="日期 字符"/>
    <w:basedOn w:val="7"/>
    <w:link w:val="2"/>
    <w:uiPriority w:val="0"/>
    <w:rPr>
      <w:rFonts w:eastAsia="宋体"/>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3862</Words>
  <Characters>3941</Characters>
  <Lines>28</Lines>
  <Paragraphs>8</Paragraphs>
  <TotalTime>203</TotalTime>
  <ScaleCrop>false</ScaleCrop>
  <LinksUpToDate>false</LinksUpToDate>
  <CharactersWithSpaces>3971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2017-11-07T03:28:00Z</dcterms:created>
  <dc:creator>18635887753</dc:creator>
  <cp:lastModifiedBy></cp:lastModifiedBy>
  <cp:lastPrinted>2021-01-18T09:28:00Z</cp:lastPrinted>
  <dcterms:modified xsi:type="dcterms:W3CDTF">2022-11-18T03:08:35Z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4287AB7573714786AA87708721CA742F</vt:lpwstr>
  </property>
</Properties>
</file>