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sz w:val="44"/>
          <w:szCs w:val="44"/>
          <w:lang w:eastAsia="zh-CN"/>
        </w:rPr>
      </w:pPr>
      <w:bookmarkStart w:id="0" w:name="content"/>
      <w:bookmarkEnd w:id="0"/>
      <w:bookmarkStart w:id="1" w:name="send_to"/>
      <w:bookmarkEnd w:id="1"/>
      <w:bookmarkStart w:id="2" w:name="subject"/>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兴应急发〔2022〕1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号</w:t>
      </w: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兴县</w:t>
      </w:r>
      <w:r>
        <w:rPr>
          <w:rFonts w:hint="eastAsia" w:asciiTheme="majorEastAsia" w:hAnsiTheme="majorEastAsia" w:eastAsiaTheme="majorEastAsia" w:cstheme="majorEastAsia"/>
          <w:b/>
          <w:bCs/>
          <w:sz w:val="44"/>
          <w:szCs w:val="44"/>
          <w:lang w:eastAsia="zh-CN"/>
        </w:rPr>
        <w:t>应急管理局</w:t>
      </w: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关于深入开展冶金工贸行业</w:t>
      </w:r>
    </w:p>
    <w:p>
      <w:pPr>
        <w:keepNext w:val="0"/>
        <w:keepLines w:val="0"/>
        <w:pageBreakBefore w:val="0"/>
        <w:widowControl w:val="0"/>
        <w:kinsoku/>
        <w:wordWrap/>
        <w:overflowPunct/>
        <w:topLinePunct w:val="0"/>
        <w:autoSpaceDE/>
        <w:autoSpaceDN/>
        <w:bidi w:val="0"/>
        <w:adjustRightInd/>
        <w:snapToGrid/>
        <w:spacing w:line="580" w:lineRule="exact"/>
        <w:ind w:firstLine="430" w:firstLineChars="100"/>
        <w:jc w:val="both"/>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安全生产大检查大整治大提升行动的通知</w:t>
      </w:r>
      <w:bookmarkEnd w:id="2"/>
    </w:p>
    <w:p>
      <w:pPr>
        <w:keepNext w:val="0"/>
        <w:keepLines w:val="0"/>
        <w:pageBreakBefore w:val="0"/>
        <w:widowControl w:val="0"/>
        <w:kinsoku/>
        <w:wordWrap/>
        <w:overflowPunct/>
        <w:topLinePunct w:val="0"/>
        <w:autoSpaceDE/>
        <w:autoSpaceDN/>
        <w:bidi w:val="0"/>
        <w:adjustRightInd/>
        <w:snapToGrid/>
        <w:spacing w:line="580" w:lineRule="exact"/>
        <w:ind w:firstLine="428" w:firstLineChars="100"/>
        <w:jc w:val="both"/>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color w:val="000000" w:themeColor="text1"/>
          <w:sz w:val="32"/>
          <w:szCs w:val="32"/>
          <w:lang w:bidi="ar-SA"/>
          <w14:textFill>
            <w14:solidFill>
              <w14:schemeClr w14:val="tx1"/>
            </w14:solidFill>
          </w14:textFill>
        </w:rPr>
      </w:pPr>
      <w:r>
        <w:rPr>
          <w:rFonts w:hint="eastAsia" w:ascii="仿宋_GB2312" w:hAnsi="仿宋_GB2312" w:eastAsia="仿宋_GB2312" w:cs="仿宋_GB2312"/>
          <w:b w:val="0"/>
          <w:color w:val="000000" w:themeColor="text1"/>
          <w:sz w:val="32"/>
          <w:szCs w:val="32"/>
          <w:shd w:val="clear" w:color="auto" w:fill="FFFFFF"/>
          <w:lang w:bidi="ar-SA"/>
          <w14:textFill>
            <w14:solidFill>
              <w14:schemeClr w14:val="tx1"/>
            </w14:solidFill>
          </w14:textFill>
        </w:rPr>
        <w:t>各</w:t>
      </w:r>
      <w:r>
        <w:rPr>
          <w:rFonts w:hint="eastAsia" w:ascii="仿宋_GB2312" w:hAnsi="仿宋_GB2312" w:cs="仿宋_GB2312"/>
          <w:b w:val="0"/>
          <w:color w:val="000000" w:themeColor="text1"/>
          <w:sz w:val="32"/>
          <w:szCs w:val="32"/>
          <w:shd w:val="clear" w:color="auto" w:fill="FFFFFF"/>
          <w:lang w:val="en-US" w:eastAsia="zh-CN" w:bidi="ar-SA"/>
          <w14:textFill>
            <w14:solidFill>
              <w14:schemeClr w14:val="tx1"/>
            </w14:solidFill>
          </w14:textFill>
        </w:rPr>
        <w:t>有关</w:t>
      </w:r>
      <w:r>
        <w:rPr>
          <w:rFonts w:hint="eastAsia" w:ascii="仿宋_GB2312" w:hAnsi="仿宋_GB2312" w:eastAsia="仿宋_GB2312" w:cs="仿宋_GB2312"/>
          <w:b w:val="0"/>
          <w:color w:val="000000" w:themeColor="text1"/>
          <w:sz w:val="32"/>
          <w:szCs w:val="32"/>
          <w:shd w:val="clear" w:color="auto" w:fill="FFFFFF"/>
          <w:lang w:bidi="ar-SA"/>
          <w14:textFill>
            <w14:solidFill>
              <w14:schemeClr w14:val="tx1"/>
            </w14:solidFill>
          </w14:textFill>
        </w:rPr>
        <w:t>企业：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根据市政府安委会《</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吕梁市安全生产大检查大整治大提升行动实施方案》</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（吕安发</w:t>
      </w:r>
      <w:r>
        <w:rPr>
          <w:rFonts w:hint="eastAsia" w:ascii="仿宋_GB2312" w:hAnsi="仿宋_GB2312" w:eastAsia="仿宋_GB2312" w:cs="仿宋_GB2312"/>
          <w:color w:val="000000" w:themeColor="text1"/>
          <w:kern w:val="0"/>
          <w:sz w:val="32"/>
          <w:szCs w:val="32"/>
          <w:shd w:val="clear" w:color="auto" w:fill="FFFFFF"/>
          <w:lang w:eastAsia="zh-CN" w:bidi="ar-SA"/>
          <w14:textFill>
            <w14:solidFill>
              <w14:schemeClr w14:val="tx1"/>
            </w14:solidFill>
          </w14:textFill>
        </w:rPr>
        <w:t>〔</w:t>
      </w:r>
      <w:r>
        <w:rPr>
          <w:rFonts w:hint="eastAsia" w:ascii="仿宋_GB2312" w:hAnsi="仿宋_GB2312" w:cs="仿宋_GB2312"/>
          <w:color w:val="000000" w:themeColor="text1"/>
          <w:kern w:val="0"/>
          <w:sz w:val="32"/>
          <w:szCs w:val="32"/>
          <w:shd w:val="clear" w:color="auto" w:fill="FFFFFF"/>
          <w:lang w:val="en-US" w:eastAsia="zh-CN" w:bidi="ar-SA"/>
          <w14:textFill>
            <w14:solidFill>
              <w14:schemeClr w14:val="tx1"/>
            </w14:solidFill>
          </w14:textFill>
        </w:rPr>
        <w:t>2022</w:t>
      </w:r>
      <w:r>
        <w:rPr>
          <w:rFonts w:hint="eastAsia" w:ascii="仿宋_GB2312" w:hAnsi="仿宋_GB2312" w:eastAsia="仿宋_GB2312" w:cs="仿宋_GB2312"/>
          <w:color w:val="000000" w:themeColor="text1"/>
          <w:kern w:val="0"/>
          <w:sz w:val="32"/>
          <w:szCs w:val="32"/>
          <w:shd w:val="clear" w:color="auto" w:fill="FFFFFF"/>
          <w:lang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7号）</w:t>
      </w:r>
      <w:r>
        <w:rPr>
          <w:rFonts w:hint="eastAsia" w:ascii="仿宋_GB2312" w:hAnsi="仿宋_GB2312" w:cs="仿宋_GB2312"/>
          <w:color w:val="000000" w:themeColor="text1"/>
          <w:kern w:val="0"/>
          <w:sz w:val="32"/>
          <w:szCs w:val="32"/>
          <w:shd w:val="clear" w:color="auto" w:fill="FFFFFF"/>
          <w:lang w:eastAsia="zh-CN" w:bidi="ar-SA"/>
          <w14:textFill>
            <w14:solidFill>
              <w14:schemeClr w14:val="tx1"/>
            </w14:solidFill>
          </w14:textFill>
        </w:rPr>
        <w:t>、</w:t>
      </w:r>
      <w:r>
        <w:rPr>
          <w:rFonts w:hint="eastAsia" w:ascii="仿宋_GB2312" w:hAnsi="仿宋_GB2312" w:cs="仿宋_GB2312"/>
          <w:color w:val="000000" w:themeColor="text1"/>
          <w:kern w:val="0"/>
          <w:sz w:val="32"/>
          <w:szCs w:val="32"/>
          <w:shd w:val="clear" w:color="auto" w:fill="FFFFFF"/>
          <w:lang w:val="en-US" w:eastAsia="zh-CN" w:bidi="ar-SA"/>
          <w14:textFill>
            <w14:solidFill>
              <w14:schemeClr w14:val="tx1"/>
            </w14:solidFill>
          </w14:textFill>
        </w:rPr>
        <w:t>县</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政府安委会《</w:t>
      </w:r>
      <w:r>
        <w:rPr>
          <w:rFonts w:hint="eastAsia" w:ascii="仿宋_GB2312" w:hAnsi="仿宋_GB2312" w:cs="仿宋_GB2312"/>
          <w:color w:val="000000" w:themeColor="text1"/>
          <w:sz w:val="32"/>
          <w:szCs w:val="32"/>
          <w:lang w:val="en-US" w:eastAsia="zh-CN" w:bidi="ar-SA"/>
          <w14:textFill>
            <w14:solidFill>
              <w14:schemeClr w14:val="tx1"/>
            </w14:solidFill>
          </w14:textFill>
        </w:rPr>
        <w:t>兴县</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安全生产大检查大整治大提升行动实施方案》</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w:t>
      </w:r>
      <w:r>
        <w:rPr>
          <w:rFonts w:hint="eastAsia" w:ascii="仿宋_GB2312" w:hAnsi="仿宋_GB2312" w:cs="仿宋_GB2312"/>
          <w:color w:val="000000" w:themeColor="text1"/>
          <w:kern w:val="0"/>
          <w:sz w:val="32"/>
          <w:szCs w:val="32"/>
          <w:shd w:val="clear" w:color="auto" w:fill="FFFFFF"/>
          <w:lang w:val="en-US" w:eastAsia="zh-CN" w:bidi="ar-SA"/>
          <w14:textFill>
            <w14:solidFill>
              <w14:schemeClr w14:val="tx1"/>
            </w14:solidFill>
          </w14:textFill>
        </w:rPr>
        <w:t>兴</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安发</w:t>
      </w:r>
      <w:r>
        <w:rPr>
          <w:rFonts w:hint="eastAsia" w:ascii="仿宋_GB2312" w:hAnsi="仿宋_GB2312" w:eastAsia="仿宋_GB2312" w:cs="仿宋_GB2312"/>
          <w:color w:val="000000" w:themeColor="text1"/>
          <w:kern w:val="0"/>
          <w:sz w:val="32"/>
          <w:szCs w:val="32"/>
          <w:shd w:val="clear" w:color="auto" w:fill="FFFFFF"/>
          <w:lang w:eastAsia="zh-CN" w:bidi="ar-SA"/>
          <w14:textFill>
            <w14:solidFill>
              <w14:schemeClr w14:val="tx1"/>
            </w14:solidFill>
          </w14:textFill>
        </w:rPr>
        <w:t>〔</w:t>
      </w:r>
      <w:r>
        <w:rPr>
          <w:rFonts w:hint="eastAsia" w:ascii="仿宋_GB2312" w:hAnsi="仿宋_GB2312" w:cs="仿宋_GB2312"/>
          <w:color w:val="000000" w:themeColor="text1"/>
          <w:kern w:val="0"/>
          <w:sz w:val="32"/>
          <w:szCs w:val="32"/>
          <w:shd w:val="clear" w:color="auto" w:fill="FFFFFF"/>
          <w:lang w:val="en-US" w:eastAsia="zh-CN" w:bidi="ar-SA"/>
          <w14:textFill>
            <w14:solidFill>
              <w14:schemeClr w14:val="tx1"/>
            </w14:solidFill>
          </w14:textFill>
        </w:rPr>
        <w:t>2022</w:t>
      </w:r>
      <w:r>
        <w:rPr>
          <w:rFonts w:hint="eastAsia" w:ascii="仿宋_GB2312" w:hAnsi="仿宋_GB2312" w:eastAsia="仿宋_GB2312" w:cs="仿宋_GB2312"/>
          <w:color w:val="000000" w:themeColor="text1"/>
          <w:kern w:val="0"/>
          <w:sz w:val="32"/>
          <w:szCs w:val="32"/>
          <w:shd w:val="clear" w:color="auto" w:fill="FFFFFF"/>
          <w:lang w:eastAsia="zh-CN" w:bidi="ar-SA"/>
          <w14:textFill>
            <w14:solidFill>
              <w14:schemeClr w14:val="tx1"/>
            </w14:solidFill>
          </w14:textFill>
        </w:rPr>
        <w:t>〕</w:t>
      </w:r>
      <w:r>
        <w:rPr>
          <w:rFonts w:hint="eastAsia" w:ascii="仿宋_GB2312" w:hAnsi="仿宋_GB2312" w:cs="仿宋_GB2312"/>
          <w:color w:val="000000" w:themeColor="text1"/>
          <w:kern w:val="0"/>
          <w:sz w:val="32"/>
          <w:szCs w:val="32"/>
          <w:shd w:val="clear" w:color="auto" w:fill="FFFFFF"/>
          <w:lang w:val="en-US" w:eastAsia="zh-CN" w:bidi="ar-SA"/>
          <w14:textFill>
            <w14:solidFill>
              <w14:schemeClr w14:val="tx1"/>
            </w14:solidFill>
          </w14:textFill>
        </w:rPr>
        <w:t xml:space="preserve"> 1</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号）精神，决定在全</w:t>
      </w:r>
      <w:r>
        <w:rPr>
          <w:rFonts w:hint="eastAsia" w:ascii="仿宋_GB2312" w:hAnsi="仿宋_GB2312" w:cs="仿宋_GB2312"/>
          <w:color w:val="000000" w:themeColor="text1"/>
          <w:kern w:val="0"/>
          <w:sz w:val="32"/>
          <w:szCs w:val="32"/>
          <w:shd w:val="clear" w:color="auto" w:fill="FFFFFF"/>
          <w:lang w:val="en-US" w:eastAsia="zh-CN" w:bidi="ar-SA"/>
          <w14:textFill>
            <w14:solidFill>
              <w14:schemeClr w14:val="tx1"/>
            </w14:solidFill>
          </w14:textFill>
        </w:rPr>
        <w:t>县</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冶金工贸行业领域开展安全生产</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大检查大整治大提升</w:t>
      </w: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行动，现将有关事项通知如下：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认真学习贯彻习近平总书记关于安全生产重要论述，全面贯彻落实习近平总书记重要指示精神，李克强总理等领导同志批示要求以及全国、全省、全市安全生产电视电话会议精神，牢固树立“人民至上、生命至上”理念，压紧压实安全责任链条，深刻汲取省内外事故教训，持续深化安全生产专项整治三年行动，有效防范化解重大安全风险，全面排查整治风险隐患，统筹做好经济发展、疫情防控和安全生产工作，以防风险、保安全、护稳定的实际行动迎接党的二十大胜利召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t>二、组织领导</w:t>
      </w:r>
    </w:p>
    <w:p>
      <w:pPr>
        <w:pStyle w:val="2"/>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根据工作需要，成立县冶金工贸行业安全生产</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大检查大整治大提升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专项行动工作领导组。</w:t>
      </w:r>
    </w:p>
    <w:p>
      <w:pPr>
        <w:pStyle w:val="2"/>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组</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长：白小荣   县应急管理局党委书记、局长</w:t>
      </w:r>
    </w:p>
    <w:p>
      <w:pPr>
        <w:pStyle w:val="2"/>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副 组 长：牛永生   县应急管理局副局长</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2256" w:firstLineChars="705"/>
        <w:jc w:val="both"/>
        <w:textAlignment w:val="auto"/>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王乃利</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县</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应急管理局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执法队副队长</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成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员：</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刘亚军</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县</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应急管理局冶金工贸</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股股</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长</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2240" w:firstLineChars="7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李建忠   县应急管理局开发区分局负责人</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2240" w:firstLineChars="7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工贸股有关人员、开发区分局相关人员、</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企业主要负责人。</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领导组办公室设在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县</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应急管理局冶金工贸安全监督管理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股</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。领导组办公室主任由</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刘亚军</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兼任，领导组办公室主要负责安排部署全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县</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活动日常工作，研究解决专项整治工作中的矛盾问题，及时了解掌握全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县</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活动工作进展情况，收集、汇总、通报有关信息。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t>三、重点任务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（一）严格落实监管部门责任。</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县应急管理局要积极推动本级政府依照“三管三必须”的原则，明晰冶金工贸行业安全监管职责，制定年度执法监督检查计划；确保</w:t>
      </w:r>
      <w:r>
        <w:rPr>
          <w:rFonts w:hint="eastAsia" w:ascii="仿宋_GB2312" w:hAnsi="仿宋_GB2312" w:cs="仿宋_GB2312"/>
          <w:color w:val="000000" w:themeColor="text1"/>
          <w:sz w:val="32"/>
          <w:szCs w:val="32"/>
          <w:lang w:val="en-US" w:eastAsia="zh-CN" w:bidi="ar-SA"/>
          <w14:textFill>
            <w14:solidFill>
              <w14:schemeClr w14:val="tx1"/>
            </w14:solidFill>
          </w14:textFill>
        </w:rPr>
        <w:t>职责范围内</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每一家企业都纳入安全监管范围</w:t>
      </w:r>
      <w:r>
        <w:rPr>
          <w:rFonts w:hint="eastAsia" w:ascii="仿宋_GB2312" w:hAnsi="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严格落实安全生产挂牌责任制，企业安全监督和管理责任；全面实施金属冶炼企业主要负责人安全生产记分考核办法。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（二）严格落实企业主要负责人安全生产责任。</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生产经营单位法定代表人、实际控制人、实际负责人等主要负责人要严格履行安全生产第一责任人责任，全面落实《安全生产法》七项职责以及安全生产责任制规定、主要负责人承诺制内容，明确本企业重大危险源及安全包保责任人和责任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（三）深入开展风险隐患排查治理。</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各企业要以企业落实主体责任20项重点内容、冶金制造安全专项整治三年行动2022年重点任务及应急管理部明确的25项重点检查事项为主要内容，深入开展钢铁、铝加工、粉尘涉爆、配套危化装置、易燃易爆气体管线、煤气（天然气）区域作业、有限空间作业等高风险企业和危险作业环节的风险隐患排查治理。各企业要结合行业领域实际，全面深入排查风险隐患，制定风险管控措施，列出隐患清单、明确要求、压实责任、限期整改。对重大事故隐患要建立整改措施、责任、资金、时限和预案“五到位”清单，并严格落实安全生产重大事故隐患排查治理“双报告”制度和挂牌督办制度，坚决防止风险隐患演变为事故。</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9"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bidi="ar-SA"/>
          <w14:textFill>
            <w14:solidFill>
              <w14:schemeClr w14:val="tx1"/>
            </w14:solidFill>
          </w14:textFill>
        </w:rPr>
        <w:t>1.重点行业领域。</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重点排查辖区内钢铁、铝加工（深井铸造）、涉爆粉尘（粉尘作业场所10人以上）企业25项重点执法检查事项是否全部清零；涉爆粉尘企业要重点排查整治不同种类的可燃性粉尘、可燃性粉尘与可燃气体等易加剧爆炸危险的介质共用一套除尘系统，不同防火分区的除尘系统互联互通，干式除尘系统未规范采用泄爆、隔爆、惰化、抑爆、抗爆等一种或多种控爆措施等问题隐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9"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bidi="ar-SA"/>
          <w14:textFill>
            <w14:solidFill>
              <w14:schemeClr w14:val="tx1"/>
            </w14:solidFill>
          </w14:textFill>
        </w:rPr>
        <w:t>2.有限空间作业。</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重点排查食品加工、蔬菜腌制、皮革（毛皮、羽毛）加工、造纸、印染等容易发生硫化氢中毒事故的轻工重点企业。全面整治未按照规定制定有限空间作业方案或者方案未经审批擅自作业、未在有限空间作业场所设置明显的安全警示标志、未进行安全条件确认擅自进入有限空间作业等隐患问题。</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9"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bidi="ar-SA"/>
          <w14:textFill>
            <w14:solidFill>
              <w14:schemeClr w14:val="tx1"/>
            </w14:solidFill>
          </w14:textFill>
        </w:rPr>
        <w:t>3.危险作业管理。</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重点排查企业是否依据《化学品生产单位特殊作业安全规范》(GB30871-2014)，完善易燃易爆区域动火、进入有限空间、盲板抽堵等危险作业管理制度，是否严格执行危险作业审批和作业前安全条件确认并建立长效运行机制和管理体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9"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bidi="ar-SA"/>
          <w14:textFill>
            <w14:solidFill>
              <w14:schemeClr w14:val="tx1"/>
            </w14:solidFill>
          </w14:textFill>
        </w:rPr>
        <w:t>4.重大危险源管控。</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重点排查企业是否对本单位的危险化学品生产、经营、储存和使用装置、设施或场所进行辨识评估；是否依法进行安全评价，是否存在安全设施和安全监测监控系统不完善、检测检验维护保养不到位，事故应急预案和现场处置方案不完善、防护装备应急救援物资器材配备不齐全等问题。</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（四）严厉打击违法分包转包和挂靠资质行为。</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各企业要全面排查分包转包和挂靠资质行为，严格检维修外包单位和环保设施施工运营单位资质管理，依法履行对相关方的安全管理责任。有关中央驻吕和省属驻吕企业要建立并落实分包转包合规性审查机制，健全安全生产专业技术管理团队，定期对下属企业、分包单位等关联单位的安全生产开展指导、监督、考核、奖惩，实行安全生产统一管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（五）严格规范劳务派遣和灵活用工人员安全管理。</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各企业要将劳务派遣人员、灵活用工人员纳入本单位统一人事管理、统一劳动保障、统一安全培训、统一落实全员责任、统一安全检查，做到“五统一”，落实安全生产保障责任；各级监管部门要将劳务派遣、灵活用工情况纳入执法检查内容，督促指导各行业领域建立危险岗位清单，制定危险岗位劳务派遣和灵活用工人员管理制度，严格控制危险岗位劳务派遣用工数量、技能水平，规范安全管理；有关中央驻吕和省属驻吕企业要带头实施危险作业岗位灵活用工人员转岗，不得以安全生产为名辞退农民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（六）重拳出击“打非治违”。</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各企业要巩固安全生产“百日攻坚”集中行动成果，组织开展“清零行动”，确保问题隐患整改落实到位；</w:t>
      </w:r>
      <w:r>
        <w:rPr>
          <w:rFonts w:hint="eastAsia" w:ascii="仿宋_GB2312" w:hAnsi="仿宋_GB2312" w:cs="仿宋_GB2312"/>
          <w:color w:val="000000" w:themeColor="text1"/>
          <w:sz w:val="32"/>
          <w:szCs w:val="32"/>
          <w:lang w:val="en-US" w:eastAsia="zh-CN" w:bidi="ar-SA"/>
          <w14:textFill>
            <w14:solidFill>
              <w14:schemeClr w14:val="tx1"/>
            </w14:solidFill>
          </w14:textFill>
        </w:rPr>
        <w:t>县局</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要以金属冶炼企业和配套危化装置为重点，严厉打击新、改、扩建项目未经审查验收擅自组织建设或生产经营活动的行为，保持打非治违高压态势，严格检查、严格执法、动真碰硬。</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（七）严格落实精准执法规范执法。</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县</w:t>
      </w:r>
      <w:r>
        <w:rPr>
          <w:rFonts w:hint="eastAsia" w:ascii="仿宋_GB2312" w:hAnsi="仿宋_GB2312" w:cs="仿宋_GB2312"/>
          <w:color w:val="000000" w:themeColor="text1"/>
          <w:sz w:val="32"/>
          <w:szCs w:val="32"/>
          <w:lang w:val="en-US" w:eastAsia="zh-CN" w:bidi="ar-SA"/>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要健全完善并严格落实行政执法公示制度、执法全过程记录制度和重大执法决定法制审核制度，严肃查处违法违规行为；要全面启用“互联网+执法”系统，日常检查、专项检查、年度执法“互联网+执法”系统使用率均要达到100%；要建立完善安全生产专家库，制定专家使用管理制度，将经费列入财政预算，专家参与执法检查时，要出具专家检查意见，形成问题隐患和整改建议清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（八）严肃查处瞒报谎报迟报漏报事故行为。</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各企业要严格落实事故直报制度，生产经营单位内发生人员伤亡事故的，必须严格按照事故报告有关规定上报当地负有安全监管职责的部门；县</w:t>
      </w:r>
      <w:r>
        <w:rPr>
          <w:rFonts w:hint="eastAsia" w:ascii="仿宋_GB2312" w:hAnsi="仿宋_GB2312" w:cs="仿宋_GB2312"/>
          <w:color w:val="000000" w:themeColor="text1"/>
          <w:sz w:val="32"/>
          <w:szCs w:val="32"/>
          <w:lang w:val="en-US" w:eastAsia="zh-CN" w:bidi="ar-SA"/>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要对生产安全事故隐瞒不报、谎报或者拖延迟报的，依法依规从严追究直接责任人、负有管理和领导责任人员的责任。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4901565</wp:posOffset>
                </wp:positionH>
                <wp:positionV relativeFrom="page">
                  <wp:posOffset>9741535</wp:posOffset>
                </wp:positionV>
                <wp:extent cx="706755" cy="272415"/>
                <wp:effectExtent l="0" t="0" r="0" b="0"/>
                <wp:wrapSquare wrapText="bothSides"/>
                <wp:docPr id="1" name="文本框 5"/>
                <wp:cNvGraphicFramePr/>
                <a:graphic xmlns:a="http://schemas.openxmlformats.org/drawingml/2006/main">
                  <a:graphicData uri="http://schemas.microsoft.com/office/word/2010/wordprocessingShape">
                    <wps:wsp>
                      <wps:cNvSpPr/>
                      <wps:spPr>
                        <a:xfrm>
                          <a:off x="0" y="0"/>
                          <a:ext cx="706754" cy="272415"/>
                        </a:xfrm>
                        <a:prstGeom prst="rect">
                          <a:avLst/>
                        </a:prstGeom>
                        <a:noFill/>
                        <a:ln w="9525" cap="flat" cmpd="sng">
                          <a:noFill/>
                          <a:prstDash val="solid"/>
                          <a:miter/>
                        </a:ln>
                      </wps:spPr>
                      <wps:txbx>
                        <w:txbxContent>
                          <w:p>
                            <w:pPr>
                              <w:spacing w:line="400" w:lineRule="exact"/>
                              <w:rPr>
                                <w:rFonts w:hint="eastAsia"/>
                              </w:rPr>
                            </w:pPr>
                          </w:p>
                        </w:txbxContent>
                      </wps:txbx>
                      <wps:bodyPr vert="horz" wrap="square" lIns="0" tIns="0" rIns="0" bIns="0" anchor="t" anchorCtr="0" upright="1">
                        <a:noAutofit/>
                      </wps:bodyPr>
                    </wps:wsp>
                  </a:graphicData>
                </a:graphic>
              </wp:anchor>
            </w:drawing>
          </mc:Choice>
          <mc:Fallback>
            <w:pict>
              <v:rect id="文本框 5" o:spid="_x0000_s1026" o:spt="1" style="position:absolute;left:0pt;margin-left:385.95pt;margin-top:767.05pt;height:21.45pt;width:55.65pt;mso-position-vertical-relative:page;mso-wrap-distance-bottom:0pt;mso-wrap-distance-left:9pt;mso-wrap-distance-right:9pt;mso-wrap-distance-top:0pt;z-index:251660288;mso-width-relative:page;mso-height-relative:page;" filled="f" stroked="f" coordsize="21600,21600" o:gfxdata="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gK3AAAAA0BAAAPAAAAAAAAAAEAIAAAACIA&#10;AABkcnMvZG93bnJldi54bWxQSwECFAAUAAAACACHTuJAoAc0/gUCAAD2AwAADgAAAAAAAAABACAA&#10;AAArAQAAZHJzL2Uyb0RvYy54bWxQSwUGAAAAAAYABgBZAQAAogUAAAAA&#10;">
                <v:fill on="f" focussize="0,0"/>
                <v:stroke on="f" joinstyle="miter"/>
                <v:imagedata o:title=""/>
                <o:lock v:ext="edit" aspectratio="f"/>
                <v:textbox inset="0mm,0mm,0mm,0mm">
                  <w:txbxContent>
                    <w:p>
                      <w:pPr>
                        <w:spacing w:line="400" w:lineRule="exact"/>
                        <w:rPr>
                          <w:rFonts w:hint="eastAsia"/>
                        </w:rPr>
                      </w:pPr>
                    </w:p>
                  </w:txbxContent>
                </v:textbox>
                <w10:wrap type="square"/>
              </v:rect>
            </w:pict>
          </mc:Fallback>
        </mc:AlternateContent>
      </w:r>
      <w:r>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t>四、时间安排</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从即日起至2022年11月底结束，分四个阶段进行。</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line="580" w:lineRule="exact"/>
        <w:ind w:left="0" w:right="0" w:firstLine="616" w:firstLineChars="200"/>
        <w:jc w:val="both"/>
        <w:textAlignment w:val="auto"/>
        <w:outlineLvl w:val="9"/>
        <w:rPr>
          <w:rFonts w:hint="eastAsia" w:ascii="楷体_GB2312" w:hAnsi="楷体_GB2312" w:eastAsia="楷体_GB2312" w:cs="楷体_GB2312"/>
          <w:b w:val="0"/>
          <w:bCs w:val="0"/>
          <w:color w:val="000000" w:themeColor="text1"/>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bidi="ar-SA"/>
          <w14:textFill>
            <w14:solidFill>
              <w14:schemeClr w14:val="tx1"/>
            </w14:solidFill>
          </w14:textFill>
        </w:rPr>
        <w:t>（一）全面部署发动阶段（即日起至5月10日）</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line="580" w:lineRule="exact"/>
        <w:ind w:left="0" w:right="0" w:firstLine="616" w:firstLineChars="200"/>
        <w:jc w:val="both"/>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各企业要立即深入组织学习</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习近平总书记关于东航</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MU5735</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航空器</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飞行事故等一系列重要指示、李克强总理重要批示，学习全国、全省、全市安全生产电视电话会议精神及国务院安委会《关于进一步强化安全生产责任落实坚决防范遏制重特大事故的若干措施》，强化安全红线意识和底线思维，高位推动落实。</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line="580" w:lineRule="exact"/>
        <w:ind w:left="0" w:right="0" w:firstLine="616" w:firstLineChars="200"/>
        <w:jc w:val="both"/>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各</w:t>
      </w:r>
      <w:r>
        <w:rPr>
          <w:rFonts w:hint="eastAsia" w:ascii="仿宋_GB2312" w:hAnsi="仿宋_GB2312" w:cs="仿宋_GB2312"/>
          <w:color w:val="000000" w:themeColor="text1"/>
          <w:sz w:val="32"/>
          <w:szCs w:val="32"/>
          <w:lang w:val="en-US" w:eastAsia="zh-CN" w:bidi="ar-SA"/>
          <w14:textFill>
            <w14:solidFill>
              <w14:schemeClr w14:val="tx1"/>
            </w14:solidFill>
          </w14:textFill>
        </w:rPr>
        <w:t>企业</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要结合实际制定本</w:t>
      </w:r>
      <w:r>
        <w:rPr>
          <w:rFonts w:hint="eastAsia" w:ascii="仿宋_GB2312" w:hAnsi="仿宋_GB2312" w:cs="仿宋_GB2312"/>
          <w:color w:val="000000" w:themeColor="text1"/>
          <w:sz w:val="32"/>
          <w:szCs w:val="32"/>
          <w:lang w:val="en-US" w:eastAsia="zh-CN" w:bidi="ar-SA"/>
          <w14:textFill>
            <w14:solidFill>
              <w14:schemeClr w14:val="tx1"/>
            </w14:solidFill>
          </w14:textFill>
        </w:rPr>
        <w:t>行业领域</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安全生产大检查大整治大提升专项行动工作实施方案，并迅速动员部署，通过工作会、专题会等进行专题研究、全面部署，</w:t>
      </w:r>
      <w:r>
        <w:rPr>
          <w:rFonts w:hint="eastAsia" w:ascii="仿宋_GB2312" w:hAnsi="仿宋_GB2312" w:cs="仿宋_GB2312"/>
          <w:color w:val="000000" w:themeColor="text1"/>
          <w:sz w:val="32"/>
          <w:szCs w:val="32"/>
          <w:lang w:val="en-US" w:eastAsia="zh-CN" w:bidi="ar-SA"/>
          <w14:textFill>
            <w14:solidFill>
              <w14:schemeClr w14:val="tx1"/>
            </w14:solidFill>
          </w14:textFill>
        </w:rPr>
        <w:t>企业上下联动掀起一场人人要安全、讲安全的高潮</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楷体_GB2312" w:hAnsi="楷体_GB2312" w:eastAsia="楷体_GB2312" w:cs="楷体_GB2312"/>
          <w:b w:val="0"/>
          <w:bCs w:val="0"/>
          <w:color w:val="000000" w:themeColor="text1"/>
          <w:spacing w:val="-6"/>
          <w:kern w:val="0"/>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14:textFill>
            <w14:solidFill>
              <w14:schemeClr w14:val="tx1"/>
            </w14:solidFill>
          </w14:textFill>
        </w:rPr>
        <w:t>（二）</w:t>
      </w:r>
      <w:r>
        <w:rPr>
          <w:rFonts w:hint="eastAsia" w:ascii="楷体_GB2312" w:hAnsi="楷体_GB2312" w:eastAsia="楷体_GB2312" w:cs="楷体_GB2312"/>
          <w:b w:val="0"/>
          <w:bCs w:val="0"/>
          <w:color w:val="000000" w:themeColor="text1"/>
          <w:spacing w:val="-6"/>
          <w:kern w:val="0"/>
          <w:sz w:val="32"/>
          <w:szCs w:val="32"/>
          <w14:textFill>
            <w14:solidFill>
              <w14:schemeClr w14:val="tx1"/>
            </w14:solidFill>
          </w14:textFill>
        </w:rPr>
        <w:t>企业自查自纠阶段（即日起-2022年5月底）</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各</w:t>
      </w:r>
      <w:r>
        <w:rPr>
          <w:rFonts w:hint="eastAsia" w:ascii="仿宋_GB2312" w:hAnsi="仿宋_GB2312" w:cs="仿宋_GB2312"/>
          <w:color w:val="000000" w:themeColor="text1"/>
          <w:sz w:val="32"/>
          <w:szCs w:val="32"/>
          <w:lang w:val="en-US" w:eastAsia="zh-CN" w:bidi="ar-SA"/>
          <w14:textFill>
            <w14:solidFill>
              <w14:schemeClr w14:val="tx1"/>
            </w14:solidFill>
          </w14:textFill>
        </w:rPr>
        <w:t>企业</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要立即将方案传达到本</w:t>
      </w:r>
      <w:r>
        <w:rPr>
          <w:rFonts w:hint="eastAsia" w:ascii="仿宋_GB2312" w:hAnsi="仿宋_GB2312" w:cs="仿宋_GB2312"/>
          <w:color w:val="000000" w:themeColor="text1"/>
          <w:sz w:val="32"/>
          <w:szCs w:val="32"/>
          <w:lang w:val="en-US" w:eastAsia="zh-CN" w:bidi="ar-SA"/>
          <w14:textFill>
            <w14:solidFill>
              <w14:schemeClr w14:val="tx1"/>
            </w14:solidFill>
          </w14:textFill>
        </w:rPr>
        <w:t>行业</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领域内各</w:t>
      </w:r>
      <w:r>
        <w:rPr>
          <w:rFonts w:hint="eastAsia" w:ascii="仿宋_GB2312" w:hAnsi="仿宋_GB2312" w:cs="仿宋_GB2312"/>
          <w:color w:val="000000" w:themeColor="text1"/>
          <w:sz w:val="32"/>
          <w:szCs w:val="32"/>
          <w:lang w:val="en-US" w:eastAsia="zh-CN" w:bidi="ar-SA"/>
          <w14:textFill>
            <w14:solidFill>
              <w14:schemeClr w14:val="tx1"/>
            </w14:solidFill>
          </w14:textFill>
        </w:rPr>
        <w:t>厂级、车间、班组</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督促企业主要负责人严格履行第一责任人的责任，认真组织开展全面自查，形成隐患自查台账。对自查发现的一般隐患，能立即整改的要立即整改，对需要限期整改的，要按照“五定”原则（定整改责任人、定整改措施、定整改完成时间、定整改完成人、定整改验收人）制定整改方案并进行整改；对重大安全隐患，除按照“五定”原则制定整改方案并进行整改外，要将重大隐患治理情况向</w:t>
      </w:r>
      <w:r>
        <w:rPr>
          <w:rFonts w:hint="eastAsia" w:ascii="仿宋_GB2312" w:hAnsi="仿宋_GB2312" w:cs="仿宋_GB2312"/>
          <w:color w:val="000000" w:themeColor="text1"/>
          <w:sz w:val="32"/>
          <w:szCs w:val="32"/>
          <w:lang w:val="en-US" w:eastAsia="zh-CN" w:bidi="ar-SA"/>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应急管理</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部门和企业职代会进行报告。</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楷体_GB2312" w:hAnsi="楷体_GB2312" w:eastAsia="楷体_GB2312" w:cs="楷体_GB2312"/>
          <w:b w:val="0"/>
          <w:bCs w:val="0"/>
          <w:color w:val="000000" w:themeColor="text1"/>
          <w:kern w:val="0"/>
          <w:sz w:val="32"/>
          <w:szCs w:val="32"/>
          <w:lang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bidi="ar-SA"/>
          <w14:textFill>
            <w14:solidFill>
              <w14:schemeClr w14:val="tx1"/>
            </w14:solidFill>
          </w14:textFill>
        </w:rPr>
        <w:t>（三）县级全面检查阶段（2022年6月1日-2022年8月底）</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县</w:t>
      </w:r>
      <w:r>
        <w:rPr>
          <w:rFonts w:hint="eastAsia" w:ascii="仿宋_GB2312" w:hAnsi="仿宋_GB2312" w:cs="仿宋_GB2312"/>
          <w:color w:val="000000" w:themeColor="text1"/>
          <w:sz w:val="32"/>
          <w:szCs w:val="32"/>
          <w:lang w:val="en-US" w:eastAsia="zh-CN" w:bidi="ar-SA"/>
          <w14:textFill>
            <w14:solidFill>
              <w14:schemeClr w14:val="tx1"/>
            </w14:solidFill>
          </w14:textFill>
        </w:rPr>
        <w:t>局</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要采取多种方式组织对辖区内本行业（领域）直接监管的企业逐一进行全覆盖、无一遗漏的监督检查（含各级经济开发区企业）。通过聘请专家指导服务，对照企业自查台账，对企业的隐患排查整改情况进行全面检查，并将企业劳务派遣及灵活用工人员安全管理、项目审批、违法分包转包挂靠资质行为等纳入检查范围，确保检查质量。</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楷体_GB2312" w:hAnsi="楷体_GB2312" w:eastAsia="楷体_GB2312" w:cs="楷体_GB2312"/>
          <w:b w:val="0"/>
          <w:bCs w:val="0"/>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val="en-US" w:eastAsia="zh-CN" w:bidi="ar-SA"/>
          <w14:textFill>
            <w14:solidFill>
              <w14:schemeClr w14:val="tx1"/>
            </w14:solidFill>
          </w14:textFill>
        </w:rPr>
        <w:t>（四）市级督查检查阶段（2022年9月1日-2022年10月底）</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line="580" w:lineRule="exact"/>
        <w:ind w:left="0" w:right="0" w:firstLine="616" w:firstLineChars="200"/>
        <w:jc w:val="both"/>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市应急管理局对本级负责监管的生产经验建设单位进行全面检查，并将通过“双随机”“四不两直”和明查暗访等方式，加大监督指导力度，对行业部分重点企业和不放心企业全覆盖进行督导检查，并对县</w:t>
      </w:r>
      <w:r>
        <w:rPr>
          <w:rFonts w:hint="eastAsia" w:ascii="仿宋_GB2312" w:hAnsi="仿宋_GB2312" w:cs="仿宋_GB2312"/>
          <w:color w:val="000000" w:themeColor="text1"/>
          <w:sz w:val="32"/>
          <w:szCs w:val="32"/>
          <w:lang w:val="en-US" w:eastAsia="zh-CN" w:bidi="ar-SA"/>
          <w14:textFill>
            <w14:solidFill>
              <w14:schemeClr w14:val="tx1"/>
            </w14:solidFill>
          </w14:textFill>
        </w:rPr>
        <w:t>局</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负责检查的企业按照不少于10%的比例进行抽查。对于抽查检查过程中发现的问题将及时反馈属地政府及应急管理局，责成其依法下达执法文书，彻底整改问题隐患，整改结果及时上报。市领导组将对各县</w:t>
      </w:r>
      <w:r>
        <w:rPr>
          <w:rFonts w:hint="eastAsia" w:ascii="仿宋_GB2312" w:hAnsi="仿宋_GB2312" w:cs="仿宋_GB2312"/>
          <w:color w:val="000000" w:themeColor="text1"/>
          <w:sz w:val="32"/>
          <w:szCs w:val="32"/>
          <w:lang w:val="en-US" w:eastAsia="zh-CN" w:bidi="ar-SA"/>
          <w14:textFill>
            <w14:solidFill>
              <w14:schemeClr w14:val="tx1"/>
            </w14:solidFill>
          </w14:textFill>
        </w:rPr>
        <w:t>局</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冶金工贸行业安全生产大检查大整治大提升专项行动工作落实情况进行督导检查，打分排队并进行定期通报。</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楷体_GB2312" w:hAnsi="楷体_GB2312" w:eastAsia="楷体_GB2312" w:cs="楷体_GB2312"/>
          <w:b w:val="0"/>
          <w:bCs w:val="0"/>
          <w:color w:val="000000" w:themeColor="text1"/>
          <w:spacing w:val="-6"/>
          <w:kern w:val="0"/>
          <w:sz w:val="32"/>
          <w:szCs w:val="32"/>
          <w:lang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bidi="ar-SA"/>
          <w14:textFill>
            <w14:solidFill>
              <w14:schemeClr w14:val="tx1"/>
            </w14:solidFill>
          </w14:textFill>
        </w:rPr>
        <w:t>（五）</w:t>
      </w:r>
      <w:r>
        <w:rPr>
          <w:rFonts w:hint="eastAsia" w:ascii="楷体_GB2312" w:hAnsi="楷体_GB2312" w:eastAsia="楷体_GB2312" w:cs="楷体_GB2312"/>
          <w:b w:val="0"/>
          <w:bCs w:val="0"/>
          <w:color w:val="000000" w:themeColor="text1"/>
          <w:spacing w:val="-6"/>
          <w:kern w:val="0"/>
          <w:sz w:val="32"/>
          <w:szCs w:val="32"/>
          <w:lang w:bidi="ar-SA"/>
          <w14:textFill>
            <w14:solidFill>
              <w14:schemeClr w14:val="tx1"/>
            </w14:solidFill>
          </w14:textFill>
        </w:rPr>
        <w:t>巩固提升“回头看”阶段（2022年11月1日-1</w:t>
      </w:r>
      <w:r>
        <w:rPr>
          <w:rFonts w:hint="eastAsia" w:ascii="楷体_GB2312" w:hAnsi="楷体_GB2312" w:eastAsia="楷体_GB2312" w:cs="楷体_GB2312"/>
          <w:b w:val="0"/>
          <w:bCs w:val="0"/>
          <w:color w:val="000000" w:themeColor="text1"/>
          <w:spacing w:val="-6"/>
          <w:kern w:val="0"/>
          <w:sz w:val="32"/>
          <w:szCs w:val="32"/>
          <w:lang w:val="en-US" w:eastAsia="zh-CN" w:bidi="ar-SA"/>
          <w14:textFill>
            <w14:solidFill>
              <w14:schemeClr w14:val="tx1"/>
            </w14:solidFill>
          </w14:textFill>
        </w:rPr>
        <w:t>1</w:t>
      </w:r>
      <w:r>
        <w:rPr>
          <w:rFonts w:hint="eastAsia" w:ascii="楷体_GB2312" w:hAnsi="楷体_GB2312" w:eastAsia="楷体_GB2312" w:cs="楷体_GB2312"/>
          <w:b w:val="0"/>
          <w:bCs w:val="0"/>
          <w:color w:val="000000" w:themeColor="text1"/>
          <w:spacing w:val="-6"/>
          <w:kern w:val="0"/>
          <w:sz w:val="32"/>
          <w:szCs w:val="32"/>
          <w:lang w:bidi="ar-SA"/>
          <w14:textFill>
            <w14:solidFill>
              <w14:schemeClr w14:val="tx1"/>
            </w14:solidFill>
          </w14:textFill>
        </w:rPr>
        <w:t>月底）</w:t>
      </w:r>
    </w:p>
    <w:p>
      <w:pPr>
        <w:keepNext w:val="0"/>
        <w:keepLines w:val="0"/>
        <w:pageBreakBefore w:val="0"/>
        <w:widowControl w:val="0"/>
        <w:kinsoku/>
        <w:wordWrap/>
        <w:overflowPunct/>
        <w:topLinePunct w:val="0"/>
        <w:autoSpaceDE/>
        <w:autoSpaceDN/>
        <w:bidi w:val="0"/>
        <w:adjustRightInd/>
        <w:snapToGrid/>
        <w:spacing w:line="580" w:lineRule="exact"/>
        <w:ind w:left="0" w:firstLine="629"/>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各企业对</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大检查大整治大提升专项行动组织进行“回头看”，及时开展补课达标，确保安全生产风险隐患和问题按规定全部整改到位。</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SA"/>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shd w:val="clear" w:color="auto" w:fill="FFFFFF"/>
          <w:lang w:bidi="ar-SA"/>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五、有关要求</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bidi="ar-SA"/>
          <w14:textFill>
            <w14:solidFill>
              <w14:schemeClr w14:val="tx1"/>
            </w14:solidFill>
          </w14:textFill>
        </w:rPr>
        <w:t>（一）加强组织领导，认真筹划部署。</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开展安全生产</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大检查大整治大提升</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是防范事故、确保安全生产形势持续稳定好转的重要举措。各企业要针对近期省内外发生的生产安全事故，</w:t>
      </w:r>
      <w:r>
        <w:rPr>
          <w:rFonts w:hint="eastAsia" w:ascii="仿宋_GB2312" w:hAnsi="仿宋_GB2312" w:eastAsia="仿宋_GB2312" w:cs="仿宋_GB2312"/>
          <w:color w:val="000000" w:themeColor="text1"/>
          <w:sz w:val="32"/>
          <w:szCs w:val="32"/>
          <w:shd w:val="clear" w:color="auto" w:fill="FFFFFF"/>
          <w:lang w:val="en-US" w:eastAsia="zh-CN" w:bidi="ar-SA"/>
          <w14:textFill>
            <w14:solidFill>
              <w14:schemeClr w14:val="tx1"/>
            </w14:solidFill>
          </w14:textFill>
        </w:rPr>
        <w:t>树立过去的事故就是今天的事故理念，事故往往具有重复性，别人的事故就是自己的事故，</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深刻吸取事故教训，举一反三，</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要切实提高对开展安全生产大检查大整治大提升专项行动工作重要性的认识，</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紧密结合本地区、本单位实际，精心筹划，加强组织领导，</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严密组织开展好本辖区、本企业安全生产大检查大整治大提升专项行动工作</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。要充分发挥专家技术支撑作用，推广实行联合执法，形成合力，力戒“检查查不出问题”的现象。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bidi="ar-SA"/>
          <w14:textFill>
            <w14:solidFill>
              <w14:schemeClr w14:val="tx1"/>
            </w14:solidFill>
          </w14:textFill>
        </w:rPr>
        <w:t>（二）强化隐患整改，彻底消除各类风险隐患。</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各企业对集中检查督查发现的问题隐患要立行立改，对不能立即整改的问题隐患、特别是重大隐患，要严格落实挂牌督办、限期整改、跟踪督导；企业主要负责人要切实履行安全生产第一责任人的责任，扎实组织开展集中检查和风险隐患排查治理，确保企业自查、上级督导检查发现的所有隐患整改闭环管理。集中检查期间，企业要对动火动电、有限空间、检维修等危险作业提级管理，切实有效管控各类安全风险。</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bidi="ar-SA"/>
          <w14:textFill>
            <w14:solidFill>
              <w14:schemeClr w14:val="tx1"/>
            </w14:solidFill>
          </w14:textFill>
        </w:rPr>
        <w:t>（三）严格执法，推动安全生产责任落实。</w:t>
      </w: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县局</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要将属地各级经济开发区企业纳入检查目录，主动对接，主动执法，确保专项行动开展全覆盖；要加大对企业存在问题执法力度，对存在重大隐患且未采取任何防范措施的企业，要立即下达停产整顿指令并依法处罚；对开展集中检查不认真、不扎实、图形式、走过场的单位，要通报批评；对风险隐患整治不彻底、执法不严格或因工作不力导致事故的，要依法严肃追究责任。</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right="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lang w:val="en-US" w:eastAsia="zh-CN" w:bidi="ar-SA"/>
          <w14:textFill>
            <w14:solidFill>
              <w14:schemeClr w14:val="tx1"/>
            </w14:solidFill>
          </w14:textFill>
        </w:rPr>
        <w:t>（四）认真总结，及时上报信息。</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各企业要指定专人负责安全生产大检查大整治大提升专项行动工作的信息收集、汇总，及时报送各类信息。各企业5月</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日前报送专项行动方案和安排部署情况，每月2</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日按附件要求</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报送工作</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进展情况，11月</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15</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日前报送专项行动工作总结。</w:t>
      </w:r>
    </w:p>
    <w:p>
      <w:pPr>
        <w:pStyle w:val="2"/>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联 系 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刘亚军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电话：1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3513583104</w:t>
      </w:r>
    </w:p>
    <w:p>
      <w:pPr>
        <w:pStyle w:val="2"/>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电子信箱：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1078388633@QQ.com</w:t>
      </w:r>
    </w:p>
    <w:p>
      <w:pPr>
        <w:rPr>
          <w:rFonts w:hint="eastAsia" w:ascii="方正仿宋_GBK" w:eastAsia="方正仿宋_GBK" w:cs="仿宋"/>
          <w:kern w:val="0"/>
          <w:sz w:val="32"/>
          <w:szCs w:val="32"/>
          <w:shd w:val="clear" w:color="auto" w:fill="FFFFFF"/>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shd w:val="clear" w:color="auto" w:fill="FFFFFF"/>
          <w:lang w:bidi="ar-SA"/>
        </w:rPr>
      </w:pPr>
      <w:r>
        <w:rPr>
          <w:rFonts w:hint="eastAsia" w:ascii="方正仿宋_GBK" w:eastAsia="方正仿宋_GBK" w:cs="仿宋"/>
          <w:kern w:val="0"/>
          <w:sz w:val="32"/>
          <w:szCs w:val="32"/>
          <w:shd w:val="clear" w:color="auto" w:fill="FFFFFF"/>
          <w:lang w:bidi="ar-SA"/>
        </w:rPr>
        <w:t xml:space="preserve"> 　　　　　   </w:t>
      </w:r>
      <w:r>
        <w:rPr>
          <w:rFonts w:ascii="方正仿宋_GBK" w:eastAsia="方正仿宋_GBK" w:cs="仿宋"/>
          <w:kern w:val="0"/>
          <w:sz w:val="32"/>
          <w:szCs w:val="32"/>
          <w:shd w:val="clear" w:color="auto" w:fill="FFFFFF"/>
          <w:lang w:bidi="ar-SA"/>
        </w:rPr>
        <w:t xml:space="preserve">         </w:t>
      </w:r>
      <w:r>
        <w:rPr>
          <w:rFonts w:hint="eastAsia" w:ascii="仿宋_GB2312" w:hAnsi="仿宋_GB2312" w:eastAsia="仿宋_GB2312" w:cs="仿宋_GB2312"/>
          <w:kern w:val="0"/>
          <w:sz w:val="32"/>
          <w:szCs w:val="32"/>
          <w:shd w:val="clear" w:color="auto" w:fill="FFFFFF"/>
          <w:lang w:bidi="ar-SA"/>
        </w:rPr>
        <w:t xml:space="preserve"> </w:t>
      </w:r>
      <w:r>
        <w:rPr>
          <w:rFonts w:hint="eastAsia" w:ascii="仿宋_GB2312" w:hAnsi="仿宋_GB2312" w:cs="仿宋_GB2312"/>
          <w:kern w:val="0"/>
          <w:sz w:val="32"/>
          <w:szCs w:val="32"/>
          <w:shd w:val="clear" w:color="auto" w:fill="FFFFFF"/>
          <w:lang w:val="en-US" w:eastAsia="zh-CN" w:bidi="ar-SA"/>
        </w:rPr>
        <w:t xml:space="preserve">   兴县</w:t>
      </w:r>
      <w:r>
        <w:rPr>
          <w:rFonts w:hint="eastAsia" w:ascii="仿宋_GB2312" w:hAnsi="仿宋_GB2312" w:eastAsia="仿宋_GB2312" w:cs="仿宋_GB2312"/>
          <w:kern w:val="0"/>
          <w:sz w:val="32"/>
          <w:szCs w:val="32"/>
          <w:shd w:val="clear" w:color="auto" w:fill="FFFFFF"/>
          <w:lang w:bidi="ar-SA"/>
        </w:rPr>
        <w:t>应急管理局</w:t>
      </w:r>
    </w:p>
    <w:p>
      <w:pPr>
        <w:keepNext w:val="0"/>
        <w:keepLines w:val="0"/>
        <w:pageBreakBefore w:val="0"/>
        <w:widowControl w:val="0"/>
        <w:kinsoku/>
        <w:wordWrap/>
        <w:overflowPunct/>
        <w:topLinePunct w:val="0"/>
        <w:autoSpaceDE/>
        <w:autoSpaceDN/>
        <w:bidi w:val="0"/>
        <w:adjustRightInd/>
        <w:snapToGrid/>
        <w:spacing w:line="560" w:lineRule="exact"/>
        <w:ind w:firstLine="3542" w:firstLineChars="1150"/>
        <w:textAlignment w:val="auto"/>
        <w:rPr>
          <w:rFonts w:hint="eastAsia" w:ascii="仿宋_GB2312" w:hAnsi="仿宋_GB2312" w:eastAsia="仿宋_GB2312" w:cs="仿宋_GB2312"/>
          <w:kern w:val="0"/>
          <w:sz w:val="32"/>
          <w:szCs w:val="32"/>
          <w:shd w:val="clear" w:color="auto" w:fill="FFFFFF"/>
          <w:lang w:bidi="ar-SA"/>
        </w:rPr>
      </w:pPr>
      <w:r>
        <w:rPr>
          <w:rFonts w:hint="eastAsia" w:ascii="仿宋_GB2312" w:hAnsi="仿宋_GB2312" w:eastAsia="仿宋_GB2312" w:cs="仿宋_GB2312"/>
          <w:kern w:val="0"/>
          <w:sz w:val="32"/>
          <w:szCs w:val="32"/>
          <w:shd w:val="clear" w:color="auto" w:fill="FFFFFF"/>
          <w:lang w:bidi="ar-SA"/>
        </w:rPr>
        <w:t xml:space="preserve">  </w:t>
      </w:r>
      <w:r>
        <w:rPr>
          <w:rFonts w:hint="eastAsia" w:ascii="仿宋_GB2312" w:hAnsi="仿宋_GB2312" w:cs="仿宋_GB2312"/>
          <w:kern w:val="0"/>
          <w:sz w:val="32"/>
          <w:szCs w:val="32"/>
          <w:shd w:val="clear" w:color="auto" w:fill="FFFFFF"/>
          <w:lang w:val="en-US" w:eastAsia="zh-CN" w:bidi="ar-SA"/>
        </w:rPr>
        <w:t xml:space="preserve"> </w:t>
      </w:r>
      <w:r>
        <w:rPr>
          <w:rFonts w:hint="eastAsia" w:ascii="仿宋_GB2312" w:hAnsi="仿宋_GB2312" w:eastAsia="仿宋_GB2312" w:cs="仿宋_GB2312"/>
          <w:kern w:val="0"/>
          <w:sz w:val="32"/>
          <w:szCs w:val="32"/>
          <w:shd w:val="clear" w:color="auto" w:fill="FFFFFF"/>
          <w:lang w:bidi="ar-SA"/>
        </w:rPr>
        <w:t>2022年</w:t>
      </w:r>
      <w:r>
        <w:rPr>
          <w:rFonts w:hint="eastAsia" w:ascii="仿宋_GB2312" w:hAnsi="仿宋_GB2312" w:cs="仿宋_GB2312"/>
          <w:kern w:val="0"/>
          <w:sz w:val="32"/>
          <w:szCs w:val="32"/>
          <w:shd w:val="clear" w:color="auto" w:fill="FFFFFF"/>
          <w:lang w:val="en-US" w:eastAsia="zh-CN" w:bidi="ar-SA"/>
        </w:rPr>
        <w:t>5</w:t>
      </w:r>
      <w:r>
        <w:rPr>
          <w:rFonts w:hint="eastAsia" w:ascii="仿宋_GB2312" w:hAnsi="仿宋_GB2312" w:eastAsia="仿宋_GB2312" w:cs="仿宋_GB2312"/>
          <w:kern w:val="0"/>
          <w:sz w:val="32"/>
          <w:szCs w:val="32"/>
          <w:shd w:val="clear" w:color="auto" w:fill="FFFFFF"/>
          <w:lang w:bidi="ar-SA"/>
        </w:rPr>
        <w:t>月2日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ascii="仿宋_GB2312" w:hAnsi="仿宋_GB2312" w:eastAsia="仿宋_GB2312" w:cs="仿宋_GB2312"/>
          <w:kern w:val="0"/>
          <w:sz w:val="32"/>
          <w:szCs w:val="32"/>
          <w:shd w:val="clear" w:color="auto" w:fill="FFFFFF"/>
          <w:lang w:eastAsia="zh-CN" w:bidi="ar-SA"/>
        </w:rPr>
        <w:t>（此件公开发布）</w:t>
      </w:r>
    </w:p>
    <w:p>
      <w:pPr>
        <w:rPr>
          <w:rFonts w:hint="eastAsia" w:ascii="方正仿宋_GBK" w:eastAsia="方正仿宋_GBK"/>
        </w:rPr>
      </w:pPr>
    </w:p>
    <w:p/>
    <w:p>
      <w:pPr>
        <w:ind w:firstLine="616" w:firstLineChars="200"/>
        <w:rPr>
          <w:rFonts w:ascii="仿宋" w:hAnsi="仿宋" w:eastAsia="仿宋"/>
        </w:rPr>
      </w:pPr>
    </w:p>
    <w:p/>
    <w:p/>
    <w:p/>
    <w:p/>
    <w:p/>
    <w:p/>
    <w:p/>
    <w:p/>
    <w:p/>
    <w:p/>
    <w:p>
      <w:pPr>
        <w:rPr>
          <w:color w:val="000000" w:themeColor="text1"/>
          <w14:textFill>
            <w14:solidFill>
              <w14:schemeClr w14:val="tx1"/>
            </w14:solidFill>
          </w14:textFill>
        </w:rPr>
      </w:pPr>
    </w:p>
    <w:p/>
    <w:p/>
    <w:p>
      <w:pPr>
        <w:sectPr>
          <w:footerReference r:id="rId5" w:type="default"/>
          <w:footerReference r:id="rId6" w:type="even"/>
          <w:pgSz w:w="11906" w:h="16838"/>
          <w:pgMar w:top="1440" w:right="1800" w:bottom="1440" w:left="1800" w:header="851" w:footer="992" w:gutter="0"/>
          <w:pgNumType w:fmt="decimal"/>
          <w:cols w:space="720" w:num="1"/>
          <w:docGrid w:type="lines" w:linePitch="435" w:charSpace="0"/>
        </w:sect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after="120"/>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eastAsia="zh-CN"/>
        </w:rPr>
        <w:t>冶金工贸行业</w:t>
      </w:r>
      <w:r>
        <w:rPr>
          <w:rFonts w:hint="eastAsia" w:ascii="方正小标宋简体" w:hAnsi="方正小标宋简体" w:eastAsia="方正小标宋简体" w:cs="方正小标宋简体"/>
          <w:color w:val="auto"/>
          <w:sz w:val="44"/>
          <w:szCs w:val="44"/>
          <w:lang w:val="en-US" w:eastAsia="zh-CN"/>
        </w:rPr>
        <w:t>安全生产大检查大整治大提升专项行动统计报表</w:t>
      </w:r>
    </w:p>
    <w:p>
      <w:pPr>
        <w:keepNext w:val="0"/>
        <w:keepLines w:val="0"/>
        <w:pageBreakBefore w:val="0"/>
        <w:widowControl w:val="0"/>
        <w:shd w:val="clear" w:color="auto" w:fill="auto"/>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填报单位：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填表人：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填表日期：</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35"/>
        <w:gridCol w:w="765"/>
        <w:gridCol w:w="720"/>
        <w:gridCol w:w="690"/>
        <w:gridCol w:w="750"/>
        <w:gridCol w:w="750"/>
        <w:gridCol w:w="840"/>
        <w:gridCol w:w="780"/>
        <w:gridCol w:w="855"/>
        <w:gridCol w:w="870"/>
        <w:gridCol w:w="735"/>
        <w:gridCol w:w="780"/>
        <w:gridCol w:w="735"/>
        <w:gridCol w:w="840"/>
        <w:gridCol w:w="1284"/>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exact"/>
          <w:jc w:val="center"/>
        </w:trPr>
        <w:tc>
          <w:tcPr>
            <w:tcW w:w="681"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统计项</w:t>
            </w:r>
          </w:p>
        </w:tc>
        <w:tc>
          <w:tcPr>
            <w:tcW w:w="735" w:type="dxa"/>
            <w:vMerge w:val="restart"/>
            <w:noWrap w:val="0"/>
            <w:vAlign w:val="center"/>
          </w:tcPr>
          <w:p>
            <w:pPr>
              <w:keepNext w:val="0"/>
              <w:keepLines w:val="0"/>
              <w:pageBreakBefore w:val="0"/>
              <w:widowControl w:val="0"/>
              <w:shd w:val="clear" w:color="auto" w:fill="auto"/>
              <w:tabs>
                <w:tab w:val="left" w:pos="375"/>
              </w:tabs>
              <w:kinsoku/>
              <w:wordWrap/>
              <w:overflowPunct/>
              <w:topLinePunct w:val="0"/>
              <w:autoSpaceDE/>
              <w:autoSpaceDN/>
              <w:bidi w:val="0"/>
              <w:adjustRightInd/>
              <w:snapToGrid/>
              <w:spacing w:line="300" w:lineRule="exact"/>
              <w:ind w:right="0" w:right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成立检查组</w:t>
            </w:r>
          </w:p>
        </w:tc>
        <w:tc>
          <w:tcPr>
            <w:tcW w:w="2175" w:type="dxa"/>
            <w:gridSpan w:val="3"/>
            <w:noWrap w:val="0"/>
            <w:vAlign w:val="center"/>
          </w:tcPr>
          <w:p>
            <w:pPr>
              <w:keepNext w:val="0"/>
              <w:keepLines w:val="0"/>
              <w:pageBreakBefore w:val="0"/>
              <w:widowControl w:val="0"/>
              <w:shd w:val="clear" w:color="auto" w:fill="auto"/>
              <w:tabs>
                <w:tab w:val="left" w:pos="375"/>
              </w:tabs>
              <w:kinsoku/>
              <w:wordWrap/>
              <w:overflowPunct/>
              <w:topLinePunct w:val="0"/>
              <w:autoSpaceDE/>
              <w:autoSpaceDN/>
              <w:bidi w:val="0"/>
              <w:adjustRightInd/>
              <w:snapToGrid/>
              <w:spacing w:line="300" w:lineRule="exact"/>
              <w:ind w:right="0" w:right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督查监管部门情况</w:t>
            </w:r>
          </w:p>
        </w:tc>
        <w:tc>
          <w:tcPr>
            <w:tcW w:w="3975" w:type="dxa"/>
            <w:gridSpan w:val="5"/>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lang w:eastAsia="zh-CN"/>
              </w:rPr>
              <w:t>企业隐患排查整治进</w:t>
            </w:r>
            <w:r>
              <w:rPr>
                <w:rFonts w:hint="eastAsia" w:ascii="黑体" w:hAnsi="黑体" w:eastAsia="黑体" w:cs="黑体"/>
                <w:b w:val="0"/>
                <w:bCs w:val="0"/>
                <w:color w:val="auto"/>
                <w:kern w:val="0"/>
                <w:sz w:val="24"/>
                <w:szCs w:val="24"/>
              </w:rPr>
              <w:t>展情况</w:t>
            </w:r>
          </w:p>
        </w:tc>
        <w:tc>
          <w:tcPr>
            <w:tcW w:w="6541" w:type="dxa"/>
            <w:gridSpan w:val="7"/>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rPr>
              <w:t>行政执法情况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1"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p>
        </w:tc>
        <w:tc>
          <w:tcPr>
            <w:tcW w:w="735"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p>
        </w:tc>
        <w:tc>
          <w:tcPr>
            <w:tcW w:w="765"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lang w:eastAsia="zh-CN"/>
              </w:rPr>
              <w:t>督查监管部门</w:t>
            </w:r>
          </w:p>
        </w:tc>
        <w:tc>
          <w:tcPr>
            <w:tcW w:w="720"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发现问题</w:t>
            </w:r>
          </w:p>
        </w:tc>
        <w:tc>
          <w:tcPr>
            <w:tcW w:w="690"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已整改</w:t>
            </w:r>
          </w:p>
        </w:tc>
        <w:tc>
          <w:tcPr>
            <w:tcW w:w="750"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lang w:eastAsia="zh-CN"/>
              </w:rPr>
              <w:t>排</w:t>
            </w:r>
            <w:r>
              <w:rPr>
                <w:rFonts w:hint="eastAsia" w:ascii="黑体" w:hAnsi="黑体" w:eastAsia="黑体" w:cs="黑体"/>
                <w:b w:val="0"/>
                <w:bCs w:val="0"/>
                <w:color w:val="auto"/>
                <w:kern w:val="0"/>
                <w:sz w:val="24"/>
                <w:szCs w:val="24"/>
              </w:rPr>
              <w:t>查</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企业</w:t>
            </w:r>
          </w:p>
        </w:tc>
        <w:tc>
          <w:tcPr>
            <w:tcW w:w="1590" w:type="dxa"/>
            <w:gridSpan w:val="2"/>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一般隐患</w:t>
            </w:r>
          </w:p>
        </w:tc>
        <w:tc>
          <w:tcPr>
            <w:tcW w:w="1635" w:type="dxa"/>
            <w:gridSpan w:val="2"/>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重大隐患</w:t>
            </w:r>
          </w:p>
        </w:tc>
        <w:tc>
          <w:tcPr>
            <w:tcW w:w="870"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责令限期整改企业</w:t>
            </w:r>
          </w:p>
        </w:tc>
        <w:tc>
          <w:tcPr>
            <w:tcW w:w="735"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行政</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罚款</w:t>
            </w:r>
          </w:p>
        </w:tc>
        <w:tc>
          <w:tcPr>
            <w:tcW w:w="780"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停产</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整顿</w:t>
            </w:r>
          </w:p>
        </w:tc>
        <w:tc>
          <w:tcPr>
            <w:tcW w:w="735"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公开曝光案例</w:t>
            </w:r>
          </w:p>
        </w:tc>
        <w:tc>
          <w:tcPr>
            <w:tcW w:w="840"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关闭</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取缔</w:t>
            </w:r>
          </w:p>
        </w:tc>
        <w:tc>
          <w:tcPr>
            <w:tcW w:w="1284"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eastAsia="zh-CN"/>
              </w:rPr>
              <w:t>查处</w:t>
            </w:r>
            <w:r>
              <w:rPr>
                <w:rFonts w:hint="eastAsia" w:ascii="黑体" w:hAnsi="黑体" w:eastAsia="黑体" w:cs="黑体"/>
                <w:b w:val="0"/>
                <w:bCs w:val="0"/>
                <w:color w:val="auto"/>
                <w:kern w:val="0"/>
                <w:sz w:val="24"/>
                <w:szCs w:val="24"/>
                <w:lang w:val="en-US" w:eastAsia="zh-CN"/>
              </w:rPr>
              <w:t>违法分包转包和挂靠资质行为</w:t>
            </w:r>
          </w:p>
        </w:tc>
        <w:tc>
          <w:tcPr>
            <w:tcW w:w="1297" w:type="dxa"/>
            <w:vMerge w:val="restart"/>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lang w:val="en-US" w:eastAsia="zh-CN"/>
              </w:rPr>
              <w:t>查处劳务派遣灵活用工违法行为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681"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35"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65"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20"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690"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50"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5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排查</w:t>
            </w:r>
          </w:p>
        </w:tc>
        <w:tc>
          <w:tcPr>
            <w:tcW w:w="84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已整改</w:t>
            </w:r>
          </w:p>
        </w:tc>
        <w:tc>
          <w:tcPr>
            <w:tcW w:w="78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排查</w:t>
            </w:r>
          </w:p>
        </w:tc>
        <w:tc>
          <w:tcPr>
            <w:tcW w:w="855"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已整改</w:t>
            </w:r>
          </w:p>
        </w:tc>
        <w:tc>
          <w:tcPr>
            <w:tcW w:w="870"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35"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80"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35"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840"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4"/>
                <w:szCs w:val="24"/>
              </w:rPr>
            </w:pPr>
          </w:p>
        </w:tc>
        <w:tc>
          <w:tcPr>
            <w:tcW w:w="1284"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4"/>
                <w:szCs w:val="24"/>
              </w:rPr>
            </w:pPr>
          </w:p>
        </w:tc>
        <w:tc>
          <w:tcPr>
            <w:tcW w:w="1297"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681" w:type="dxa"/>
            <w:vMerge w:val="continue"/>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0"/>
                <w:sz w:val="24"/>
                <w:szCs w:val="24"/>
              </w:rPr>
            </w:pPr>
          </w:p>
        </w:tc>
        <w:tc>
          <w:tcPr>
            <w:tcW w:w="735"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eastAsia="zh-CN"/>
              </w:rPr>
            </w:pPr>
            <w:r>
              <w:rPr>
                <w:rFonts w:hint="eastAsia" w:ascii="黑体" w:hAnsi="黑体" w:eastAsia="黑体" w:cs="黑体"/>
                <w:color w:val="auto"/>
                <w:spacing w:val="-11"/>
                <w:kern w:val="0"/>
                <w:sz w:val="24"/>
                <w:szCs w:val="24"/>
                <w:lang w:eastAsia="zh-CN"/>
              </w:rPr>
              <w:t>（个）</w:t>
            </w:r>
          </w:p>
        </w:tc>
        <w:tc>
          <w:tcPr>
            <w:tcW w:w="765"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eastAsia="zh-CN"/>
              </w:rPr>
            </w:pPr>
            <w:r>
              <w:rPr>
                <w:rFonts w:hint="eastAsia" w:ascii="黑体" w:hAnsi="黑体" w:eastAsia="黑体" w:cs="黑体"/>
                <w:color w:val="auto"/>
                <w:spacing w:val="-11"/>
                <w:kern w:val="0"/>
                <w:sz w:val="24"/>
                <w:szCs w:val="24"/>
                <w:lang w:eastAsia="zh-CN"/>
              </w:rPr>
              <w:t>（个）</w:t>
            </w:r>
          </w:p>
        </w:tc>
        <w:tc>
          <w:tcPr>
            <w:tcW w:w="72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eastAsia="zh-CN"/>
              </w:rPr>
            </w:pPr>
            <w:r>
              <w:rPr>
                <w:rFonts w:hint="eastAsia" w:ascii="黑体" w:hAnsi="黑体" w:eastAsia="黑体" w:cs="黑体"/>
                <w:color w:val="auto"/>
                <w:spacing w:val="-11"/>
                <w:kern w:val="0"/>
                <w:sz w:val="24"/>
                <w:szCs w:val="24"/>
                <w:lang w:eastAsia="zh-CN"/>
              </w:rPr>
              <w:t>（项）</w:t>
            </w:r>
          </w:p>
        </w:tc>
        <w:tc>
          <w:tcPr>
            <w:tcW w:w="69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eastAsia="zh-CN"/>
              </w:rPr>
            </w:pPr>
            <w:r>
              <w:rPr>
                <w:rFonts w:hint="eastAsia" w:ascii="黑体" w:hAnsi="黑体" w:eastAsia="黑体" w:cs="黑体"/>
                <w:color w:val="auto"/>
                <w:spacing w:val="-11"/>
                <w:kern w:val="0"/>
                <w:sz w:val="24"/>
                <w:szCs w:val="24"/>
                <w:lang w:eastAsia="zh-CN"/>
              </w:rPr>
              <w:t>（项）</w:t>
            </w:r>
          </w:p>
        </w:tc>
        <w:tc>
          <w:tcPr>
            <w:tcW w:w="75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（家）</w:t>
            </w:r>
          </w:p>
        </w:tc>
        <w:tc>
          <w:tcPr>
            <w:tcW w:w="75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（项）</w:t>
            </w:r>
          </w:p>
        </w:tc>
        <w:tc>
          <w:tcPr>
            <w:tcW w:w="84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（项）</w:t>
            </w:r>
          </w:p>
        </w:tc>
        <w:tc>
          <w:tcPr>
            <w:tcW w:w="78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（项）</w:t>
            </w:r>
          </w:p>
        </w:tc>
        <w:tc>
          <w:tcPr>
            <w:tcW w:w="855"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（项）</w:t>
            </w:r>
          </w:p>
        </w:tc>
        <w:tc>
          <w:tcPr>
            <w:tcW w:w="87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（家）</w:t>
            </w:r>
          </w:p>
        </w:tc>
        <w:tc>
          <w:tcPr>
            <w:tcW w:w="735"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val="en-US" w:eastAsia="zh-CN"/>
              </w:rPr>
            </w:pPr>
            <w:r>
              <w:rPr>
                <w:rFonts w:hint="eastAsia" w:ascii="黑体" w:hAnsi="黑体" w:eastAsia="黑体" w:cs="黑体"/>
                <w:color w:val="auto"/>
                <w:spacing w:val="-11"/>
                <w:kern w:val="0"/>
                <w:sz w:val="24"/>
                <w:szCs w:val="24"/>
              </w:rPr>
              <w:t>（万</w:t>
            </w:r>
            <w:r>
              <w:rPr>
                <w:rFonts w:hint="eastAsia" w:ascii="黑体" w:hAnsi="黑体" w:eastAsia="黑体" w:cs="黑体"/>
                <w:color w:val="auto"/>
                <w:spacing w:val="-11"/>
                <w:kern w:val="0"/>
                <w:sz w:val="24"/>
                <w:szCs w:val="24"/>
                <w:lang w:eastAsia="zh-CN"/>
              </w:rPr>
              <w:t>）</w:t>
            </w:r>
          </w:p>
        </w:tc>
        <w:tc>
          <w:tcPr>
            <w:tcW w:w="78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（家）</w:t>
            </w:r>
          </w:p>
        </w:tc>
        <w:tc>
          <w:tcPr>
            <w:tcW w:w="735"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（个）</w:t>
            </w:r>
          </w:p>
        </w:tc>
        <w:tc>
          <w:tcPr>
            <w:tcW w:w="840"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rPr>
            </w:pPr>
            <w:r>
              <w:rPr>
                <w:rFonts w:hint="eastAsia" w:ascii="黑体" w:hAnsi="黑体" w:eastAsia="黑体" w:cs="黑体"/>
                <w:color w:val="auto"/>
                <w:spacing w:val="-11"/>
                <w:kern w:val="0"/>
                <w:sz w:val="24"/>
                <w:szCs w:val="24"/>
              </w:rPr>
              <w:t>（家）</w:t>
            </w:r>
          </w:p>
        </w:tc>
        <w:tc>
          <w:tcPr>
            <w:tcW w:w="1284"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eastAsia="zh-CN"/>
              </w:rPr>
            </w:pPr>
            <w:r>
              <w:rPr>
                <w:rFonts w:hint="eastAsia" w:ascii="黑体" w:hAnsi="黑体" w:eastAsia="黑体" w:cs="黑体"/>
                <w:color w:val="auto"/>
                <w:spacing w:val="-11"/>
                <w:kern w:val="0"/>
                <w:sz w:val="24"/>
                <w:szCs w:val="24"/>
                <w:lang w:eastAsia="zh-CN"/>
              </w:rPr>
              <w:t>（个）</w:t>
            </w:r>
          </w:p>
        </w:tc>
        <w:tc>
          <w:tcPr>
            <w:tcW w:w="1297" w:type="dxa"/>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pacing w:val="-11"/>
                <w:kern w:val="0"/>
                <w:sz w:val="24"/>
                <w:szCs w:val="24"/>
                <w:lang w:eastAsia="zh-CN"/>
              </w:rPr>
            </w:pPr>
            <w:r>
              <w:rPr>
                <w:rFonts w:hint="eastAsia" w:ascii="黑体" w:hAnsi="黑体" w:eastAsia="黑体" w:cs="黑体"/>
                <w:color w:val="auto"/>
                <w:spacing w:val="-11"/>
                <w:kern w:val="0"/>
                <w:sz w:val="24"/>
                <w:szCs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68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本月</w:t>
            </w:r>
          </w:p>
        </w:tc>
        <w:tc>
          <w:tcPr>
            <w:tcW w:w="7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6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6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84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8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85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87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8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12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129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8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累计</w:t>
            </w:r>
          </w:p>
        </w:tc>
        <w:tc>
          <w:tcPr>
            <w:tcW w:w="7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6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6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84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8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85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87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p>
        </w:tc>
        <w:tc>
          <w:tcPr>
            <w:tcW w:w="78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7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12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c>
          <w:tcPr>
            <w:tcW w:w="129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120" w:after="120" w:line="600" w:lineRule="exact"/>
        <w:ind w:left="0" w:leftChars="0" w:firstLine="0" w:firstLineChars="0"/>
        <w:jc w:val="center"/>
        <w:textAlignment w:val="auto"/>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专项行动检查发现</w:t>
      </w:r>
      <w:r>
        <w:rPr>
          <w:rFonts w:hint="eastAsia" w:ascii="方正小标宋简体" w:hAnsi="方正小标宋简体" w:eastAsia="方正小标宋简体" w:cs="方正小标宋简体"/>
          <w:b w:val="0"/>
          <w:bCs w:val="0"/>
          <w:color w:val="auto"/>
          <w:kern w:val="0"/>
          <w:sz w:val="44"/>
          <w:szCs w:val="44"/>
          <w:lang w:eastAsia="zh-CN"/>
        </w:rPr>
        <w:t>重大隐患明细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544"/>
        <w:gridCol w:w="2584"/>
        <w:gridCol w:w="1622"/>
        <w:gridCol w:w="1988"/>
        <w:gridCol w:w="4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序号</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企业名称</w:t>
            </w: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lang w:eastAsia="zh-CN"/>
              </w:rPr>
              <w:t>所在</w:t>
            </w:r>
            <w:r>
              <w:rPr>
                <w:rFonts w:hint="eastAsia" w:ascii="黑体" w:hAnsi="黑体" w:eastAsia="黑体" w:cs="黑体"/>
                <w:b w:val="0"/>
                <w:bCs w:val="0"/>
                <w:color w:val="auto"/>
                <w:kern w:val="0"/>
                <w:sz w:val="28"/>
                <w:szCs w:val="28"/>
              </w:rPr>
              <w:t>市</w:t>
            </w:r>
            <w:r>
              <w:rPr>
                <w:rFonts w:hint="eastAsia" w:ascii="黑体" w:hAnsi="黑体" w:eastAsia="黑体" w:cs="黑体"/>
                <w:b w:val="0"/>
                <w:bCs w:val="0"/>
                <w:color w:val="auto"/>
                <w:kern w:val="0"/>
                <w:sz w:val="28"/>
                <w:szCs w:val="28"/>
                <w:lang w:eastAsia="zh-CN"/>
              </w:rPr>
              <w:t>（</w:t>
            </w:r>
            <w:r>
              <w:rPr>
                <w:rFonts w:hint="eastAsia" w:ascii="黑体" w:hAnsi="黑体" w:eastAsia="黑体" w:cs="黑体"/>
                <w:b w:val="0"/>
                <w:bCs w:val="0"/>
                <w:color w:val="auto"/>
                <w:kern w:val="0"/>
                <w:sz w:val="28"/>
                <w:szCs w:val="28"/>
              </w:rPr>
              <w:t>县</w:t>
            </w:r>
            <w:r>
              <w:rPr>
                <w:rFonts w:hint="eastAsia" w:ascii="黑体" w:hAnsi="黑体" w:eastAsia="黑体" w:cs="黑体"/>
                <w:b w:val="0"/>
                <w:bCs w:val="0"/>
                <w:color w:val="auto"/>
                <w:kern w:val="0"/>
                <w:sz w:val="28"/>
                <w:szCs w:val="28"/>
                <w:lang w:eastAsia="zh-CN"/>
              </w:rPr>
              <w:t>、区）</w:t>
            </w: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lang w:eastAsia="zh-CN"/>
              </w:rPr>
              <w:t>行业</w:t>
            </w:r>
            <w:r>
              <w:rPr>
                <w:rFonts w:hint="eastAsia" w:ascii="黑体" w:hAnsi="黑体" w:eastAsia="黑体" w:cs="黑体"/>
                <w:b w:val="0"/>
                <w:bCs w:val="0"/>
                <w:color w:val="auto"/>
                <w:kern w:val="0"/>
                <w:sz w:val="28"/>
                <w:szCs w:val="28"/>
              </w:rPr>
              <w:t>类别</w:t>
            </w: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8"/>
                <w:szCs w:val="28"/>
                <w:lang w:val="en" w:eastAsia="zh-CN"/>
              </w:rPr>
            </w:pPr>
            <w:r>
              <w:rPr>
                <w:rFonts w:hint="eastAsia" w:ascii="黑体" w:hAnsi="黑体" w:eastAsia="黑体" w:cs="黑体"/>
                <w:b w:val="0"/>
                <w:bCs w:val="0"/>
                <w:color w:val="auto"/>
                <w:kern w:val="0"/>
                <w:sz w:val="28"/>
                <w:szCs w:val="28"/>
                <w:lang w:val="en" w:eastAsia="zh-CN"/>
              </w:rPr>
              <w:t>挂牌督办单位</w:t>
            </w: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重大隐患明细</w:t>
            </w:r>
            <w:r>
              <w:rPr>
                <w:rFonts w:hint="eastAsia" w:ascii="黑体" w:hAnsi="黑体" w:eastAsia="黑体" w:cs="黑体"/>
                <w:b w:val="0"/>
                <w:bCs w:val="0"/>
                <w:color w:val="auto"/>
                <w:kern w:val="0"/>
                <w:sz w:val="28"/>
                <w:szCs w:val="28"/>
                <w:lang w:eastAsia="zh-CN"/>
              </w:rPr>
              <w:t>及整改计划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1</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8"/>
                <w:szCs w:val="28"/>
              </w:rPr>
            </w:pP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8"/>
                <w:szCs w:val="28"/>
                <w:lang w:val="en-US" w:eastAsia="zh-CN"/>
              </w:rPr>
            </w:pP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8"/>
                <w:szCs w:val="28"/>
                <w:lang w:val="en-US" w:eastAsia="zh-CN"/>
              </w:rPr>
            </w:pP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lang w:val="en-US" w:eastAsia="zh-CN"/>
              </w:rPr>
            </w:pP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2</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8"/>
                <w:szCs w:val="28"/>
                <w:lang w:val="en-US" w:eastAsia="zh-CN"/>
              </w:rPr>
            </w:pP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8"/>
                <w:szCs w:val="28"/>
                <w:lang w:val="en-US" w:eastAsia="zh-CN"/>
              </w:rPr>
            </w:pP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3</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4</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5</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w:t>
            </w:r>
          </w:p>
        </w:tc>
        <w:tc>
          <w:tcPr>
            <w:tcW w:w="254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258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6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19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c>
          <w:tcPr>
            <w:tcW w:w="442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8"/>
                <w:szCs w:val="28"/>
              </w:rPr>
            </w:pPr>
          </w:p>
        </w:tc>
      </w:tr>
    </w:tbl>
    <w:p>
      <w:pPr>
        <w:pStyle w:val="2"/>
        <w:sectPr>
          <w:pgSz w:w="16838" w:h="11906" w:orient="landscape"/>
          <w:pgMar w:top="1134" w:right="1440" w:bottom="1134" w:left="1440" w:header="851" w:footer="992" w:gutter="0"/>
          <w:pgNumType w:fmt="decimal"/>
          <w:cols w:space="0" w:num="1"/>
          <w:rtlGutter w:val="0"/>
          <w:docGrid w:type="lines" w:linePitch="451" w:charSpace="0"/>
        </w:sectPr>
      </w:pPr>
    </w:p>
    <w:p>
      <w:pPr>
        <w:pStyle w:val="2"/>
      </w:pPr>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5" w:name="_GoBack"/>
      <w:bookmarkEnd w:id="5"/>
    </w:p>
    <w:tbl>
      <w:tblPr>
        <w:tblStyle w:val="9"/>
        <w:tblpPr w:leftFromText="180" w:rightFromText="180" w:vertAnchor="text" w:horzAnchor="page" w:tblpX="1237" w:tblpY="1218"/>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805"/>
        <w:gridCol w:w="483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1" w:hRule="atLeast"/>
        </w:trPr>
        <w:tc>
          <w:tcPr>
            <w:tcW w:w="4805" w:type="dxa"/>
            <w:noWrap w:val="0"/>
            <w:vAlign w:val="top"/>
          </w:tcPr>
          <w:p>
            <w:pPr>
              <w:jc w:val="left"/>
              <w:rPr>
                <w:rFonts w:hint="eastAsia" w:eastAsia="仿宋_GB2312"/>
                <w:sz w:val="28"/>
                <w:szCs w:val="28"/>
                <w:lang w:eastAsia="zh-CN"/>
              </w:rPr>
            </w:pPr>
            <w:r>
              <w:rPr>
                <w:rFonts w:hint="eastAsia"/>
                <w:sz w:val="28"/>
                <w:szCs w:val="28"/>
              </w:rPr>
              <w:t xml:space="preserve"> </w:t>
            </w:r>
            <w:bookmarkStart w:id="3" w:name="print_unit"/>
            <w:bookmarkEnd w:id="3"/>
            <w:r>
              <w:rPr>
                <w:rFonts w:hint="eastAsia"/>
                <w:sz w:val="28"/>
                <w:szCs w:val="28"/>
                <w:lang w:val="en-US" w:eastAsia="zh-CN"/>
              </w:rPr>
              <w:t>兴县</w:t>
            </w:r>
            <w:r>
              <w:rPr>
                <w:rFonts w:hint="eastAsia"/>
                <w:sz w:val="28"/>
                <w:szCs w:val="28"/>
                <w:lang w:eastAsia="zh-CN"/>
              </w:rPr>
              <w:t>应急管理局</w:t>
            </w:r>
          </w:p>
        </w:tc>
        <w:tc>
          <w:tcPr>
            <w:tcW w:w="4834" w:type="dxa"/>
            <w:noWrap w:val="0"/>
            <w:vAlign w:val="top"/>
          </w:tcPr>
          <w:p>
            <w:pPr>
              <w:wordWrap w:val="0"/>
              <w:jc w:val="right"/>
              <w:rPr>
                <w:sz w:val="28"/>
                <w:szCs w:val="28"/>
              </w:rPr>
            </w:pPr>
            <w:bookmarkStart w:id="4" w:name="Printing_Date"/>
            <w:r>
              <w:rPr>
                <w:rFonts w:hint="eastAsia" w:ascii="仿宋_GB2312"/>
                <w:sz w:val="28"/>
                <w:szCs w:val="28"/>
                <w:lang w:val="en-US" w:eastAsia="zh-CN"/>
              </w:rPr>
              <w:t>2022年5月2日</w:t>
            </w:r>
            <w:r>
              <w:rPr>
                <w:rFonts w:hint="eastAsia" w:ascii="仿宋_GB2312"/>
                <w:sz w:val="28"/>
                <w:szCs w:val="28"/>
                <w:lang w:eastAsia="zh-CN"/>
              </w:rPr>
              <w:t> </w:t>
            </w:r>
            <w:bookmarkEnd w:id="4"/>
            <w:r>
              <w:rPr>
                <w:rFonts w:hint="eastAsia" w:ascii="仿宋_GB2312"/>
                <w:sz w:val="28"/>
                <w:szCs w:val="28"/>
              </w:rPr>
              <w:t xml:space="preserve">印发  </w:t>
            </w:r>
          </w:p>
        </w:tc>
      </w:tr>
    </w:tbl>
    <w:p/>
    <w:sectPr>
      <w:footerReference r:id="rId7" w:type="default"/>
      <w:footerReference r:id="rId8" w:type="even"/>
      <w:pgSz w:w="11906" w:h="16838"/>
      <w:pgMar w:top="2098" w:right="1134" w:bottom="1984" w:left="1134" w:header="851" w:footer="992" w:gutter="0"/>
      <w:pgNumType w:fmt="decimal"/>
      <w:cols w:space="0" w:num="1"/>
      <w:rtlGutter w:val="0"/>
      <w:docGrid w:type="lines" w:linePitch="45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7rSM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futIyQEAAJkDAAAOAAAAAAAAAAEAIAAAAB4BAABkcnMvZTJvRG9j&#10;LnhtbFBLBQYAAAAABgAGAFkBAABZ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jc w:val="left"/>
                          </w:pPr>
                        </w:p>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4"/>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470" w:lineRule="auto"/>
      <w:ind w:left="308" w:leftChars="100"/>
      <w:rPr>
        <w:rFonts w:ascii="宋体" w:hAnsi="宋体" w:eastAsia="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266700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left:-0.75pt;margin-top:21pt;height:144pt;width:144pt;mso-position-horizontal-relative:margin;mso-wrap-style:none;z-index:251664384;mso-width-relative:page;mso-height-relative:page;" filled="f" stroked="f" coordsize="21600,21600" o:gfxdata="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uYhfnWAAAACQEAAA8AAAAAAAAAAQAgAAAAIgAAAGRycy9kb3du&#10;cmV2LnhtbFBLAQIUABQAAAAIAIdO4kDbQ/IfyAEAAJkDAAAOAAAAAAAAAAEAIAAAACUBAABkcnMv&#10;ZTJvRG9jLnhtbFBLBQYAAAAABgAGAFkBAABf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line="470" w:lineRule="auto"/>
                            <w:ind w:left="308" w:leftChars="100"/>
                          </w:pPr>
                        </w:p>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6"/>
                      <w:spacing w:line="470" w:lineRule="auto"/>
                      <w:ind w:left="308" w:leftChars="100"/>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jc w:val="left"/>
                          </w:pPr>
                        </w:p>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14"/>
                      <w:jc w:val="left"/>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470" w:lineRule="auto"/>
      <w:ind w:left="308" w:leftChars="100"/>
      <w:rPr>
        <w:rFonts w:ascii="宋体" w:hAnsi="宋体"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line="470" w:lineRule="auto"/>
                            <w:ind w:left="308" w:leftChars="100"/>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6"/>
                      <w:spacing w:line="470" w:lineRule="auto"/>
                      <w:ind w:left="308" w:leftChars="100"/>
                    </w:pP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evenAndOddHeaders w:val="1"/>
  <w:drawingGridHorizontalSpacing w:val="154"/>
  <w:drawingGridVerticalSpacing w:val="225"/>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NTdlYzg5ZTgxNjMyYWRkYzAwYzJlODJkMzU3MDcifQ=="/>
    <w:docVar w:name="DocumentID" w:val="{7677C580-D066-44B8-A3DD-B5954A4377B5}"/>
    <w:docVar w:name="DocumentName" w:val="晋应急发〔2022〕138号  关于开展冶金工贸大检查大整治大提升的通知4.25"/>
    <w:docVar w:name="KGWebUrl" w:val="http://172.31.4.12:80/seeyon/officeservlet"/>
  </w:docVars>
  <w:rsids>
    <w:rsidRoot w:val="00F95820"/>
    <w:rsid w:val="00042735"/>
    <w:rsid w:val="0006051D"/>
    <w:rsid w:val="001A60BE"/>
    <w:rsid w:val="002F6BCF"/>
    <w:rsid w:val="00367656"/>
    <w:rsid w:val="00401669"/>
    <w:rsid w:val="00404C5F"/>
    <w:rsid w:val="00433D8F"/>
    <w:rsid w:val="00593C7B"/>
    <w:rsid w:val="005E1F2B"/>
    <w:rsid w:val="00632B02"/>
    <w:rsid w:val="00650A4E"/>
    <w:rsid w:val="00767003"/>
    <w:rsid w:val="008F7FBA"/>
    <w:rsid w:val="00986CCC"/>
    <w:rsid w:val="00AE3863"/>
    <w:rsid w:val="00AE402B"/>
    <w:rsid w:val="00BB43D4"/>
    <w:rsid w:val="00CD05CA"/>
    <w:rsid w:val="00DD52E9"/>
    <w:rsid w:val="00DF27DD"/>
    <w:rsid w:val="00E05E9F"/>
    <w:rsid w:val="00E13A3C"/>
    <w:rsid w:val="00F95820"/>
    <w:rsid w:val="07807554"/>
    <w:rsid w:val="07EA2C20"/>
    <w:rsid w:val="086F2B9A"/>
    <w:rsid w:val="091F2D9D"/>
    <w:rsid w:val="0B152D74"/>
    <w:rsid w:val="0BA92DF2"/>
    <w:rsid w:val="0BBE064B"/>
    <w:rsid w:val="0DF2282E"/>
    <w:rsid w:val="0EB45D35"/>
    <w:rsid w:val="0F2509E1"/>
    <w:rsid w:val="0FC1070A"/>
    <w:rsid w:val="10091BBA"/>
    <w:rsid w:val="112E1DCF"/>
    <w:rsid w:val="121176D5"/>
    <w:rsid w:val="131274CE"/>
    <w:rsid w:val="198A6011"/>
    <w:rsid w:val="1C597F1C"/>
    <w:rsid w:val="1C5E5533"/>
    <w:rsid w:val="1E805C34"/>
    <w:rsid w:val="21694EC5"/>
    <w:rsid w:val="22146DBF"/>
    <w:rsid w:val="22B8599C"/>
    <w:rsid w:val="25115838"/>
    <w:rsid w:val="268D616F"/>
    <w:rsid w:val="27BA11F6"/>
    <w:rsid w:val="297D349C"/>
    <w:rsid w:val="29B30A92"/>
    <w:rsid w:val="2B51698E"/>
    <w:rsid w:val="36C46BAE"/>
    <w:rsid w:val="37311541"/>
    <w:rsid w:val="38D66725"/>
    <w:rsid w:val="3D324146"/>
    <w:rsid w:val="424B3CDF"/>
    <w:rsid w:val="44CA2B01"/>
    <w:rsid w:val="45EC7588"/>
    <w:rsid w:val="497F0713"/>
    <w:rsid w:val="499A6318"/>
    <w:rsid w:val="4AE42F23"/>
    <w:rsid w:val="4C5365B2"/>
    <w:rsid w:val="4C9269AF"/>
    <w:rsid w:val="4F8E5B53"/>
    <w:rsid w:val="53395DA5"/>
    <w:rsid w:val="53876B42"/>
    <w:rsid w:val="59BC506B"/>
    <w:rsid w:val="5A6D7DB5"/>
    <w:rsid w:val="5DC560AE"/>
    <w:rsid w:val="5E0B24CE"/>
    <w:rsid w:val="5EC7182D"/>
    <w:rsid w:val="608205CF"/>
    <w:rsid w:val="62E01DCA"/>
    <w:rsid w:val="63057A83"/>
    <w:rsid w:val="63D72085"/>
    <w:rsid w:val="659B647C"/>
    <w:rsid w:val="66166196"/>
    <w:rsid w:val="67EE31DB"/>
    <w:rsid w:val="6BA8544F"/>
    <w:rsid w:val="6CA36342"/>
    <w:rsid w:val="6DF36E56"/>
    <w:rsid w:val="6EC24A7A"/>
    <w:rsid w:val="6ECE6AA6"/>
    <w:rsid w:val="706C2EEF"/>
    <w:rsid w:val="715A71EC"/>
    <w:rsid w:val="729B7ABC"/>
    <w:rsid w:val="73CD5518"/>
    <w:rsid w:val="759E3B4B"/>
    <w:rsid w:val="76350F20"/>
    <w:rsid w:val="77F41B10"/>
    <w:rsid w:val="78B83176"/>
    <w:rsid w:val="7BEB5610"/>
    <w:rsid w:val="7CC55E61"/>
    <w:rsid w:val="7F250E39"/>
    <w:rsid w:val="7F5E7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b/>
      <w:bCs/>
      <w:spacing w:val="0"/>
      <w:kern w:val="44"/>
      <w:sz w:val="44"/>
      <w:szCs w:val="24"/>
    </w:rPr>
  </w:style>
  <w:style w:type="paragraph" w:styleId="4">
    <w:name w:val="heading 2"/>
    <w:basedOn w:val="1"/>
    <w:next w:val="1"/>
    <w:qFormat/>
    <w:uiPriority w:val="0"/>
    <w:pPr>
      <w:spacing w:before="100" w:beforeAutospacing="1" w:after="100" w:afterAutospacing="1" w:line="240" w:lineRule="auto"/>
      <w:jc w:val="left"/>
      <w:outlineLvl w:val="1"/>
    </w:pPr>
    <w:rPr>
      <w:rFonts w:ascii="宋体" w:hAnsi="Calibri" w:eastAsia="宋体" w:cs="宋体"/>
      <w:b/>
      <w:spacing w:val="0"/>
      <w:kern w:val="0"/>
      <w:sz w:val="36"/>
      <w:szCs w:val="36"/>
      <w:lang w:val="en-US" w:eastAsia="zh-CN"/>
    </w:rPr>
  </w:style>
  <w:style w:type="paragraph" w:styleId="5">
    <w:name w:val="heading 3"/>
    <w:basedOn w:val="1"/>
    <w:next w:val="1"/>
    <w:qFormat/>
    <w:uiPriority w:val="0"/>
    <w:pPr>
      <w:keepNext/>
      <w:keepLines/>
      <w:spacing w:before="260" w:after="260" w:line="415" w:lineRule="auto"/>
      <w:outlineLvl w:val="2"/>
    </w:pPr>
    <w:rPr>
      <w:rFonts w:ascii="Calibri" w:hAnsi="Calibri" w:eastAsia="宋体"/>
      <w:b/>
      <w:spacing w:val="0"/>
      <w:sz w:val="32"/>
      <w:szCs w:val="24"/>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rPr>
      <w:rFonts w:ascii="Calibri" w:hAnsi="Calibri" w:eastAsia="宋体"/>
      <w:spacing w:val="0"/>
      <w:sz w:val="21"/>
      <w:szCs w:val="24"/>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1"/>
    <w:qFormat/>
    <w:uiPriority w:val="0"/>
    <w:pPr>
      <w:spacing w:beforeAutospacing="1" w:afterAutospacing="1" w:line="240" w:lineRule="auto"/>
      <w:jc w:val="left"/>
    </w:pPr>
    <w:rPr>
      <w:rFonts w:ascii="Calibri" w:hAnsi="Calibri" w:eastAsia="宋体"/>
      <w:spacing w:val="0"/>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脚 Char"/>
    <w:basedOn w:val="11"/>
    <w:link w:val="6"/>
    <w:qFormat/>
    <w:uiPriority w:val="99"/>
    <w:rPr>
      <w:rFonts w:ascii="Times New Roman" w:hAnsi="Times New Roman" w:eastAsia="仿宋_GB2312" w:cs="Times New Roman"/>
      <w:spacing w:val="-6"/>
      <w:sz w:val="18"/>
      <w:szCs w:val="18"/>
    </w:rPr>
  </w:style>
  <w:style w:type="character" w:customStyle="1" w:styleId="13">
    <w:name w:val="页眉 Char"/>
    <w:basedOn w:val="11"/>
    <w:link w:val="7"/>
    <w:qFormat/>
    <w:uiPriority w:val="99"/>
    <w:rPr>
      <w:rFonts w:ascii="Times New Roman" w:hAnsi="Times New Roman" w:eastAsia="仿宋_GB2312" w:cs="Times New Roman"/>
      <w:spacing w:val="-6"/>
      <w:sz w:val="18"/>
      <w:szCs w:val="18"/>
    </w:rPr>
  </w:style>
  <w:style w:type="paragraph" w:customStyle="1" w:styleId="14">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5">
    <w:name w:val="15"/>
    <w:basedOn w:val="11"/>
    <w:qFormat/>
    <w:uiPriority w:val="0"/>
    <w:rPr>
      <w:rFonts w:hint="default" w:ascii="Times New Roman" w:hAnsi="Times New Roman" w:cs="Times New Roman"/>
    </w:rPr>
  </w:style>
  <w:style w:type="paragraph" w:customStyle="1" w:styleId="16">
    <w:name w:val="正文首行缩进 21"/>
    <w:basedOn w:val="17"/>
    <w:next w:val="8"/>
    <w:qFormat/>
    <w:uiPriority w:val="0"/>
    <w:pPr>
      <w:ind w:left="200" w:leftChars="200"/>
    </w:pPr>
    <w:rPr>
      <w:rFonts w:eastAsia="仿宋_GB2312"/>
      <w:sz w:val="32"/>
      <w:szCs w:val="32"/>
    </w:rPr>
  </w:style>
  <w:style w:type="paragraph" w:customStyle="1" w:styleId="17">
    <w:name w:val="正文文本缩进1"/>
    <w:basedOn w:val="1"/>
    <w:qFormat/>
    <w:uiPriority w:val="0"/>
    <w:pPr>
      <w:ind w:left="20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5008</Words>
  <Characters>5124</Characters>
  <Lines>214</Lines>
  <Paragraphs>50</Paragraphs>
  <TotalTime>197</TotalTime>
  <ScaleCrop>false</ScaleCrop>
  <LinksUpToDate>false</LinksUpToDate>
  <CharactersWithSpaces>5308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2021-11-30T16:52:00Z</dcterms:created>
  <dc:creator>表单管理员</dc:creator>
  <cp:lastModifiedBy>Administrator</cp:lastModifiedBy>
  <cp:lastPrinted>2022-05-06T01:32:00Z</cp:lastPrinted>
  <dcterms:modified xsi:type="dcterms:W3CDTF">2022-05-10T09:18:19Z</dcterms:modified>
  <dc:title>关于深入开展冶金工贸行业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4ACFE68EF4AE489FADC3C112C6189256</vt:lpwstr>
  </property>
</Properties>
</file>