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84" w:lineRule="auto"/>
        <w:jc w:val="center"/>
        <w:rPr>
          <w:rFonts w:hint="eastAsia" w:ascii="仿宋" w:hAnsi="仿宋" w:eastAsia="仿宋" w:cs="仿宋"/>
          <w:sz w:val="32"/>
          <w:szCs w:val="32"/>
        </w:rPr>
      </w:pPr>
    </w:p>
    <w:p>
      <w:pPr>
        <w:spacing w:line="284" w:lineRule="auto"/>
        <w:jc w:val="center"/>
        <w:rPr>
          <w:rFonts w:hint="eastAsia" w:ascii="仿宋" w:hAnsi="仿宋" w:eastAsia="仿宋" w:cs="仿宋"/>
          <w:sz w:val="32"/>
          <w:szCs w:val="32"/>
        </w:rPr>
      </w:pPr>
      <w:r>
        <w:rPr>
          <w:rFonts w:hint="eastAsia" w:ascii="仿宋" w:hAnsi="仿宋" w:eastAsia="仿宋" w:cs="仿宋"/>
          <w:sz w:val="32"/>
          <w:szCs w:val="32"/>
        </w:rPr>
        <w:t>兴应急发〔2022〕</w:t>
      </w:r>
      <w:r>
        <w:rPr>
          <w:rFonts w:hint="eastAsia" w:ascii="仿宋" w:hAnsi="仿宋" w:eastAsia="仿宋" w:cs="仿宋"/>
          <w:sz w:val="32"/>
          <w:szCs w:val="32"/>
          <w:lang w:val="en-US" w:eastAsia="zh-CN"/>
        </w:rPr>
        <w:t>10</w:t>
      </w:r>
      <w:r>
        <w:rPr>
          <w:rFonts w:hint="eastAsia" w:ascii="仿宋" w:hAnsi="仿宋" w:eastAsia="仿宋" w:cs="仿宋"/>
          <w:sz w:val="32"/>
          <w:szCs w:val="32"/>
        </w:rPr>
        <w:t>号</w:t>
      </w:r>
      <w:r>
        <w:rPr>
          <w:rFonts w:hint="eastAsia" w:ascii="仿宋" w:hAnsi="仿宋" w:eastAsia="仿宋" w:cs="仿宋"/>
          <w:sz w:val="32"/>
          <w:szCs w:val="32"/>
          <w:lang w:val="en-US" w:eastAsia="zh-CN"/>
        </w:rPr>
        <w:t xml:space="preserve">                     </w:t>
      </w:r>
    </w:p>
    <w:p>
      <w:pPr>
        <w:spacing w:line="222" w:lineRule="auto"/>
        <w:ind w:firstLine="119"/>
        <w:jc w:val="center"/>
        <w:rPr>
          <w:rFonts w:hint="eastAsia" w:ascii="仿宋" w:hAnsi="仿宋" w:eastAsia="仿宋" w:cs="仿宋"/>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r>
        <w:rPr>
          <w:rFonts w:hint="eastAsia" w:asciiTheme="majorEastAsia" w:hAnsiTheme="majorEastAsia" w:eastAsiaTheme="majorEastAsia" w:cstheme="majorEastAsia"/>
          <w:b/>
          <w:bCs/>
          <w:vanish w:val="0"/>
          <w:color w:val="000000" w:themeColor="text1"/>
          <w:spacing w:val="187"/>
          <w:w w:val="100"/>
          <w:sz w:val="44"/>
          <w:szCs w:val="44"/>
          <w:u w:val="none"/>
          <w:lang w:val="en-US" w:eastAsia="zh-CN"/>
          <w14:textFill>
            <w14:solidFill>
              <w14:schemeClr w14:val="tx1"/>
            </w14:solidFill>
          </w14:textFill>
        </w:rPr>
        <w:t>兴县应急管理</w:t>
      </w:r>
      <w:r>
        <w:rPr>
          <w:rFonts w:hint="eastAsia" w:asciiTheme="majorEastAsia" w:hAnsiTheme="majorEastAsia" w:eastAsiaTheme="majorEastAsia" w:cstheme="majorEastAsia"/>
          <w:b/>
          <w:bCs/>
          <w:vanish w:val="0"/>
          <w:color w:val="000000" w:themeColor="text1"/>
          <w:spacing w:val="0"/>
          <w:w w:val="100"/>
          <w:sz w:val="44"/>
          <w:szCs w:val="44"/>
          <w:u w:val="none"/>
          <w:lang w:val="en-US" w:eastAsia="zh-CN"/>
          <w14:textFill>
            <w14:solidFill>
              <w14:schemeClr w14:val="tx1"/>
            </w14:solidFill>
          </w14:textFill>
        </w:rPr>
        <w:t>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40" w:lineRule="exact"/>
        <w:ind w:left="0" w:right="0"/>
        <w:jc w:val="center"/>
        <w:textAlignment w:val="auto"/>
        <w:rPr>
          <w:rFonts w:hint="eastAsia" w:asciiTheme="majorEastAsia" w:hAnsiTheme="majorEastAsia" w:eastAsiaTheme="majorEastAsia" w:cstheme="majorEastAsia"/>
          <w:b/>
          <w:bCs/>
          <w:color w:val="000000" w:themeColor="text1"/>
          <w:sz w:val="44"/>
          <w:szCs w:val="44"/>
          <w14:textFill>
            <w14:solidFill>
              <w14:schemeClr w14:val="tx1"/>
            </w14:solidFill>
          </w14:textFill>
        </w:rPr>
      </w:pPr>
      <w:r>
        <w:rPr>
          <w:rFonts w:hint="eastAsia" w:asciiTheme="majorEastAsia" w:hAnsiTheme="majorEastAsia" w:eastAsiaTheme="majorEastAsia" w:cstheme="majorEastAsia"/>
          <w:b/>
          <w:bCs/>
          <w:color w:val="000000" w:themeColor="text1"/>
          <w:kern w:val="0"/>
          <w:sz w:val="44"/>
          <w:szCs w:val="44"/>
          <w:lang w:val="en-US" w:eastAsia="zh-CN"/>
          <w14:textFill>
            <w14:solidFill>
              <w14:schemeClr w14:val="tx1"/>
            </w14:solidFill>
          </w14:textFill>
        </w:rPr>
        <w:t>关于深化煤矿安全专项整治三年行动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40" w:lineRule="exact"/>
        <w:ind w:left="0" w:right="0"/>
        <w:jc w:val="center"/>
        <w:textAlignment w:val="auto"/>
        <w:rPr>
          <w:rFonts w:hint="eastAsia" w:asciiTheme="majorEastAsia" w:hAnsiTheme="majorEastAsia" w:eastAsiaTheme="majorEastAsia" w:cstheme="majorEastAsia"/>
          <w:b/>
          <w:bCs/>
          <w:color w:val="000000" w:themeColor="text1"/>
          <w:sz w:val="44"/>
          <w:szCs w:val="44"/>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lang w:eastAsia="zh-CN"/>
          <w14:textFill>
            <w14:solidFill>
              <w14:schemeClr w14:val="tx1"/>
            </w14:solidFill>
          </w14:textFill>
        </w:rPr>
        <w:t>推进治本攻坚</w:t>
      </w:r>
      <w: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t>的</w:t>
      </w:r>
      <w:r>
        <w:rPr>
          <w:rFonts w:hint="eastAsia" w:asciiTheme="majorEastAsia" w:hAnsiTheme="majorEastAsia" w:eastAsiaTheme="majorEastAsia" w:cstheme="majorEastAsia"/>
          <w:b/>
          <w:bCs/>
          <w:color w:val="000000" w:themeColor="text1"/>
          <w:sz w:val="44"/>
          <w:szCs w:val="44"/>
          <w:lang w:eastAsia="zh-CN"/>
          <w14:textFill>
            <w14:solidFill>
              <w14:schemeClr w14:val="tx1"/>
            </w14:solidFill>
          </w14:textFill>
        </w:rPr>
        <w:t>实施方案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60" w:lineRule="exact"/>
        <w:ind w:left="0" w:right="0"/>
        <w:jc w:val="center"/>
        <w:textAlignment w:val="auto"/>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60" w:lineRule="exact"/>
        <w:ind w:left="0" w:right="0"/>
        <w:jc w:val="both"/>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各涉煤股室、兴县金地煤业有限公司: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leftChars="0" w:right="0" w:firstLine="640" w:firstLineChars="200"/>
        <w:jc w:val="both"/>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安全专项整治三年行动开展以来，煤矿认真贯彻落实国家、省、市关于煤矿安全生产专项整治的决策部署，煤矿安全生产工作取得了积极的进展。但客观分析，当前煤矿安全生产工作仍存在诸多问题，突出表现在一些煤矿安全理念树的不牢、对三年行动认识不深、治本措施不力，安全生产责任悬空、安全管理体系还不科学不完善、重大安全风险管控措施落实不到位、一些影响煤矿安全生产的根本性问题还没有得到有效解决，煤矿安全生产形势依然严峻复杂。煤矿安全工作与安全生产专项整治三年行动“两个根本”（从根本上消除事故隐患、从根本上解决问题）的要求差距较大。为切实深化煤矿安全专项整治三年行动，大力推进治本攻坚，全面提升煤矿安全管理能力和水平，坚决防范煤矿生产安全事故，根据吕梁市应急管理局《关于深化煤矿安全专项整治三年行动推进治本攻坚的通知》，制定如下实施方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leftChars="0" w:right="0" w:firstLine="640" w:firstLineChars="200"/>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一、找准查实问题，充实完善治本攻坚的内容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leftChars="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县局各相关股室、煤矿要提高政治站位，对照煤矿三年行动的目标任务，立足“两个根本”，进一步查漏补缺，持续深入排查和梳理影响煤矿安全生产的突出问题、共性问题、深层次问题和根源性问题，重点聚焦以下内容推进治本攻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leftChars="0" w:right="0" w:firstLine="640" w:firstLineChars="200"/>
        <w:jc w:val="both"/>
        <w:textAlignment w:val="auto"/>
        <w:rPr>
          <w:rFonts w:hint="eastAsia" w:ascii="楷体" w:hAnsi="楷体" w:eastAsia="楷体" w:cs="楷体"/>
          <w:b w:val="0"/>
          <w:bCs w:val="0"/>
          <w:kern w:val="0"/>
          <w:sz w:val="32"/>
          <w:szCs w:val="32"/>
          <w:lang w:val="en-US" w:eastAsia="zh-CN"/>
        </w:rPr>
      </w:pPr>
      <w:r>
        <w:rPr>
          <w:rFonts w:hint="eastAsia" w:ascii="楷体" w:hAnsi="楷体" w:eastAsia="楷体" w:cs="楷体"/>
          <w:b w:val="0"/>
          <w:bCs w:val="0"/>
          <w:kern w:val="0"/>
          <w:sz w:val="32"/>
          <w:szCs w:val="32"/>
          <w:lang w:val="en-US" w:eastAsia="zh-CN"/>
        </w:rPr>
        <w:t>（一）提高煤矿企业办矿能力。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leftChars="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1.配备具有相应管理能力的团队。配齐配强“六长”，以及负责采煤、掘进、机电运输、通风、地质、测量工作的专业技术人员。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leftChars="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2.健全完善</w:t>
      </w:r>
      <w:bookmarkStart w:id="0" w:name="_GoBack"/>
      <w:bookmarkEnd w:id="0"/>
      <w:r>
        <w:rPr>
          <w:rFonts w:hint="eastAsia" w:ascii="仿宋" w:hAnsi="仿宋" w:eastAsia="仿宋" w:cs="仿宋"/>
          <w:kern w:val="0"/>
          <w:sz w:val="32"/>
          <w:szCs w:val="32"/>
          <w:lang w:val="en-US" w:eastAsia="zh-CN"/>
        </w:rPr>
        <w:t>安全管理机构。根据煤矿灾害等级建立健全相应的安全管理机构和队伍，至少应当建立完善“七部一中心”(生产、安全、一通三防、地质防治水、机电运输、人力劳资、教育培训部，安全生产应急指挥中心)的安全管理机构，配齐配全配足专职安全生产管理人员，每个内设机构人员最低不得少于3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leftChars="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建立完善煤矿安全生产工作体系。建立健全安全生产责任体系、安全生产规章制度执行体系、安全风险隐患双重预防控制体系、安全生产资金投入保障体系、以总工程师为核心的技术管理体系、生产安全事故应急处置管理体系、安全生产教育培训体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leftChars="0" w:right="0" w:firstLine="640" w:firstLineChars="200"/>
        <w:jc w:val="both"/>
        <w:textAlignment w:val="auto"/>
        <w:rPr>
          <w:rFonts w:hint="eastAsia" w:ascii="楷体" w:hAnsi="楷体" w:eastAsia="楷体" w:cs="楷体"/>
          <w:b w:val="0"/>
          <w:bCs w:val="0"/>
          <w:kern w:val="0"/>
          <w:sz w:val="32"/>
          <w:szCs w:val="32"/>
          <w:lang w:val="en-US" w:eastAsia="zh-CN"/>
        </w:rPr>
      </w:pPr>
      <w:r>
        <w:rPr>
          <w:rFonts w:hint="eastAsia" w:ascii="楷体" w:hAnsi="楷体" w:eastAsia="楷体" w:cs="楷体"/>
          <w:b w:val="0"/>
          <w:bCs w:val="0"/>
          <w:kern w:val="0"/>
          <w:sz w:val="32"/>
          <w:szCs w:val="32"/>
          <w:lang w:val="en-US" w:eastAsia="zh-CN"/>
        </w:rPr>
        <w:t>（二）全面落实全员安全生产责任。</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1.落实主要负责人责任。</w:t>
      </w:r>
      <w:r>
        <w:rPr>
          <w:rFonts w:hint="eastAsia" w:ascii="仿宋" w:hAnsi="仿宋" w:eastAsia="仿宋" w:cs="仿宋"/>
          <w:b w:val="0"/>
          <w:bCs w:val="0"/>
          <w:color w:val="000000"/>
          <w:kern w:val="2"/>
          <w:sz w:val="32"/>
          <w:szCs w:val="32"/>
          <w:lang w:val="en-US" w:eastAsia="zh-CN" w:bidi="ar-SA"/>
        </w:rPr>
        <w:t>煤矿主体企业的主要负责人（包括法定代表人、实际控制人）和煤矿矿长要按照《安全生产法》《山西省安全生产条例》《山西省生产经营单位主要负责人安全生产责任制规定》</w:t>
      </w:r>
      <w:r>
        <w:rPr>
          <w:rFonts w:hint="eastAsia" w:ascii="仿宋" w:hAnsi="仿宋" w:eastAsia="仿宋" w:cs="仿宋"/>
          <w:kern w:val="0"/>
          <w:sz w:val="32"/>
          <w:szCs w:val="32"/>
          <w:lang w:val="en-US" w:eastAsia="zh-CN"/>
        </w:rPr>
        <w:t>（山西省人民政府令第293号令）、《山西省关于落实煤矿企业安全生产主体责任的实施意见》（晋应急发〔2020〕255号）等法律法规要求，严格履行法定职责。</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kern w:val="0"/>
          <w:sz w:val="32"/>
          <w:szCs w:val="32"/>
          <w:lang w:val="en-US" w:eastAsia="zh-CN"/>
        </w:rPr>
        <w:t>2.全面落实全员安全生产责任制。全面总结试点经验，推广实施以岗位作业流程标准化为抓手，以风险管控、隐患排查、标准化建设“三位一体”为主要内容的全员安全岗位责任制，形成环环相扣的责任链条；制定各岗位隐患排查标准、岗位作业流程和作业标准、应急处置措施，实现“一企一标准，一岗一清单”；制定落实各岗位安全生产责任考核办法，把各岗位干部职工的收入与责任落实情况连在一起，形成相互制约、相互督促的激励机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leftChars="0" w:right="0" w:firstLine="640" w:firstLineChars="200"/>
        <w:jc w:val="both"/>
        <w:textAlignment w:val="auto"/>
        <w:rPr>
          <w:rFonts w:hint="eastAsia" w:ascii="楷体" w:hAnsi="楷体" w:eastAsia="楷体" w:cs="楷体"/>
          <w:b w:val="0"/>
          <w:bCs w:val="0"/>
          <w:kern w:val="0"/>
          <w:sz w:val="32"/>
          <w:szCs w:val="32"/>
          <w:lang w:val="en-US" w:eastAsia="zh-CN"/>
        </w:rPr>
      </w:pPr>
      <w:r>
        <w:rPr>
          <w:rFonts w:hint="eastAsia" w:ascii="楷体" w:hAnsi="楷体" w:eastAsia="楷体" w:cs="楷体"/>
          <w:b w:val="0"/>
          <w:bCs w:val="0"/>
          <w:kern w:val="0"/>
          <w:sz w:val="32"/>
          <w:szCs w:val="32"/>
          <w:lang w:val="en-US" w:eastAsia="zh-CN"/>
        </w:rPr>
        <w:t>（三）强化安全培训。</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煤矿企业主要负责人和安全生产管理人员通过安全生产知识和管理能力考核，并按规定取得安全资格证。煤矿企业按规定对从业人员特别是特种作业人员进行安全培训，保证其具备必要的安全生产知识、技能，知悉自身在安全生产方面的权利和义务。强化避险自救培训，使员工熟练掌握救生器材使用，熟悉避灾路线，落实出现事故征兆紧急撤人措施，有效提升应对突发险情处置能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leftChars="0" w:right="0" w:firstLine="640" w:firstLineChars="200"/>
        <w:jc w:val="both"/>
        <w:textAlignment w:val="auto"/>
        <w:rPr>
          <w:rFonts w:hint="eastAsia" w:ascii="楷体" w:hAnsi="楷体" w:eastAsia="楷体" w:cs="楷体"/>
          <w:b w:val="0"/>
          <w:bCs w:val="0"/>
          <w:kern w:val="0"/>
          <w:sz w:val="32"/>
          <w:szCs w:val="32"/>
          <w:lang w:val="en-US" w:eastAsia="zh-CN"/>
        </w:rPr>
      </w:pPr>
      <w:r>
        <w:rPr>
          <w:rFonts w:hint="eastAsia" w:ascii="楷体" w:hAnsi="楷体" w:eastAsia="楷体" w:cs="楷体"/>
          <w:b w:val="0"/>
          <w:bCs w:val="0"/>
          <w:kern w:val="0"/>
          <w:sz w:val="32"/>
          <w:szCs w:val="32"/>
          <w:lang w:val="en-US" w:eastAsia="zh-CN"/>
        </w:rPr>
        <w:t>（四）查清隐蔽致灾因素。</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煤矿主体企业和煤矿要按照《国家矿山安全监察局关于全面开展煤矿隐蔽致灾因素普查治理工作的通知》（矿安〔2021〕121号）要求，开展隐蔽致灾因素普查治理工作，特别要查清老空区、断层构造等，并制定落实有针对性的治理措施。按照“一规程、四细则”（《煤矿安全规程》《防治煤与瓦斯突出细则》《煤矿防治水细则》《防治煤矿冲击地压细则》《煤矿防灭火细则》)的有关要求，开展瓦斯、水害、自然发火、冲击地压、煤尘爆炸危险性等灾害等级确定。县局各相关股室要强化风险研判，长周期、多维度、深层次研判事故风险，对隐蔽致灾因素不清的矿井，要依法责令停产整顿。对单一煤矿难以查清的区域性隐蔽致灾因素要组织开展普查治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640" w:lineRule="exact"/>
        <w:ind w:left="0" w:leftChars="0" w:right="0" w:rightChars="0" w:firstLine="640" w:firstLineChars="200"/>
        <w:jc w:val="both"/>
        <w:textAlignment w:val="auto"/>
        <w:rPr>
          <w:rFonts w:hint="eastAsia" w:ascii="楷体" w:hAnsi="楷体" w:eastAsia="楷体" w:cs="楷体"/>
          <w:b w:val="0"/>
          <w:bCs w:val="0"/>
          <w:kern w:val="0"/>
          <w:sz w:val="32"/>
          <w:szCs w:val="32"/>
          <w:lang w:val="en-US" w:eastAsia="zh-CN"/>
        </w:rPr>
      </w:pPr>
      <w:r>
        <w:rPr>
          <w:rFonts w:hint="eastAsia" w:ascii="楷体" w:hAnsi="楷体" w:eastAsia="楷体" w:cs="楷体"/>
          <w:b w:val="0"/>
          <w:bCs w:val="0"/>
          <w:kern w:val="0"/>
          <w:sz w:val="32"/>
          <w:szCs w:val="32"/>
          <w:lang w:val="en-US" w:eastAsia="zh-CN"/>
        </w:rPr>
        <w:t>（五）强化重大灾害防治。</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640" w:lineRule="exact"/>
        <w:ind w:left="0" w:leftChars="0" w:right="0" w:rightChars="0" w:firstLine="643" w:firstLineChars="200"/>
        <w:jc w:val="both"/>
        <w:textAlignment w:val="auto"/>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坚持系统治理、精准治理，推动重大灾害超前防范。</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矿井主要系统稳定可靠。矿井采掘、机电运输、通风、紧急避险等主要系统稳定可靠。安全监控系统功能齐全、运行可靠。</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w:t>
      </w:r>
      <w:r>
        <w:rPr>
          <w:rFonts w:hint="eastAsia" w:ascii="仿宋" w:hAnsi="仿宋" w:eastAsia="仿宋" w:cs="仿宋"/>
          <w:kern w:val="0"/>
          <w:sz w:val="32"/>
          <w:szCs w:val="32"/>
          <w:lang w:val="en-US" w:eastAsia="zh-CN"/>
        </w:rPr>
        <w:t>.</w:t>
      </w:r>
      <w:r>
        <w:rPr>
          <w:rFonts w:hint="eastAsia" w:ascii="仿宋" w:hAnsi="仿宋" w:eastAsia="仿宋" w:cs="仿宋"/>
          <w:bCs/>
          <w:kern w:val="0"/>
          <w:sz w:val="32"/>
          <w:szCs w:val="32"/>
        </w:rPr>
        <w:t>加强瓦斯治理。</w:t>
      </w:r>
      <w:r>
        <w:rPr>
          <w:rFonts w:hint="eastAsia" w:ascii="仿宋" w:hAnsi="仿宋" w:eastAsia="仿宋" w:cs="仿宋"/>
          <w:kern w:val="0"/>
          <w:sz w:val="32"/>
          <w:szCs w:val="32"/>
        </w:rPr>
        <w:t>矿井按规定开展瓦斯检查，落实瓦斯超限停电撤人、分析原因、停产整改和追究责任等四项措施。积极开展与专业院所产、学、研交流合作模式，针对煤矿瓦斯治理重大灾害方面存在的难点开展技术攻关。</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3</w:t>
      </w:r>
      <w:r>
        <w:rPr>
          <w:rFonts w:hint="eastAsia" w:ascii="仿宋" w:hAnsi="仿宋" w:eastAsia="仿宋" w:cs="仿宋"/>
          <w:kern w:val="0"/>
          <w:sz w:val="32"/>
          <w:szCs w:val="32"/>
          <w:lang w:val="en-US" w:eastAsia="zh-CN"/>
        </w:rPr>
        <w:t>.</w:t>
      </w:r>
      <w:r>
        <w:rPr>
          <w:rFonts w:hint="eastAsia" w:ascii="仿宋" w:hAnsi="仿宋" w:eastAsia="仿宋" w:cs="仿宋"/>
          <w:bCs/>
          <w:kern w:val="0"/>
          <w:sz w:val="32"/>
          <w:szCs w:val="32"/>
        </w:rPr>
        <w:t>强化防治水管理</w:t>
      </w:r>
      <w:r>
        <w:rPr>
          <w:rFonts w:hint="eastAsia" w:ascii="仿宋" w:hAnsi="仿宋" w:eastAsia="仿宋" w:cs="仿宋"/>
          <w:kern w:val="0"/>
          <w:sz w:val="32"/>
          <w:szCs w:val="32"/>
        </w:rPr>
        <w:t>，矿井严格执行“三专两探一撤”防治水措施和防、堵、疏、排、截等综合措施，做到地质普查不清楚不开工、水害治理不到位不作业、效果检验不达标不生产。实施防治水“三区”管理（禁采区、缓采区、可采区）。资源整合或兼并重组矿井推行老空水防治“四步工作法”（查全、探清、放净、验准）。今年年底前，资源整合矿井要全部使用可视化、可追溯的智能探放水装备，六月底前矿井要全面淘汰煤矿分</w:t>
      </w:r>
      <w:r>
        <w:rPr>
          <w:rFonts w:hint="eastAsia" w:ascii="仿宋" w:hAnsi="仿宋" w:eastAsia="仿宋" w:cs="仿宋"/>
          <w:kern w:val="0"/>
          <w:sz w:val="32"/>
          <w:szCs w:val="32"/>
          <w:lang w:eastAsia="zh-CN"/>
        </w:rPr>
        <w:t>辨</w:t>
      </w:r>
      <w:r>
        <w:rPr>
          <w:rFonts w:hint="eastAsia" w:ascii="仿宋" w:hAnsi="仿宋" w:eastAsia="仿宋" w:cs="仿宋"/>
          <w:kern w:val="0"/>
          <w:sz w:val="32"/>
          <w:szCs w:val="32"/>
        </w:rPr>
        <w:t>率能力不高、精度有限、抗干扰性能差的井下物探仪器设备，装备对灾害源识别高、分</w:t>
      </w:r>
      <w:r>
        <w:rPr>
          <w:rFonts w:hint="eastAsia" w:ascii="仿宋" w:hAnsi="仿宋" w:eastAsia="仿宋" w:cs="仿宋"/>
          <w:kern w:val="0"/>
          <w:sz w:val="32"/>
          <w:szCs w:val="32"/>
          <w:lang w:eastAsia="zh-CN"/>
        </w:rPr>
        <w:t>辨</w:t>
      </w:r>
      <w:r>
        <w:rPr>
          <w:rFonts w:hint="eastAsia" w:ascii="仿宋" w:hAnsi="仿宋" w:eastAsia="仿宋" w:cs="仿宋"/>
          <w:kern w:val="0"/>
          <w:sz w:val="32"/>
          <w:szCs w:val="32"/>
        </w:rPr>
        <w:t>能力强、探测距离长的新装备，全面提高物探精准探测水平。</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bCs/>
          <w:kern w:val="0"/>
          <w:sz w:val="32"/>
          <w:szCs w:val="32"/>
          <w:lang w:val="en-US" w:eastAsia="zh-CN"/>
        </w:rPr>
        <w:t>4.</w:t>
      </w:r>
      <w:r>
        <w:rPr>
          <w:rFonts w:hint="eastAsia" w:ascii="仿宋" w:hAnsi="仿宋" w:eastAsia="仿宋" w:cs="仿宋"/>
          <w:bCs/>
          <w:kern w:val="0"/>
          <w:sz w:val="32"/>
          <w:szCs w:val="32"/>
        </w:rPr>
        <w:t>严格防火防尘管理。</w:t>
      </w:r>
      <w:r>
        <w:rPr>
          <w:rFonts w:hint="eastAsia" w:ascii="仿宋" w:hAnsi="仿宋" w:eastAsia="仿宋" w:cs="仿宋"/>
          <w:kern w:val="0"/>
          <w:sz w:val="32"/>
          <w:szCs w:val="32"/>
        </w:rPr>
        <w:t>开采容易自燃和自燃煤层矿井采取综合预防煤层自然发火措施。按规定采取综合防尘措施。动火作业制定安全技术措施并按规定审批，在井口和井筒内动火作业时撤出井下所有作业人员，在主要进风巷动火作业时撤出回风侧所有人员。井下严禁使用非阻燃风筒、皮带、电缆和过期变质反应型高分子材料。</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bCs/>
          <w:kern w:val="0"/>
          <w:sz w:val="32"/>
          <w:szCs w:val="32"/>
        </w:rPr>
        <w:t>6</w:t>
      </w:r>
      <w:r>
        <w:rPr>
          <w:rFonts w:hint="eastAsia" w:ascii="仿宋" w:hAnsi="仿宋" w:eastAsia="仿宋" w:cs="仿宋"/>
          <w:bCs/>
          <w:kern w:val="0"/>
          <w:sz w:val="32"/>
          <w:szCs w:val="32"/>
          <w:lang w:val="en-US" w:eastAsia="zh-CN"/>
        </w:rPr>
        <w:t>.</w:t>
      </w:r>
      <w:r>
        <w:rPr>
          <w:rFonts w:hint="eastAsia" w:ascii="仿宋" w:hAnsi="仿宋" w:eastAsia="仿宋" w:cs="仿宋"/>
          <w:bCs/>
          <w:kern w:val="0"/>
          <w:sz w:val="32"/>
          <w:szCs w:val="32"/>
        </w:rPr>
        <w:t>严格井下爆破作业。</w:t>
      </w:r>
      <w:r>
        <w:rPr>
          <w:rFonts w:hint="eastAsia" w:ascii="仿宋" w:hAnsi="仿宋" w:eastAsia="仿宋" w:cs="仿宋"/>
          <w:kern w:val="0"/>
          <w:sz w:val="32"/>
          <w:szCs w:val="32"/>
        </w:rPr>
        <w:t>井下爆破作业由专职爆破工担任，爆破作业严格执行“一炮三检”“三人连锁爆破”制度。炸药和雷管安全等级和存放地点、数量符合有关规定。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leftChars="0" w:right="0" w:firstLine="640" w:firstLineChars="200"/>
        <w:jc w:val="both"/>
        <w:textAlignment w:val="auto"/>
        <w:rPr>
          <w:rFonts w:hint="eastAsia" w:ascii="楷体" w:hAnsi="楷体" w:eastAsia="楷体" w:cs="楷体"/>
          <w:b w:val="0"/>
          <w:bCs w:val="0"/>
          <w:kern w:val="0"/>
          <w:sz w:val="32"/>
          <w:szCs w:val="32"/>
          <w:lang w:val="en-US" w:eastAsia="zh-CN"/>
        </w:rPr>
      </w:pPr>
      <w:r>
        <w:rPr>
          <w:rFonts w:hint="eastAsia" w:ascii="楷体" w:hAnsi="楷体" w:eastAsia="楷体" w:cs="楷体"/>
          <w:b w:val="0"/>
          <w:bCs w:val="0"/>
          <w:kern w:val="0"/>
          <w:sz w:val="32"/>
          <w:szCs w:val="32"/>
          <w:lang w:val="en-US" w:eastAsia="zh-CN"/>
        </w:rPr>
        <w:t>（六）合理部署采掘接续。</w:t>
      </w:r>
    </w:p>
    <w:p>
      <w:pPr>
        <w:pStyle w:val="11"/>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煤矿要合理安排生产布局，保证矿井采掘接续科学合理，满足灾害治理时间、空间、效果需要，防止出现《防范煤矿采掘接续紧张暂行办法》界定的9种采掘接续紧张情形，以及违反规定交叉作业管理秩序混乱、多头面抢进尺赶进度等现象。采掘接续紧张的煤矿必须制定并严格落实限产减产、调整采掘计划等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leftChars="0" w:right="0" w:firstLine="640" w:firstLineChars="200"/>
        <w:jc w:val="both"/>
        <w:textAlignment w:val="auto"/>
        <w:rPr>
          <w:rFonts w:hint="eastAsia" w:ascii="楷体" w:hAnsi="楷体" w:eastAsia="楷体" w:cs="楷体"/>
          <w:b w:val="0"/>
          <w:bCs w:val="0"/>
          <w:kern w:val="0"/>
          <w:sz w:val="32"/>
          <w:szCs w:val="32"/>
          <w:lang w:val="en-US" w:eastAsia="zh-CN"/>
        </w:rPr>
      </w:pPr>
      <w:r>
        <w:rPr>
          <w:rFonts w:hint="eastAsia" w:ascii="楷体" w:hAnsi="楷体" w:eastAsia="楷体" w:cs="楷体"/>
          <w:b w:val="0"/>
          <w:bCs w:val="0"/>
          <w:kern w:val="0"/>
          <w:sz w:val="32"/>
          <w:szCs w:val="32"/>
          <w:lang w:val="en-US" w:eastAsia="zh-CN"/>
        </w:rPr>
        <w:t>（七）建立健全风险管控和隐患排查治理双重机制。</w:t>
      </w:r>
    </w:p>
    <w:p>
      <w:pPr>
        <w:pStyle w:val="11"/>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煤矿</w:t>
      </w:r>
      <w:r>
        <w:rPr>
          <w:rFonts w:hint="eastAsia" w:ascii="仿宋" w:hAnsi="仿宋" w:eastAsia="仿宋" w:cs="仿宋"/>
          <w:kern w:val="0"/>
          <w:sz w:val="32"/>
          <w:szCs w:val="32"/>
          <w:lang w:val="en-US" w:eastAsia="zh-CN"/>
        </w:rPr>
        <w:t>要</w:t>
      </w:r>
      <w:r>
        <w:rPr>
          <w:rFonts w:hint="eastAsia" w:ascii="仿宋" w:hAnsi="仿宋" w:eastAsia="仿宋" w:cs="仿宋"/>
          <w:kern w:val="0"/>
          <w:sz w:val="32"/>
          <w:szCs w:val="32"/>
        </w:rPr>
        <w:t>按照《煤矿安全风险分</w:t>
      </w:r>
      <w:r>
        <w:rPr>
          <w:rFonts w:hint="eastAsia" w:ascii="仿宋" w:hAnsi="仿宋" w:eastAsia="仿宋" w:cs="仿宋"/>
          <w:kern w:val="0"/>
          <w:sz w:val="32"/>
          <w:szCs w:val="32"/>
          <w:lang w:eastAsia="zh-CN"/>
        </w:rPr>
        <w:t>级</w:t>
      </w:r>
      <w:r>
        <w:rPr>
          <w:rFonts w:hint="eastAsia" w:ascii="仿宋" w:hAnsi="仿宋" w:eastAsia="仿宋" w:cs="仿宋"/>
          <w:kern w:val="0"/>
          <w:sz w:val="32"/>
          <w:szCs w:val="32"/>
        </w:rPr>
        <w:t>管控和隐患排查治理双重预防机制实施规范》（DB14/T2248-2020)、《山西省煤矿安全风险分</w:t>
      </w:r>
      <w:r>
        <w:rPr>
          <w:rFonts w:hint="eastAsia" w:ascii="仿宋" w:hAnsi="仿宋" w:eastAsia="仿宋" w:cs="仿宋"/>
          <w:kern w:val="0"/>
          <w:sz w:val="32"/>
          <w:szCs w:val="32"/>
          <w:lang w:eastAsia="zh-CN"/>
        </w:rPr>
        <w:t>级</w:t>
      </w:r>
      <w:r>
        <w:rPr>
          <w:rFonts w:hint="eastAsia" w:ascii="仿宋" w:hAnsi="仿宋" w:eastAsia="仿宋" w:cs="仿宋"/>
          <w:kern w:val="0"/>
          <w:sz w:val="32"/>
          <w:szCs w:val="32"/>
        </w:rPr>
        <w:t>管控和隐患排查治理双重预防机制实施指南》和《预判防控煤矿重大安全风险办法（试行）》要求开展安全风险辨识评估，真实准确研判安全风险并公示公告，制定落实防控措施。建立健全事故隐患排查治理制度，按规定组织开展自查自改，并向</w:t>
      </w:r>
      <w:r>
        <w:rPr>
          <w:rFonts w:hint="eastAsia" w:ascii="仿宋" w:hAnsi="仿宋" w:eastAsia="仿宋" w:cs="仿宋"/>
          <w:kern w:val="0"/>
          <w:sz w:val="32"/>
          <w:szCs w:val="32"/>
          <w:lang w:val="en-US" w:eastAsia="zh-CN"/>
        </w:rPr>
        <w:t>县局</w:t>
      </w:r>
      <w:r>
        <w:rPr>
          <w:rFonts w:hint="eastAsia" w:ascii="仿宋" w:hAnsi="仿宋" w:eastAsia="仿宋" w:cs="仿宋"/>
          <w:kern w:val="0"/>
          <w:sz w:val="32"/>
          <w:szCs w:val="32"/>
        </w:rPr>
        <w:t>报告排查整治情况。</w:t>
      </w:r>
      <w:r>
        <w:rPr>
          <w:rFonts w:hint="eastAsia" w:ascii="仿宋" w:hAnsi="仿宋" w:eastAsia="仿宋" w:cs="仿宋"/>
          <w:kern w:val="0"/>
          <w:sz w:val="32"/>
          <w:szCs w:val="32"/>
          <w:lang w:val="en-US" w:eastAsia="zh-CN"/>
        </w:rPr>
        <w:t>县局将</w:t>
      </w:r>
      <w:r>
        <w:rPr>
          <w:rFonts w:hint="eastAsia" w:ascii="仿宋" w:hAnsi="仿宋" w:eastAsia="仿宋" w:cs="仿宋"/>
          <w:kern w:val="0"/>
          <w:sz w:val="32"/>
          <w:szCs w:val="32"/>
        </w:rPr>
        <w:t>定期对辖区煤矿“一矿一册”开展重大风险分析研判，对重大事故隐患按规定挂牌督办、现场核查、整改销号。</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616" w:firstLineChars="200"/>
        <w:jc w:val="both"/>
        <w:textAlignment w:val="auto"/>
        <w:rPr>
          <w:rFonts w:hint="eastAsia" w:ascii="楷体" w:hAnsi="楷体" w:eastAsia="楷体" w:cs="楷体"/>
          <w:b w:val="0"/>
          <w:bCs w:val="0"/>
          <w:spacing w:val="-6"/>
          <w:kern w:val="0"/>
          <w:sz w:val="32"/>
          <w:szCs w:val="32"/>
          <w:lang w:val="en-US" w:eastAsia="zh-CN" w:bidi="ar-SA"/>
        </w:rPr>
      </w:pPr>
      <w:r>
        <w:rPr>
          <w:rFonts w:hint="eastAsia" w:ascii="楷体" w:hAnsi="楷体" w:eastAsia="楷体" w:cs="楷体"/>
          <w:b w:val="0"/>
          <w:bCs w:val="0"/>
          <w:spacing w:val="-6"/>
          <w:kern w:val="0"/>
          <w:sz w:val="32"/>
          <w:szCs w:val="32"/>
          <w:lang w:val="en-US" w:eastAsia="zh-CN" w:bidi="ar-SA"/>
        </w:rPr>
        <w:t>（八）推进安全管理体系标准化达标创建。</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2022年7前矿井必须达到二级标准化要求。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leftChars="0" w:right="0" w:firstLine="640" w:firstLineChars="200"/>
        <w:jc w:val="both"/>
        <w:textAlignment w:val="auto"/>
        <w:rPr>
          <w:rFonts w:hint="eastAsia" w:ascii="楷体" w:hAnsi="楷体" w:eastAsia="楷体" w:cs="楷体"/>
          <w:b w:val="0"/>
          <w:bCs w:val="0"/>
          <w:kern w:val="0"/>
          <w:sz w:val="32"/>
          <w:szCs w:val="32"/>
          <w:lang w:val="en-US" w:eastAsia="zh-CN"/>
        </w:rPr>
      </w:pPr>
      <w:r>
        <w:rPr>
          <w:rFonts w:hint="eastAsia" w:ascii="楷体" w:hAnsi="楷体" w:eastAsia="楷体" w:cs="楷体"/>
          <w:b w:val="0"/>
          <w:bCs w:val="0"/>
          <w:kern w:val="0"/>
          <w:sz w:val="32"/>
          <w:szCs w:val="32"/>
          <w:lang w:val="en-US" w:eastAsia="zh-CN"/>
        </w:rPr>
        <w:t>（九）严惩严重违法违规行为。</w:t>
      </w:r>
    </w:p>
    <w:p>
      <w:pPr>
        <w:pStyle w:val="11"/>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县局在地方政府统一领导下，与公安、自然资源、生态环境、电力等部门（单位）形成合力，持续保持“打非治违”的高压态势，严惩山西省应急管理厅《关于进一步严厉打击煤矿严重违法违规生产建设行为的通知》（晋应急发〔2021〕263号）明确的19种严重违法违规行为，尤其是超层越界、擅自开采保护煤柱、隐瞒作业地点、私挖乱采、以采代建、待关又采、死灰复燃、使用禁止使用的设备及工艺等严重违法行为。督促煤矿建设项目按照批准的设计组织施工；资源整合、兼并重组煤矿实行统一管理，做到“真控股、真投入、真管理”；技改煤矿按照批准的设计实施改造；停产整顿煤矿按照要求整改问题隐患；托管煤矿符合《煤矿整体托管安全管理办法（试行）》规定。严厉打击不按设计施工、假整合、假技改、假整顿、以包代管、违规转包分包等违法违规行为。对存在《安全生产法》第一百一十三条等规定情形的，依法提请地方政府予以关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leftChars="0" w:right="0" w:firstLine="640" w:firstLineChars="200"/>
        <w:jc w:val="both"/>
        <w:textAlignment w:val="auto"/>
        <w:rPr>
          <w:rFonts w:hint="eastAsia" w:ascii="楷体" w:hAnsi="楷体" w:eastAsia="楷体" w:cs="楷体"/>
          <w:b w:val="0"/>
          <w:bCs w:val="0"/>
          <w:kern w:val="0"/>
          <w:sz w:val="32"/>
          <w:szCs w:val="32"/>
          <w:lang w:val="en-US" w:eastAsia="zh-CN"/>
        </w:rPr>
      </w:pPr>
      <w:r>
        <w:rPr>
          <w:rFonts w:hint="eastAsia" w:ascii="楷体" w:hAnsi="楷体" w:eastAsia="楷体" w:cs="楷体"/>
          <w:b w:val="0"/>
          <w:bCs w:val="0"/>
          <w:kern w:val="0"/>
          <w:sz w:val="32"/>
          <w:szCs w:val="32"/>
          <w:lang w:val="en-US" w:eastAsia="zh-CN"/>
        </w:rPr>
        <w:t>（十）压紧压实监管责任。</w:t>
      </w:r>
    </w:p>
    <w:p>
      <w:pPr>
        <w:pStyle w:val="11"/>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1.继续强化“十类矿井”监管。按照吕梁市应急管理局《关于强化重点矿井安全监管工作的通知》《关于切实做好2022年全市煤矿安全生产工作的通知》要求，继续把“十类矿井”作为安全监管重点，制定落实“一矿一策”安全管控措施，同时县</w:t>
      </w:r>
      <w:r>
        <w:rPr>
          <w:rFonts w:hint="eastAsia" w:ascii="仿宋" w:hAnsi="仿宋" w:eastAsia="仿宋" w:cs="仿宋"/>
          <w:kern w:val="0"/>
          <w:sz w:val="32"/>
          <w:szCs w:val="32"/>
          <w:lang w:val="en-US" w:eastAsia="zh-CN"/>
        </w:rPr>
        <w:t>局</w:t>
      </w:r>
      <w:r>
        <w:rPr>
          <w:rFonts w:hint="eastAsia" w:ascii="仿宋" w:hAnsi="仿宋" w:eastAsia="仿宋" w:cs="仿宋"/>
          <w:kern w:val="0"/>
          <w:sz w:val="32"/>
          <w:szCs w:val="32"/>
        </w:rPr>
        <w:t>要摸排查清煤矿安全状况，强化精准监管，切实提升矿井安全生产保障能力。</w:t>
      </w:r>
    </w:p>
    <w:p>
      <w:pPr>
        <w:pStyle w:val="11"/>
        <w:keepNext w:val="0"/>
        <w:keepLines w:val="0"/>
        <w:pageBreakBefore w:val="0"/>
        <w:widowControl w:val="0"/>
        <w:kinsoku/>
        <w:wordWrap/>
        <w:overflowPunct/>
        <w:topLinePunct w:val="0"/>
        <w:autoSpaceDE/>
        <w:autoSpaceDN/>
        <w:bidi w:val="0"/>
        <w:adjustRightInd/>
        <w:snapToGrid/>
        <w:spacing w:line="640" w:lineRule="exact"/>
        <w:ind w:left="0" w:leftChars="0" w:firstLine="643" w:firstLineChars="200"/>
        <w:jc w:val="both"/>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2.切实发挥煤矿安全监管</w:t>
      </w:r>
      <w:r>
        <w:rPr>
          <w:rFonts w:hint="eastAsia" w:ascii="仿宋" w:hAnsi="仿宋" w:eastAsia="仿宋" w:cs="仿宋"/>
          <w:b/>
          <w:bCs/>
          <w:kern w:val="0"/>
          <w:sz w:val="32"/>
          <w:szCs w:val="32"/>
          <w:lang w:eastAsia="zh-CN"/>
        </w:rPr>
        <w:t>“</w:t>
      </w:r>
      <w:r>
        <w:rPr>
          <w:rFonts w:hint="eastAsia" w:ascii="仿宋" w:hAnsi="仿宋" w:eastAsia="仿宋" w:cs="仿宋"/>
          <w:b/>
          <w:bCs/>
          <w:kern w:val="0"/>
          <w:sz w:val="32"/>
          <w:szCs w:val="32"/>
        </w:rPr>
        <w:t>五人小组</w:t>
      </w:r>
      <w:r>
        <w:rPr>
          <w:rFonts w:hint="eastAsia" w:ascii="仿宋" w:hAnsi="仿宋" w:eastAsia="仿宋" w:cs="仿宋"/>
          <w:b/>
          <w:bCs/>
          <w:kern w:val="0"/>
          <w:sz w:val="32"/>
          <w:szCs w:val="32"/>
          <w:lang w:eastAsia="zh-CN"/>
        </w:rPr>
        <w:t>”</w:t>
      </w:r>
      <w:r>
        <w:rPr>
          <w:rFonts w:hint="eastAsia" w:ascii="仿宋" w:hAnsi="仿宋" w:eastAsia="仿宋" w:cs="仿宋"/>
          <w:b/>
          <w:bCs/>
          <w:kern w:val="0"/>
          <w:sz w:val="32"/>
          <w:szCs w:val="32"/>
        </w:rPr>
        <w:t>前哨作用。</w:t>
      </w:r>
      <w:r>
        <w:rPr>
          <w:rFonts w:hint="eastAsia" w:ascii="仿宋" w:hAnsi="仿宋" w:eastAsia="仿宋" w:cs="仿宋"/>
          <w:kern w:val="0"/>
          <w:sz w:val="32"/>
          <w:szCs w:val="32"/>
        </w:rPr>
        <w:t>全面提升“五人小组”业务素质和履职尽责能力，充分发挥“五人小组”前哨、眼睛作用，严格按照山西省应急管理厅《关于印发山西省煤矿安全监管五人小组管理办法（试行）的通知》（晋应急发〔2020〕75号）要求，对所包保煤矿履行工作职责，并负责督促煤矿整改各级、各部门检查发现</w:t>
      </w:r>
      <w:r>
        <w:rPr>
          <w:rFonts w:hint="eastAsia" w:ascii="仿宋" w:hAnsi="仿宋" w:eastAsia="仿宋" w:cs="仿宋"/>
          <w:kern w:val="0"/>
          <w:sz w:val="32"/>
          <w:szCs w:val="32"/>
          <w:lang w:eastAsia="zh-CN"/>
        </w:rPr>
        <w:t>的</w:t>
      </w:r>
      <w:r>
        <w:rPr>
          <w:rFonts w:hint="eastAsia" w:ascii="仿宋" w:hAnsi="仿宋" w:eastAsia="仿宋" w:cs="仿宋"/>
          <w:kern w:val="0"/>
          <w:sz w:val="32"/>
          <w:szCs w:val="32"/>
        </w:rPr>
        <w:t>安全隐患。煤矿要积极配合、全力支持，做到及时沟通调解，形成工作合力</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对涉及重大安全的事项依法依规组织查处。</w:t>
      </w:r>
    </w:p>
    <w:p>
      <w:pPr>
        <w:pStyle w:val="11"/>
        <w:keepNext w:val="0"/>
        <w:keepLines w:val="0"/>
        <w:pageBreakBefore w:val="0"/>
        <w:widowControl w:val="0"/>
        <w:kinsoku/>
        <w:wordWrap/>
        <w:overflowPunct/>
        <w:topLinePunct w:val="0"/>
        <w:autoSpaceDE/>
        <w:autoSpaceDN/>
        <w:bidi w:val="0"/>
        <w:adjustRightInd/>
        <w:snapToGrid/>
        <w:spacing w:line="640" w:lineRule="exact"/>
        <w:ind w:left="0" w:leftChars="0" w:firstLine="643" w:firstLineChars="200"/>
        <w:jc w:val="both"/>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3.强化监管责任。</w:t>
      </w:r>
      <w:r>
        <w:rPr>
          <w:rFonts w:hint="eastAsia" w:ascii="仿宋" w:hAnsi="仿宋" w:eastAsia="仿宋" w:cs="仿宋"/>
          <w:kern w:val="0"/>
          <w:sz w:val="32"/>
          <w:szCs w:val="32"/>
          <w:lang w:val="en-US" w:eastAsia="zh-CN"/>
        </w:rPr>
        <w:t>县局</w:t>
      </w:r>
      <w:r>
        <w:rPr>
          <w:rFonts w:hint="eastAsia" w:ascii="仿宋" w:hAnsi="仿宋" w:eastAsia="仿宋" w:cs="仿宋"/>
          <w:kern w:val="0"/>
          <w:sz w:val="32"/>
          <w:szCs w:val="32"/>
        </w:rPr>
        <w:t>煤矿安全监管部门人员、技术能力、装备应满足实际工作需要。煤矿安全监管部门执法力量不足的可按规定聘用、聘任技术检查员和社会监督员。严格落实地方煤矿安全监管部门分级属地监管和监管专员监管责任，确保煤矿的日常安全监管主体及联系包保、驻矿盯守、安全巡查等责任人按照要求履行有关安全监管职责。严格按规定和程序开展复产复工验收。严格落实</w:t>
      </w:r>
      <w:r>
        <w:rPr>
          <w:rFonts w:hint="eastAsia" w:ascii="仿宋" w:hAnsi="仿宋" w:eastAsia="仿宋" w:cs="仿宋"/>
          <w:kern w:val="0"/>
          <w:sz w:val="32"/>
          <w:szCs w:val="32"/>
          <w:lang w:eastAsia="zh-CN"/>
        </w:rPr>
        <w:t>煤矿安全</w:t>
      </w:r>
      <w:r>
        <w:rPr>
          <w:rFonts w:hint="eastAsia" w:ascii="仿宋" w:hAnsi="仿宋" w:eastAsia="仿宋" w:cs="仿宋"/>
          <w:kern w:val="0"/>
          <w:sz w:val="32"/>
          <w:szCs w:val="32"/>
        </w:rPr>
        <w:t>监管专员制度</w:t>
      </w:r>
      <w:r>
        <w:rPr>
          <w:rFonts w:hint="eastAsia" w:ascii="仿宋" w:hAnsi="仿宋" w:eastAsia="仿宋" w:cs="仿宋"/>
          <w:kern w:val="0"/>
          <w:sz w:val="32"/>
          <w:szCs w:val="32"/>
          <w:lang w:eastAsia="zh-CN"/>
        </w:rPr>
        <w:t>，建立运用互联网、大数据、人工智能、手机端</w:t>
      </w:r>
      <w:r>
        <w:rPr>
          <w:rFonts w:hint="eastAsia" w:ascii="仿宋" w:hAnsi="仿宋" w:eastAsia="仿宋" w:cs="仿宋"/>
          <w:kern w:val="0"/>
          <w:sz w:val="32"/>
          <w:szCs w:val="32"/>
          <w:lang w:val="en-US" w:eastAsia="zh-CN"/>
        </w:rPr>
        <w:t>APP</w:t>
      </w:r>
      <w:r>
        <w:rPr>
          <w:rFonts w:hint="eastAsia" w:ascii="仿宋" w:hAnsi="仿宋" w:eastAsia="仿宋" w:cs="仿宋"/>
          <w:kern w:val="0"/>
          <w:sz w:val="32"/>
          <w:szCs w:val="32"/>
          <w:lang w:eastAsia="zh-CN"/>
        </w:rPr>
        <w:t>等技术手段进行监管的制度，实行“两人一矿”常态化监管。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leftChars="0" w:right="0" w:firstLine="640" w:firstLineChars="200"/>
        <w:jc w:val="both"/>
        <w:textAlignment w:val="auto"/>
        <w:rPr>
          <w:rFonts w:hint="eastAsia" w:ascii="楷体" w:hAnsi="楷体" w:eastAsia="楷体" w:cs="楷体"/>
          <w:b w:val="0"/>
          <w:bCs w:val="0"/>
          <w:kern w:val="0"/>
          <w:sz w:val="32"/>
          <w:szCs w:val="32"/>
          <w:lang w:val="en-US" w:eastAsia="zh-CN"/>
        </w:rPr>
      </w:pPr>
      <w:r>
        <w:rPr>
          <w:rFonts w:hint="eastAsia" w:ascii="楷体" w:hAnsi="楷体" w:eastAsia="楷体" w:cs="楷体"/>
          <w:b w:val="0"/>
          <w:bCs w:val="0"/>
          <w:kern w:val="0"/>
          <w:sz w:val="32"/>
          <w:szCs w:val="32"/>
          <w:lang w:val="en-US" w:eastAsia="zh-CN"/>
        </w:rPr>
        <w:t>（十一）各县（市、区）根据实际情况确定的其他内容。</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二、明确措施时限，确保三年行动目标圆满实现</w:t>
      </w:r>
    </w:p>
    <w:p>
      <w:pPr>
        <w:pStyle w:val="11"/>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从2022年1月至2022年12月，分三个阶段进行。</w:t>
      </w:r>
    </w:p>
    <w:p>
      <w:pPr>
        <w:pStyle w:val="11"/>
        <w:keepNext w:val="0"/>
        <w:keepLines w:val="0"/>
        <w:pageBreakBefore w:val="0"/>
        <w:widowControl w:val="0"/>
        <w:kinsoku/>
        <w:wordWrap/>
        <w:overflowPunct/>
        <w:topLinePunct w:val="0"/>
        <w:autoSpaceDE/>
        <w:autoSpaceDN/>
        <w:bidi w:val="0"/>
        <w:adjustRightInd/>
        <w:snapToGrid/>
        <w:spacing w:line="640" w:lineRule="exact"/>
        <w:ind w:left="0" w:leftChars="0" w:firstLine="616" w:firstLineChars="200"/>
        <w:jc w:val="both"/>
        <w:textAlignment w:val="auto"/>
        <w:rPr>
          <w:rFonts w:hint="eastAsia" w:ascii="仿宋" w:hAnsi="仿宋" w:eastAsia="仿宋" w:cs="仿宋"/>
          <w:kern w:val="0"/>
          <w:sz w:val="32"/>
          <w:szCs w:val="32"/>
        </w:rPr>
      </w:pPr>
      <w:r>
        <w:rPr>
          <w:rFonts w:hint="eastAsia" w:ascii="楷体" w:hAnsi="楷体" w:eastAsia="楷体" w:cs="楷体"/>
          <w:b w:val="0"/>
          <w:bCs w:val="0"/>
          <w:spacing w:val="-6"/>
          <w:kern w:val="0"/>
          <w:sz w:val="32"/>
          <w:szCs w:val="32"/>
          <w:lang w:val="en-US" w:eastAsia="zh-CN" w:bidi="ar-SA"/>
        </w:rPr>
        <w:t>（一）明确任务措施（2022年3月至4月）。</w:t>
      </w:r>
      <w:r>
        <w:rPr>
          <w:rFonts w:hint="eastAsia" w:ascii="仿宋" w:hAnsi="仿宋" w:eastAsia="仿宋" w:cs="仿宋"/>
          <w:b w:val="0"/>
          <w:bCs w:val="0"/>
          <w:spacing w:val="-6"/>
          <w:kern w:val="0"/>
          <w:sz w:val="32"/>
          <w:szCs w:val="32"/>
          <w:lang w:val="en-US" w:eastAsia="zh-CN" w:bidi="ar-SA"/>
        </w:rPr>
        <w:t>县局各相关股室，</w:t>
      </w:r>
      <w:r>
        <w:rPr>
          <w:rFonts w:hint="eastAsia" w:ascii="仿宋" w:hAnsi="仿宋" w:eastAsia="仿宋" w:cs="仿宋"/>
          <w:kern w:val="0"/>
          <w:sz w:val="32"/>
          <w:szCs w:val="32"/>
        </w:rPr>
        <w:t>煤矿主体企业和煤矿结合“百日攻坚”行动组织开展深入排查，确定治本攻坚任务和具体措施，并将治本攻坚任务和具体措施纳入煤矿安全专项整治三年行动“两个清单”。</w:t>
      </w:r>
    </w:p>
    <w:p>
      <w:pPr>
        <w:pStyle w:val="11"/>
        <w:keepNext w:val="0"/>
        <w:keepLines w:val="0"/>
        <w:pageBreakBefore w:val="0"/>
        <w:widowControl w:val="0"/>
        <w:kinsoku/>
        <w:wordWrap/>
        <w:overflowPunct/>
        <w:topLinePunct w:val="0"/>
        <w:autoSpaceDE/>
        <w:autoSpaceDN/>
        <w:bidi w:val="0"/>
        <w:adjustRightInd/>
        <w:snapToGrid/>
        <w:spacing w:line="640" w:lineRule="exact"/>
        <w:ind w:left="0" w:leftChars="0" w:firstLine="616" w:firstLineChars="200"/>
        <w:jc w:val="both"/>
        <w:textAlignment w:val="auto"/>
        <w:rPr>
          <w:rFonts w:hint="eastAsia" w:ascii="仿宋" w:hAnsi="仿宋" w:eastAsia="仿宋" w:cs="仿宋"/>
          <w:kern w:val="0"/>
          <w:sz w:val="32"/>
          <w:szCs w:val="32"/>
        </w:rPr>
      </w:pPr>
      <w:r>
        <w:rPr>
          <w:rFonts w:hint="eastAsia" w:ascii="楷体" w:hAnsi="楷体" w:eastAsia="楷体" w:cs="楷体"/>
          <w:b w:val="0"/>
          <w:bCs w:val="0"/>
          <w:spacing w:val="-6"/>
          <w:kern w:val="0"/>
          <w:sz w:val="32"/>
          <w:szCs w:val="32"/>
          <w:lang w:val="en-US" w:eastAsia="zh-CN" w:bidi="ar-SA"/>
        </w:rPr>
        <w:t>（二）推进治本攻坚（2022年5月至10月）。</w:t>
      </w:r>
      <w:r>
        <w:rPr>
          <w:rFonts w:hint="eastAsia" w:ascii="仿宋" w:hAnsi="仿宋" w:eastAsia="仿宋" w:cs="仿宋"/>
          <w:b w:val="0"/>
          <w:bCs w:val="0"/>
          <w:spacing w:val="-6"/>
          <w:kern w:val="0"/>
          <w:sz w:val="32"/>
          <w:szCs w:val="32"/>
          <w:lang w:val="en-US" w:eastAsia="zh-CN" w:bidi="ar-SA"/>
        </w:rPr>
        <w:t>局各相关股室</w:t>
      </w:r>
      <w:r>
        <w:rPr>
          <w:rFonts w:hint="eastAsia" w:ascii="仿宋" w:hAnsi="仿宋" w:eastAsia="仿宋" w:cs="仿宋"/>
          <w:kern w:val="0"/>
          <w:sz w:val="32"/>
          <w:szCs w:val="32"/>
        </w:rPr>
        <w:t>、煤矿主体企业和煤矿逐项对照治本攻坚具体措施，动态更新“两个清单”，推动各项治本攻坚任务逐项清零。从7月份开始对照三年行动方案对三年行动各项任务完成情况进行逐项总结自评。</w:t>
      </w:r>
    </w:p>
    <w:p>
      <w:pPr>
        <w:pStyle w:val="11"/>
        <w:keepNext w:val="0"/>
        <w:keepLines w:val="0"/>
        <w:pageBreakBefore w:val="0"/>
        <w:widowControl w:val="0"/>
        <w:kinsoku/>
        <w:wordWrap/>
        <w:overflowPunct/>
        <w:topLinePunct w:val="0"/>
        <w:autoSpaceDE/>
        <w:autoSpaceDN/>
        <w:bidi w:val="0"/>
        <w:adjustRightInd/>
        <w:snapToGrid/>
        <w:spacing w:line="640" w:lineRule="exact"/>
        <w:ind w:left="0" w:leftChars="0" w:firstLine="616" w:firstLineChars="200"/>
        <w:jc w:val="both"/>
        <w:textAlignment w:val="auto"/>
        <w:rPr>
          <w:rFonts w:hint="eastAsia" w:ascii="仿宋" w:hAnsi="仿宋" w:eastAsia="仿宋" w:cs="仿宋"/>
          <w:kern w:val="0"/>
          <w:sz w:val="32"/>
          <w:szCs w:val="32"/>
        </w:rPr>
      </w:pPr>
      <w:r>
        <w:rPr>
          <w:rFonts w:hint="eastAsia" w:ascii="楷体" w:hAnsi="楷体" w:eastAsia="楷体" w:cs="楷体"/>
          <w:b w:val="0"/>
          <w:bCs w:val="0"/>
          <w:spacing w:val="-6"/>
          <w:kern w:val="0"/>
          <w:sz w:val="32"/>
          <w:szCs w:val="32"/>
          <w:lang w:val="en-US" w:eastAsia="zh-CN" w:bidi="ar-SA"/>
        </w:rPr>
        <w:t>（三）开展总结评估（2022年11月至12月）。</w:t>
      </w:r>
      <w:r>
        <w:rPr>
          <w:rFonts w:hint="eastAsia" w:ascii="仿宋" w:hAnsi="仿宋" w:eastAsia="仿宋" w:cs="仿宋"/>
          <w:b w:val="0"/>
          <w:bCs w:val="0"/>
          <w:spacing w:val="-6"/>
          <w:kern w:val="0"/>
          <w:sz w:val="32"/>
          <w:szCs w:val="32"/>
          <w:lang w:val="en-US" w:eastAsia="zh-CN" w:bidi="ar-SA"/>
        </w:rPr>
        <w:t>局各相关股室</w:t>
      </w:r>
      <w:r>
        <w:rPr>
          <w:rFonts w:hint="eastAsia" w:ascii="仿宋" w:hAnsi="仿宋" w:eastAsia="仿宋" w:cs="仿宋"/>
          <w:kern w:val="0"/>
          <w:sz w:val="32"/>
          <w:szCs w:val="32"/>
        </w:rPr>
        <w:t>、煤矿主体企业对任务完成情况开展总结评估。对未能按期完成的任务措施,要分析原因、完善措施、限期于12月底前完成。对存在重大安全风险、限期未完成三年行动工作任务的以及不能保证安全生产的煤矿，要停产整改。</w:t>
      </w:r>
      <w:r>
        <w:rPr>
          <w:rFonts w:hint="eastAsia" w:ascii="仿宋" w:hAnsi="仿宋" w:eastAsia="仿宋" w:cs="仿宋"/>
          <w:kern w:val="0"/>
          <w:sz w:val="32"/>
          <w:szCs w:val="32"/>
          <w:lang w:eastAsia="zh-CN"/>
        </w:rPr>
        <w:t>要</w:t>
      </w:r>
      <w:r>
        <w:rPr>
          <w:rFonts w:hint="eastAsia" w:ascii="仿宋" w:hAnsi="仿宋" w:eastAsia="仿宋" w:cs="仿宋"/>
          <w:kern w:val="0"/>
          <w:sz w:val="32"/>
          <w:szCs w:val="32"/>
        </w:rPr>
        <w:t>总结分析经验教训，将好的经验做法提炼固化为规章制度、标准规范，进一步健全完善煤矿安全生产长效机制。</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三、工作要求</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val="0"/>
          <w:bCs w:val="0"/>
          <w:kern w:val="0"/>
          <w:sz w:val="32"/>
          <w:szCs w:val="32"/>
          <w:lang w:val="en-US" w:eastAsia="zh-CN"/>
        </w:rPr>
        <w:t>（一）提高政治站位。</w:t>
      </w:r>
      <w:r>
        <w:rPr>
          <w:rFonts w:hint="eastAsia" w:ascii="仿宋" w:hAnsi="仿宋" w:eastAsia="仿宋" w:cs="仿宋"/>
          <w:b w:val="0"/>
          <w:bCs w:val="0"/>
          <w:kern w:val="0"/>
          <w:sz w:val="32"/>
          <w:szCs w:val="32"/>
          <w:lang w:val="en-US" w:eastAsia="zh-CN"/>
        </w:rPr>
        <w:t>县局各相关股室</w:t>
      </w:r>
      <w:r>
        <w:rPr>
          <w:rFonts w:hint="eastAsia" w:ascii="仿宋" w:hAnsi="仿宋" w:eastAsia="仿宋" w:cs="仿宋"/>
          <w:sz w:val="32"/>
          <w:szCs w:val="32"/>
          <w:lang w:val="en-US" w:eastAsia="zh-CN"/>
        </w:rPr>
        <w:t>、煤矿主体企业和煤矿要站在“两个维护”的高度，深刻理解开展煤矿安全专项整治三年行动的重要意义。要立足“两个根本”，敢于担当、主动作为，带头分析查找问题，带头研究目标任务，务求取得实效。</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val="0"/>
          <w:bCs w:val="0"/>
          <w:kern w:val="0"/>
          <w:sz w:val="32"/>
          <w:szCs w:val="32"/>
          <w:lang w:val="en-US" w:eastAsia="zh-CN"/>
        </w:rPr>
        <w:t>（二）压实任务责任。</w:t>
      </w:r>
      <w:r>
        <w:rPr>
          <w:rFonts w:hint="eastAsia" w:ascii="仿宋" w:hAnsi="仿宋" w:eastAsia="仿宋" w:cs="仿宋"/>
          <w:sz w:val="32"/>
          <w:szCs w:val="32"/>
          <w:lang w:val="en-US" w:eastAsia="zh-CN"/>
        </w:rPr>
        <w:t>煤矿要对照上述十一方面的要求和《国家煤矿安监局关于开展煤矿安全自检自改工作的通知》（煤安监监察〔2017〕6号）中井工煤矿221项、露天煤矿165项安全自检表展自查，进一步完善煤矿的治本攻坚任务和具体措施。县应急管理局将对煤矿企业及煤矿治本攻坚任务和具体措施进行审核，对排查不深入、攻坚任务不明确、治理措施不具体的要责令重新开展。</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val="0"/>
          <w:bCs w:val="0"/>
          <w:kern w:val="0"/>
          <w:sz w:val="32"/>
          <w:szCs w:val="32"/>
          <w:lang w:val="en-US" w:eastAsia="zh-CN"/>
        </w:rPr>
        <w:t>（三）强化源头治理。</w:t>
      </w:r>
      <w:r>
        <w:rPr>
          <w:rFonts w:hint="eastAsia" w:ascii="仿宋" w:hAnsi="仿宋" w:eastAsia="仿宋" w:cs="仿宋"/>
          <w:sz w:val="32"/>
          <w:szCs w:val="32"/>
          <w:lang w:val="en-US" w:eastAsia="zh-CN"/>
        </w:rPr>
        <w:t>要坚持标本兼治、重在治本，深化源头治理。对存在重大灾害难以有效治理的，要停产缓采，积极引导退出；对普遍存在的问题要在规章制度、规程措施上找原因，对反复出现的问题要从规律上、管理上找原因，建章立制，堵漏洞、补短板、强弱项；对煤矿企业和本部门自身难以解决的区域性突出问题，对涉及煤炭产业结构调整等深层次矛盾和突出问题，要及时向地方党委、政府报告，推动纳入地方政府层面“两个清单”集中攻坚，实现“两个根本”。</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val="0"/>
          <w:bCs w:val="0"/>
          <w:kern w:val="0"/>
          <w:sz w:val="32"/>
          <w:szCs w:val="32"/>
          <w:lang w:val="en-US" w:eastAsia="zh-CN"/>
        </w:rPr>
        <w:t>（四）强化以点带面。</w:t>
      </w:r>
      <w:r>
        <w:rPr>
          <w:rFonts w:hint="eastAsia" w:ascii="仿宋" w:hAnsi="仿宋" w:eastAsia="仿宋" w:cs="仿宋"/>
          <w:sz w:val="32"/>
          <w:szCs w:val="32"/>
          <w:lang w:val="en-US" w:eastAsia="zh-CN"/>
        </w:rPr>
        <w:t>要积极发掘先进典型，通过现场会、媒体宣传等措施，大力宣传治本攻坚新举措、新成效，以点带面，推动治本攻坚工作取得明显成效。</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 w:hAnsi="仿宋" w:eastAsia="仿宋" w:cs="仿宋"/>
          <w:sz w:val="32"/>
          <w:szCs w:val="32"/>
        </w:rPr>
      </w:pPr>
      <w:r>
        <w:rPr>
          <w:rFonts w:hint="eastAsia" w:ascii="楷体" w:hAnsi="楷体" w:eastAsia="楷体" w:cs="楷体"/>
          <w:b w:val="0"/>
          <w:bCs w:val="0"/>
          <w:kern w:val="0"/>
          <w:sz w:val="32"/>
          <w:szCs w:val="32"/>
          <w:lang w:val="en-US" w:eastAsia="zh-CN"/>
        </w:rPr>
        <w:t>（五）强化信息报送。</w:t>
      </w:r>
      <w:r>
        <w:rPr>
          <w:rFonts w:hint="eastAsia" w:ascii="仿宋" w:hAnsi="仿宋" w:eastAsia="仿宋" w:cs="仿宋"/>
          <w:sz w:val="32"/>
          <w:szCs w:val="32"/>
          <w:lang w:val="en-US" w:eastAsia="zh-CN"/>
        </w:rPr>
        <w:t>煤矿主体企业和煤矿要制定具体实施方案。煤矿4月5日前将实施方案和治本攻坚任务措施,7月10日、10月10日前将治本攻坚工作进展情况（包括主要做法、确定的治本攻坚任务和具体措施落实情况、新出台的制度规定、取得的成效、存在的差距和不足以及意见建议等），12月10日前将治本攻坚工作总结报县应急管理局。</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rPr>
          <w:rFonts w:hint="eastAsia" w:ascii="仿宋" w:hAnsi="仿宋" w:eastAsia="仿宋" w:cs="仿宋"/>
          <w:sz w:val="32"/>
          <w:szCs w:val="32"/>
        </w:rPr>
      </w:pPr>
    </w:p>
    <w:p>
      <w:pPr>
        <w:pStyle w:val="11"/>
        <w:keepNext w:val="0"/>
        <w:keepLines w:val="0"/>
        <w:pageBreakBefore w:val="0"/>
        <w:wordWrap/>
        <w:overflowPunct/>
        <w:topLinePunct w:val="0"/>
        <w:bidi w:val="0"/>
        <w:spacing w:line="640" w:lineRule="exact"/>
        <w:ind w:left="0" w:leftChars="0"/>
        <w:jc w:val="both"/>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firstLine="5440" w:firstLineChars="1700"/>
        <w:jc w:val="both"/>
        <w:rPr>
          <w:rFonts w:hint="eastAsia" w:ascii="仿宋" w:hAnsi="仿宋" w:eastAsia="仿宋" w:cs="仿宋"/>
          <w:sz w:val="32"/>
          <w:szCs w:val="32"/>
        </w:rPr>
      </w:pPr>
      <w:r>
        <w:rPr>
          <w:rFonts w:hint="eastAsia" w:ascii="仿宋" w:hAnsi="仿宋" w:eastAsia="仿宋" w:cs="仿宋"/>
          <w:sz w:val="32"/>
          <w:szCs w:val="32"/>
          <w:lang w:val="en-US" w:eastAsia="zh-CN"/>
        </w:rPr>
        <w:t>兴县</w:t>
      </w:r>
      <w:r>
        <w:rPr>
          <w:rFonts w:hint="eastAsia" w:ascii="仿宋" w:hAnsi="仿宋" w:eastAsia="仿宋" w:cs="仿宋"/>
          <w:sz w:val="32"/>
          <w:szCs w:val="32"/>
        </w:rPr>
        <w:t xml:space="preserve">应急管理局 </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w:t>
      </w:r>
      <w:r>
        <w:rPr>
          <w:rFonts w:hint="eastAsia" w:ascii="仿宋" w:hAnsi="仿宋" w:eastAsia="仿宋" w:cs="仿宋"/>
          <w:sz w:val="32"/>
          <w:szCs w:val="32"/>
        </w:rPr>
        <w:t>2年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w:t>
      </w: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rPr>
          <w:rFonts w:ascii="仿宋" w:hAnsi="仿宋" w:eastAsia="仿宋" w:cs="仿宋"/>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-127635</wp:posOffset>
                </wp:positionH>
                <wp:positionV relativeFrom="paragraph">
                  <wp:posOffset>212725</wp:posOffset>
                </wp:positionV>
                <wp:extent cx="5991225" cy="0"/>
                <wp:effectExtent l="0" t="9525" r="9525" b="9525"/>
                <wp:wrapNone/>
                <wp:docPr id="4" name="直接连接符 4"/>
                <wp:cNvGraphicFramePr/>
                <a:graphic xmlns:a="http://schemas.openxmlformats.org/drawingml/2006/main">
                  <a:graphicData uri="http://schemas.microsoft.com/office/word/2010/wordprocessingShape">
                    <wps:wsp>
                      <wps:cNvCnPr/>
                      <wps:spPr>
                        <a:xfrm>
                          <a:off x="935355" y="9222105"/>
                          <a:ext cx="59912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0.05pt;margin-top:16.75pt;height:0pt;width:471.75pt;z-index:251659264;mso-width-relative:page;mso-height-relative:page;" filled="f" stroked="t" coordsize="21600,21600" o:gfxdata="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xRfxG1wAAAAkBAAAPAAAAAAAAAAEAIAAAACIAAABkcnMvZG93bnJl&#10;di54bWxQSwECFAAUAAAACACHTuJAOfkhDP4BAADfAwAADgAAAAAAAAABACAAAAAmAQAAZHJzL2Uy&#10;b0RvYy54bWxQSwUGAAAAAAYABgBZAQAAlgUAAAAA&#10;">
                <v:fill on="f" focussize="0,0"/>
                <v:stroke weight="1.5pt" color="#000000 [3200]" joinstyle="round"/>
                <v:imagedata o:title=""/>
                <o:lock v:ext="edit" aspectratio="f"/>
              </v:line>
            </w:pict>
          </mc:Fallback>
        </mc:AlternateContent>
      </w:r>
    </w:p>
    <w:p>
      <w:pPr>
        <w:rPr>
          <w:rFonts w:hint="default" w:ascii="仿宋" w:hAnsi="仿宋" w:eastAsia="仿宋" w:cs="仿宋"/>
          <w:sz w:val="32"/>
          <w:szCs w:val="32"/>
          <w:lang w:val="en-US"/>
        </w:rPr>
      </w:pPr>
      <w:r>
        <w:rPr>
          <w:sz w:val="32"/>
        </w:rPr>
        <mc:AlternateContent>
          <mc:Choice Requires="wps">
            <w:drawing>
              <wp:anchor distT="0" distB="0" distL="114300" distR="114300" simplePos="0" relativeHeight="251660288" behindDoc="0" locked="0" layoutInCell="1" allowOverlap="1">
                <wp:simplePos x="0" y="0"/>
                <wp:positionH relativeFrom="column">
                  <wp:posOffset>-137160</wp:posOffset>
                </wp:positionH>
                <wp:positionV relativeFrom="paragraph">
                  <wp:posOffset>358775</wp:posOffset>
                </wp:positionV>
                <wp:extent cx="6010275" cy="0"/>
                <wp:effectExtent l="0" t="9525" r="9525" b="9525"/>
                <wp:wrapNone/>
                <wp:docPr id="5" name="直接连接符 5"/>
                <wp:cNvGraphicFramePr/>
                <a:graphic xmlns:a="http://schemas.openxmlformats.org/drawingml/2006/main">
                  <a:graphicData uri="http://schemas.microsoft.com/office/word/2010/wordprocessingShape">
                    <wps:wsp>
                      <wps:cNvCnPr/>
                      <wps:spPr>
                        <a:xfrm>
                          <a:off x="840105" y="9641205"/>
                          <a:ext cx="60102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0.8pt;margin-top:28.25pt;height:0pt;width:473.25pt;z-index:251660288;mso-width-relative:page;mso-height-relative:page;" filled="f" stroked="t" coordsize="21600,21600" o:gfxdata="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QUwUtYAAAAJAQAADwAAAAAAAAABACAAAAAiAAAAZHJzL2Rvd25yZXYueG1s&#10;UEsBAhQAFAAAAAgAh07iQLf4cP/6AQAA3wMAAA4AAAAAAAAAAQAgAAAAJQEAAGRycy9lMm9Eb2Mu&#10;eG1sUEsFBgAAAAAGAAYAWQEAAJEFAAAAAA==&#10;">
                <v:fill on="f" focussize="0,0"/>
                <v:stroke weight="1.5pt" color="#000000 [3200]" joinstyle="round"/>
                <v:imagedata o:title=""/>
                <o:lock v:ext="edit" aspectratio="f"/>
              </v:line>
            </w:pict>
          </mc:Fallback>
        </mc:AlternateContent>
      </w:r>
      <w:r>
        <w:rPr>
          <w:rFonts w:hint="eastAsia" w:ascii="仿宋" w:hAnsi="仿宋" w:eastAsia="仿宋" w:cs="仿宋"/>
          <w:sz w:val="32"/>
          <w:szCs w:val="32"/>
          <w:lang w:val="en-US" w:eastAsia="zh-CN"/>
        </w:rPr>
        <w:t>兴县应急管理局                           2022年4月1日印发</w:t>
      </w:r>
    </w:p>
    <w:sectPr>
      <w:footerReference r:id="rId5" w:type="default"/>
      <w:pgSz w:w="12110" w:h="16970"/>
      <w:pgMar w:top="1442" w:right="1394" w:bottom="1694" w:left="1539" w:header="0" w:footer="132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8" w:lineRule="auto"/>
      <w:rPr>
        <w:rFonts w:ascii="仿宋" w:hAnsi="仿宋" w:eastAsia="仿宋" w:cs="仿宋"/>
        <w:sz w:val="36"/>
        <w:szCs w:val="3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DUwZWQxNTlhYzBkZDAyOWFkZTNlZTAzZjJkYTU1NGUifQ=="/>
  </w:docVars>
  <w:rsids>
    <w:rsidRoot w:val="00000000"/>
    <w:rsid w:val="023F7791"/>
    <w:rsid w:val="02880F56"/>
    <w:rsid w:val="085A1A4A"/>
    <w:rsid w:val="0BEA58E4"/>
    <w:rsid w:val="0C540FAF"/>
    <w:rsid w:val="12156D85"/>
    <w:rsid w:val="14D7452C"/>
    <w:rsid w:val="1A6C7501"/>
    <w:rsid w:val="1F0871D4"/>
    <w:rsid w:val="28A86DD0"/>
    <w:rsid w:val="29BA6779"/>
    <w:rsid w:val="2C041C52"/>
    <w:rsid w:val="2C1D3148"/>
    <w:rsid w:val="2FB7522E"/>
    <w:rsid w:val="35927056"/>
    <w:rsid w:val="359B7021"/>
    <w:rsid w:val="38BF324F"/>
    <w:rsid w:val="3A107F51"/>
    <w:rsid w:val="3FA527BE"/>
    <w:rsid w:val="40295CD4"/>
    <w:rsid w:val="48270D4B"/>
    <w:rsid w:val="529E42FF"/>
    <w:rsid w:val="53257C10"/>
    <w:rsid w:val="56E10C5F"/>
    <w:rsid w:val="59CA2434"/>
    <w:rsid w:val="5B9067AF"/>
    <w:rsid w:val="5E8D374D"/>
    <w:rsid w:val="60566219"/>
    <w:rsid w:val="67D72B31"/>
    <w:rsid w:val="6819554E"/>
    <w:rsid w:val="6BCA6DFA"/>
    <w:rsid w:val="6C1E1486"/>
    <w:rsid w:val="70415C66"/>
    <w:rsid w:val="73664047"/>
    <w:rsid w:val="76A66A17"/>
    <w:rsid w:val="7A1803F2"/>
    <w:rsid w:val="7DDD367E"/>
    <w:rsid w:val="7F7342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qFormat/>
    <w:uiPriority w:val="0"/>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left="0" w:leftChars="0" w:firstLine="200" w:firstLineChars="200"/>
    </w:pPr>
    <w:rPr>
      <w:rFonts w:ascii="Calibri" w:hAnsi="Calibri" w:eastAsia="仿宋_GB2312" w:cs="Times New Roman"/>
      <w:sz w:val="32"/>
      <w:szCs w:val="24"/>
    </w:rPr>
  </w:style>
  <w:style w:type="paragraph" w:styleId="3">
    <w:name w:val="Body Text Indent"/>
    <w:basedOn w:val="1"/>
    <w:qFormat/>
    <w:uiPriority w:val="0"/>
    <w:pPr>
      <w:spacing w:after="120" w:line="240" w:lineRule="auto"/>
      <w:ind w:left="200" w:leftChars="200"/>
    </w:pPr>
    <w:rPr>
      <w:rFonts w:ascii="Calibri" w:hAnsi="Calibri" w:eastAsia="宋体" w:cs="Arial"/>
      <w:spacing w:val="0"/>
      <w:sz w:val="21"/>
      <w:szCs w:val="24"/>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next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正文首行缩进 21"/>
    <w:basedOn w:val="12"/>
    <w:next w:val="5"/>
    <w:qFormat/>
    <w:uiPriority w:val="0"/>
    <w:pPr>
      <w:ind w:firstLine="200" w:firstLineChars="200"/>
    </w:pPr>
  </w:style>
  <w:style w:type="paragraph" w:customStyle="1" w:styleId="12">
    <w:name w:val="正文文本缩进1"/>
    <w:basedOn w:val="1"/>
    <w:qFormat/>
    <w:uiPriority w:val="0"/>
    <w:pPr>
      <w:spacing w:line="240" w:lineRule="auto"/>
      <w:ind w:left="200" w:leftChars="200"/>
    </w:pPr>
    <w:rPr>
      <w:rFonts w:ascii="Calibri" w:hAnsi="Calibri" w:eastAsia="宋体" w:cs="Arial"/>
      <w:spacing w:val="0"/>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4989</Words>
  <Characters>5090</Characters>
  <TotalTime>8</TotalTime>
  <ScaleCrop>false</ScaleCrop>
  <LinksUpToDate>false</LinksUpToDate>
  <CharactersWithSpaces>5169</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2022-02-15T02:15:00Z</dcterms:created>
  <dc:creator>Administrator</dc:creator>
  <cp:lastModifiedBy>Nietzsche jünger</cp:lastModifiedBy>
  <cp:lastPrinted>2022-04-01T08:16:00Z</cp:lastPrinted>
  <dcterms:modified xsi:type="dcterms:W3CDTF">2022-07-14T07:08:07Z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2022-02-15T09:24:49Z</vt:filetime>
  </property>
  <property fmtid="{D5CDD505-2E9C-101B-9397-08002B2CF9AE}" pid="4" name="KSOProductBuildVer">
    <vt:lpwstr>2052-11.1.0.11744</vt:lpwstr>
  </property>
  <property fmtid="{D5CDD505-2E9C-101B-9397-08002B2CF9AE}" pid="5" name="ICV">
    <vt:lpwstr>4917EF2B956843ACBDE1AB64D8826223</vt:lpwstr>
  </property>
</Properties>
</file>