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宋体"/>
          <w:b w:val="0"/>
          <w:bCs/>
          <w:color w:val="FF0000"/>
          <w:w w:val="55"/>
          <w:sz w:val="120"/>
          <w:szCs w:val="120"/>
        </w:rPr>
      </w:pPr>
    </w:p>
    <w:p>
      <w:pPr>
        <w:jc w:val="center"/>
        <w:rPr>
          <w:rFonts w:hint="eastAsia" w:ascii="方正小标宋简体" w:hAnsi="宋体" w:eastAsia="方正小标宋简体" w:cs="宋体"/>
          <w:b w:val="0"/>
          <w:bCs/>
          <w:color w:val="FF0000"/>
          <w:w w:val="55"/>
          <w:sz w:val="120"/>
          <w:szCs w:val="120"/>
        </w:rPr>
      </w:pPr>
      <w:r>
        <w:rPr>
          <w:rFonts w:hint="eastAsia" w:ascii="方正小标宋简体" w:hAnsi="宋体" w:eastAsia="方正小标宋简体" w:cs="宋体"/>
          <w:b w:val="0"/>
          <w:bCs/>
          <w:color w:val="FF0000"/>
          <w:w w:val="55"/>
          <w:sz w:val="120"/>
          <w:szCs w:val="120"/>
        </w:rPr>
        <w:t>兴县</w:t>
      </w:r>
      <w:r>
        <w:rPr>
          <w:rFonts w:hint="eastAsia" w:ascii="方正小标宋简体" w:hAnsi="宋体" w:eastAsia="方正小标宋简体" w:cs="宋体"/>
          <w:b w:val="0"/>
          <w:bCs/>
          <w:color w:val="FF0000"/>
          <w:w w:val="55"/>
          <w:sz w:val="120"/>
          <w:szCs w:val="120"/>
          <w:lang w:eastAsia="zh-CN"/>
        </w:rPr>
        <w:t>赵家坪乡</w:t>
      </w:r>
      <w:r>
        <w:rPr>
          <w:rFonts w:hint="eastAsia" w:ascii="方正小标宋简体" w:hAnsi="宋体" w:eastAsia="方正小标宋简体" w:cs="宋体"/>
          <w:b w:val="0"/>
          <w:bCs/>
          <w:color w:val="FF0000"/>
          <w:w w:val="55"/>
          <w:sz w:val="120"/>
          <w:szCs w:val="120"/>
        </w:rPr>
        <w:t>人民政府文件</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赵政发〔2022〕27 号</w:t>
      </w:r>
    </w:p>
    <w:p>
      <w:pPr>
        <w:spacing w:line="400" w:lineRule="exact"/>
        <w:jc w:val="center"/>
        <w:rPr>
          <w:rFonts w:ascii="仿宋" w:hAnsi="仿宋" w:eastAsia="仿宋_GB2312" w:cs="仿宋"/>
          <w:color w:val="030303"/>
          <w:sz w:val="32"/>
          <w:szCs w:val="32"/>
          <w:shd w:val="clear" w:color="auto" w:fill="FFFFFF"/>
        </w:rPr>
      </w:pP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5197475" cy="12065"/>
                <wp:effectExtent l="0" t="0" r="0" b="0"/>
                <wp:wrapNone/>
                <wp:docPr id="3" name="直接连接符 3"/>
                <wp:cNvGraphicFramePr/>
                <a:graphic xmlns:a="http://schemas.openxmlformats.org/drawingml/2006/main">
                  <a:graphicData uri="http://schemas.microsoft.com/office/word/2010/wordprocessingShape">
                    <wps:wsp>
                      <wps:cNvCnPr/>
                      <wps:spPr>
                        <a:xfrm flipV="1">
                          <a:off x="1494155" y="4034790"/>
                          <a:ext cx="5197475" cy="1206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2.65pt;height:0.95pt;width:409.25pt;z-index:251659264;mso-width-relative:page;mso-height-relative:page;" filled="f" stroked="t" coordsize="21600,21600" o:gfxdata="UEsDBAoAAAAAAIdO4kAAAAAAAAAAAAAAAAAEAAAAZHJzL1BLAwQUAAAACACHTuJAMB653dUAAAAE&#10;AQAADwAAAGRycy9kb3ducmV2LnhtbE2PwU7DMBBE70j8g7VI3KiTopYoZNNDJTggRGkJEkc3XuKo&#10;9jqK3bT8Pe4JjqMZzbypVmdnxURj6D0j5LMMBHHrdc8dQvPxdFeACFGxVtYzIfxQgFV9fVWpUvsT&#10;b2naxU6kEg6lQjAxDqWUoTXkVJj5gTh53350KiY5dlKP6pTKnZXzLFtKp3pOC0YNtDbUHnZHh/Dc&#10;fLbmbTi8fk3Ddrnhd7tuXizi7U2ePYKIdI5/YbjgJ3SoE9PeH1kHYRHSkYiwuAeRzCIvFiD2CA9z&#10;kHUl/8PXv1BLAwQUAAAACACHTuJATp2jrgECAADMAwAADgAAAGRycy9lMm9Eb2MueG1srVM7jtsw&#10;EO0D5A4E+1iSP+u1YHmLNZwmSAzk048pSiLAH0iuZV8iFwiQLqlSpt/bZHOMDCntJtk0W0QFwSHf&#10;vJn3OFpfnZQkR+68MLqixSSnhGtmaqHbir5/t3txSYkPoGuQRvOKnrmnV5vnz9a9LfnUdEbW3BEk&#10;0b7sbUW7EGyZZZ51XIGfGMs1XjbGKQgYujarHfTIrmQ2zfOLrDeuts4w7j2ebodLOjK6pxCaphGM&#10;bw27UVyHgdVxCQEl+U5YTzep26bhLLxpGs8DkRVFpSGtWAT3h7hmmzWUrQPbCTa2AE9p4ZEmBUJj&#10;0QeqLQQgN078Q6UEc8abJkyYUdkgJDmCKor8kTdvO7A8aUGrvX0w3f8/Wvb6uHdE1BWdUaJB4YPf&#10;ffr+4+OXn7efcb379pXMokm99SVir/XejZG3excVnxqnSCOF/YDTlDxAVeSEwXw1LxYLSs4Vneez&#10;+XI12s1PgTAELIrVcr5EAENEMc0vFrFSNlBGaut8eMmNInFTUSl0dANKOL7yYYDeQ+KxNjshJZ5D&#10;KTXpkXOVL/ChGeCYNjgeuFUWpXrdUgKyxflnwSVKb6SoY3rM9q49XEtHjoBTs9vl+I2d/QWLtbfg&#10;uwGXriIMSiUC/iJSqIpexuT7bKlRXnRy8C7uDqY+J0vTOT5yMmAcyDhFf8Yp+/dPuP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B653dUAAAAEAQAADwAAAAAAAAABACAAAAAiAAAAZHJzL2Rvd25y&#10;ZXYueG1sUEsBAhQAFAAAAAgAh07iQE6do64BAgAAzAMAAA4AAAAAAAAAAQAgAAAAJAEAAGRycy9l&#10;Mm9Eb2MueG1sUEsFBgAAAAAGAAYAWQEAAJcFAAAAAA==&#10;">
                <v:fill on="f" focussize="0,0"/>
                <v:stroke weight="1.5pt" color="#FF0000 [3204]" miterlimit="8" joinstyle="miter"/>
                <v:imagedata o:title=""/>
                <o:lock v:ext="edit" aspectratio="f"/>
              </v:line>
            </w:pict>
          </mc:Fallback>
        </mc:AlternateContent>
      </w:r>
      <w:r>
        <w:rPr>
          <w:rFonts w:ascii="仿宋" w:hAnsi="仿宋" w:eastAsia="仿宋_GB2312" w:cs="仿宋"/>
          <w:color w:val="030303"/>
          <w:sz w:val="32"/>
          <w:szCs w:val="32"/>
          <w:shd w:val="clear" w:color="auto" w:fill="FFFFFF"/>
        </w:rPr>
        <w:t>  </w:t>
      </w:r>
    </w:p>
    <w:p>
      <w:pPr>
        <w:jc w:val="center"/>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赵家坪乡</w:t>
      </w:r>
      <w:r>
        <w:rPr>
          <w:rFonts w:hint="eastAsia" w:ascii="宋体" w:hAnsi="宋体" w:eastAsia="宋体" w:cs="宋体"/>
          <w:b/>
          <w:bCs/>
          <w:sz w:val="40"/>
          <w:szCs w:val="40"/>
          <w:lang w:val="en-US" w:eastAsia="zh-CN"/>
        </w:rPr>
        <w:t>2022年防止返贫监测帮扶</w:t>
      </w:r>
    </w:p>
    <w:p>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集中排查工作总结报告</w:t>
      </w:r>
    </w:p>
    <w:p>
      <w:pPr>
        <w:rPr>
          <w:rFonts w:hint="eastAsia" w:ascii="宋体" w:hAnsi="宋体" w:eastAsia="宋体" w:cs="宋体"/>
          <w:b/>
          <w:bCs/>
          <w:sz w:val="32"/>
          <w:szCs w:val="32"/>
          <w:lang w:val="en-US" w:eastAsia="zh-CN"/>
        </w:rPr>
      </w:pPr>
    </w:p>
    <w:p>
      <w:pPr>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县乡村振兴局：</w:t>
      </w:r>
    </w:p>
    <w:p>
      <w:pPr>
        <w:keepNext w:val="0"/>
        <w:keepLines w:val="0"/>
        <w:widowControl/>
        <w:suppressLineNumbers w:val="0"/>
        <w:ind w:firstLine="600" w:firstLineChars="200"/>
        <w:jc w:val="both"/>
        <w:rPr>
          <w:rFonts w:hint="eastAsia" w:ascii="仿宋" w:hAnsi="仿宋" w:eastAsia="仿宋" w:cs="仿宋"/>
          <w:sz w:val="32"/>
          <w:szCs w:val="32"/>
          <w:lang w:val="en-US" w:eastAsia="zh-CN"/>
        </w:rPr>
      </w:pPr>
      <w:r>
        <w:rPr>
          <w:rFonts w:hint="eastAsia" w:ascii="仿宋" w:hAnsi="仿宋" w:eastAsia="仿宋" w:cs="Times New Roman"/>
          <w:sz w:val="30"/>
          <w:szCs w:val="30"/>
          <w:lang w:val="en-US" w:eastAsia="zh-CN"/>
        </w:rPr>
        <w:t>按照山西省乡村振兴局关于印发《山西省2022年防止返贫监测帮扶集中排查工作实施方案》的通知（晋乡振发〔2022〕46号）要求</w:t>
      </w:r>
      <w:r>
        <w:rPr>
          <w:rFonts w:hint="eastAsia" w:ascii="仿宋" w:hAnsi="仿宋" w:eastAsia="仿宋" w:cs="仿宋"/>
          <w:b w:val="0"/>
          <w:bCs w:val="0"/>
          <w:sz w:val="32"/>
          <w:szCs w:val="32"/>
          <w:lang w:val="en-US" w:eastAsia="zh-CN"/>
        </w:rPr>
        <w:t>，我乡防止返贫动态监测和帮扶集中排查工作已全部完成，现就具体情况</w:t>
      </w:r>
      <w:r>
        <w:rPr>
          <w:rFonts w:hint="eastAsia" w:ascii="仿宋" w:hAnsi="仿宋" w:eastAsia="仿宋" w:cs="仿宋"/>
          <w:sz w:val="32"/>
          <w:szCs w:val="32"/>
          <w:lang w:val="en-US" w:eastAsia="zh-CN"/>
        </w:rPr>
        <w:t>报告如下：</w:t>
      </w:r>
    </w:p>
    <w:p>
      <w:pPr>
        <w:numPr>
          <w:ilvl w:val="0"/>
          <w:numId w:val="0"/>
        </w:numPr>
        <w:rPr>
          <w:rFonts w:hint="eastAsia" w:ascii="仿宋" w:hAnsi="仿宋" w:eastAsia="仿宋" w:cs="仿宋"/>
          <w:b/>
          <w:bCs/>
          <w:sz w:val="32"/>
          <w:szCs w:val="32"/>
          <w:lang w:val="en-US" w:eastAsia="zh-CN"/>
        </w:rPr>
      </w:pPr>
      <w:r>
        <w:rPr>
          <w:rFonts w:hint="eastAsia" w:ascii="宋体" w:hAnsi="宋体" w:cs="宋体"/>
          <w:b/>
          <w:bCs/>
          <w:sz w:val="32"/>
          <w:szCs w:val="32"/>
          <w:lang w:val="en-US" w:eastAsia="zh-CN"/>
        </w:rPr>
        <w:t>　　</w:t>
      </w:r>
      <w:r>
        <w:rPr>
          <w:rFonts w:hint="eastAsia" w:ascii="宋体" w:hAnsi="宋体" w:eastAsia="宋体" w:cs="宋体"/>
          <w:b/>
          <w:bCs/>
          <w:sz w:val="32"/>
          <w:szCs w:val="32"/>
          <w:lang w:val="en-US" w:eastAsia="zh-CN"/>
        </w:rPr>
        <w:t>一、安排部署及工作开展情况</w:t>
      </w:r>
    </w:p>
    <w:p>
      <w:pPr>
        <w:pStyle w:val="6"/>
        <w:numPr>
          <w:ilvl w:val="0"/>
          <w:numId w:val="0"/>
        </w:numPr>
        <w:ind w:firstLine="66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赵家坪乡党委政府高度重视防止返贫监测帮扶集中排查工作，于2022年5月15日召开了全体乡干部、村两委主干和驻村工作队长专题部署会议，积极安排部署开展工作，将相关政策解读会议文件资料分发到参会各行政村、各驻村工作队，并对所有参会人员进行了政策解读及培训，会议强调各片、各帮扶单位、各支村两委主干组成的集中排查工作人员，对所有户籍人口认真排除，不漏掉一户一人，填写入户信息排查表，确实做到各种数据翔实准确、农户情况底清数明，为2022年巩固拓展脱贫攻坚成果同乡村振兴有效衔接提供有力的数据支撑。</w:t>
      </w:r>
    </w:p>
    <w:p>
      <w:pPr>
        <w:pStyle w:val="6"/>
        <w:numPr>
          <w:ilvl w:val="0"/>
          <w:numId w:val="0"/>
        </w:numPr>
        <w:ind w:firstLine="665"/>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会后，各行政村成立由</w:t>
      </w:r>
      <w:bookmarkStart w:id="0" w:name="_GoBack"/>
      <w:bookmarkEnd w:id="0"/>
      <w:r>
        <w:rPr>
          <w:rFonts w:hint="eastAsia" w:ascii="仿宋" w:hAnsi="仿宋" w:eastAsia="仿宋" w:cs="仿宋"/>
          <w:b w:val="0"/>
          <w:bCs w:val="0"/>
          <w:kern w:val="2"/>
          <w:sz w:val="32"/>
          <w:szCs w:val="32"/>
          <w:lang w:val="en-US" w:eastAsia="zh-CN" w:bidi="ar-SA"/>
        </w:rPr>
        <w:t>包村干部、驻村工作队、村两委成员组成防止返贫监测帮扶工作专班，分组分片对在村居住人员逐户进行上门摸排，对排查过程中家庭成员因外出务工、上学等不在家的人员采取电话、微信等方式进行信息核实。对采集的数据信息收集整理，形成入户排查台账、防返贫动态监测台账、“三类户”帮扶台账、问题整改台账等，进行动态监测管理，并明确帮扶职责，制定帮扶措施、问题整改措施销号式逐项落实。</w:t>
      </w:r>
    </w:p>
    <w:p>
      <w:pPr>
        <w:pStyle w:val="6"/>
        <w:numPr>
          <w:ilvl w:val="0"/>
          <w:numId w:val="0"/>
        </w:num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我乡10个行政村且都是脱贫村，34个自然村，共2535户，7160口人，其中脱贫户891户2493人。通过各行政村地毯式摸排，现有未消除风险的脱贫监测户3户11人、边缘易致贫户1户3人，风险已消除监测户41户117人。按时间节点完成了集中排查工作。</w:t>
      </w:r>
    </w:p>
    <w:p>
      <w:pPr>
        <w:numPr>
          <w:ilvl w:val="0"/>
          <w:numId w:val="0"/>
        </w:numPr>
        <w:rPr>
          <w:rFonts w:hint="eastAsia" w:ascii="仿宋" w:hAnsi="仿宋" w:eastAsia="仿宋" w:cs="仿宋"/>
          <w:b w:val="0"/>
          <w:bCs w:val="0"/>
          <w:sz w:val="32"/>
          <w:szCs w:val="32"/>
          <w:lang w:val="en-US" w:eastAsia="zh-CN"/>
        </w:rPr>
      </w:pPr>
      <w:r>
        <w:rPr>
          <w:rFonts w:hint="eastAsia" w:ascii="宋体" w:hAnsi="宋体" w:cs="宋体"/>
          <w:b/>
          <w:bCs/>
          <w:sz w:val="32"/>
          <w:szCs w:val="32"/>
          <w:lang w:val="en-US" w:eastAsia="zh-CN"/>
        </w:rPr>
        <w:t>　　</w:t>
      </w:r>
      <w:r>
        <w:rPr>
          <w:rFonts w:hint="eastAsia" w:ascii="宋体" w:hAnsi="宋体" w:eastAsia="宋体" w:cs="宋体"/>
          <w:b/>
          <w:bCs/>
          <w:sz w:val="32"/>
          <w:szCs w:val="32"/>
          <w:lang w:val="en-US" w:eastAsia="zh-CN"/>
        </w:rPr>
        <w:t>二、工作完成情况</w:t>
      </w:r>
    </w:p>
    <w:p>
      <w:pPr>
        <w:pStyle w:val="6"/>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（1）通过摸排无新识别认定监测对象情况；</w:t>
      </w:r>
    </w:p>
    <w:p>
      <w:pPr>
        <w:pStyle w:val="6"/>
        <w:numPr>
          <w:ilvl w:val="0"/>
          <w:numId w:val="0"/>
        </w:numPr>
        <w:ind w:left="320" w:hanging="320" w:hanging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（2）通过摸排，无风险消除不稳定需要回退的户；</w:t>
      </w:r>
    </w:p>
    <w:p>
      <w:pPr>
        <w:pStyle w:val="6"/>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3）对未消除风险监测对象，严格落实“四个不摘”有关政策举措，结合未消除风险的监测对象的实际情况，有针对性的制定帮扶措施，通过公益岗位、医疗救助、教育帮扶、政策兜底、临时救助等落实社会保障措施，持续跟踪监测。</w:t>
      </w:r>
    </w:p>
    <w:p>
      <w:pPr>
        <w:pStyle w:val="6"/>
        <w:numPr>
          <w:ilvl w:val="0"/>
          <w:numId w:val="0"/>
        </w:numPr>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（4）此次排查工作共排查行政村10个，共排查户数</w:t>
      </w:r>
      <w:r>
        <w:rPr>
          <w:rFonts w:hint="eastAsia" w:ascii="仿宋" w:hAnsi="仿宋" w:eastAsia="仿宋" w:cs="仿宋"/>
          <w:b w:val="0"/>
          <w:bCs w:val="0"/>
          <w:kern w:val="2"/>
          <w:sz w:val="32"/>
          <w:szCs w:val="32"/>
          <w:lang w:val="en-US" w:eastAsia="zh-CN" w:bidi="ar-SA"/>
        </w:rPr>
        <w:t>2535</w:t>
      </w:r>
      <w:r>
        <w:rPr>
          <w:rFonts w:hint="eastAsia" w:ascii="仿宋" w:hAnsi="仿宋" w:eastAsia="仿宋" w:cs="仿宋"/>
          <w:b w:val="0"/>
          <w:bCs w:val="0"/>
          <w:sz w:val="32"/>
          <w:szCs w:val="32"/>
          <w:lang w:val="en-US" w:eastAsia="zh-CN"/>
        </w:rPr>
        <w:t>户，时间紧，任务重。赵家坪乡党委政府对各包片、包村干部明确职责，明确时间，督促各片长组织支村两委班子成员、驻村工作队、村民小组长等对熟悉本村村民情况的核查人员，不漏一村一户，并对核查结果由核查人员和户主签字确认。　　</w:t>
      </w:r>
    </w:p>
    <w:p>
      <w:pPr>
        <w:pStyle w:val="6"/>
        <w:numPr>
          <w:ilvl w:val="0"/>
          <w:numId w:val="0"/>
        </w:numPr>
        <w:ind w:firstLine="640"/>
        <w:rPr>
          <w:rFonts w:hint="eastAsia" w:ascii="仿宋" w:hAnsi="仿宋" w:eastAsia="仿宋" w:cs="仿宋"/>
          <w:b w:val="0"/>
          <w:bCs w:val="0"/>
          <w:kern w:val="2"/>
          <w:sz w:val="32"/>
          <w:szCs w:val="32"/>
          <w:lang w:val="en-US" w:eastAsia="zh-CN" w:bidi="ar-SA"/>
        </w:rPr>
      </w:pPr>
      <w:r>
        <w:rPr>
          <w:rFonts w:hint="eastAsia" w:ascii="宋体" w:hAnsi="宋体" w:eastAsia="宋体" w:cs="宋体"/>
          <w:b/>
          <w:bCs/>
          <w:kern w:val="2"/>
          <w:sz w:val="32"/>
          <w:szCs w:val="32"/>
          <w:lang w:val="en-US" w:eastAsia="zh-CN" w:bidi="ar-SA"/>
        </w:rPr>
        <w:t>三、工作中的典型经验做法</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们按照上级防返贫监测和帮扶工作的重要指示精神，在上级部门的指导下，乡党委政府重点思考如何防止返贫和防止新的致贫，通过脱贫攻坚一系列政策帮扶，绝大部分建档立卡户都实现了稳定脱贫，但仍有少数脱贫户和边缘户存在因灾、因病等原因导致返贫致贫的风险。通过建立健全防止返贫致贫预警监测机制，有效巩固了脱贫攻坚成果。</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我们具体做法，主要包括三个方面：</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第一，监测谁。我们建立的监测预警机制，首先就是确定对哪些人群进行常态监测。通过广泛的评议，我们把存在返贫致贫风险的人群归纳为四类。第一类是收入低，表现为家庭年人均可支配收入低于国家扶贫标准的1.5倍以下。第二类是刚性支出大，表现为因病因学等刚性支出远大于收入，比如说家庭成员突发大病，或者家里面有多名在校学生。第三类是因灾陷困境的群体，主要是因水灾、火灾等自然灾害造成产业失败、突发交通事故、安全事故造成家庭变故陷入困境。第四类是兜底户群体，主要是分散供养的特困对象、部分整户无劳动力的脱贫户，这部分人没有法定赡养人和抚养人，生活虽然能够自理，但是需要党委政府和社会持续加强关心和关爱。</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第二，谁监测。首先我们依托现有帮扶力量，由驻村工作队、包村干部、村两委成员对各村委所有户籍人口进行全面防返贫致贫排查工作，对摸排出有返贫致贫风险的对象建立台账，详细了解产业就业、就医就学等生产生活情况，做到对象实时掌握、困难现场发现、问题及时解决。我们依托主管部门通过大数据筛查，对因病因学等原因造成刚性支出较大的农户以及部分低收入人群及时发出预警通知书，经核查发现有返贫致贫风险的，及时纳入监测，予以动态帮扶。</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第三，如何帮。第一是用好用足现有政策予以帮扶，采取产业就业等措施增加收入，采取医疗救助、教育补助等措施降低刚性支出，通过危房改造、移民安置等措施保障住房安全。第二是争取社会救助力量、农产品消费等措施，对因病因学因灾等情况，因户施策，予以有效帮扶。第三是实施防贫救助资金帮扶。对因突发大病陷入困境，家庭成员因照顾病人无法找到稳定的工作，为了防止此类户陷入贫困，将其纳入最低生活保障，并适时帮助申请扶贫小额贷款，帮助其自主创业，增加其家庭收入通过有针对性的开展帮扶工作，从而有效的实现了防返贫预警监测。</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四、工作中存在的问题和困难</w:t>
      </w:r>
    </w:p>
    <w:p>
      <w:pPr>
        <w:pStyle w:val="6"/>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1、部分行政村由于村两委换届、驻村工作队、第一书记轮换，导致工作衔接不到位，驻村帮扶工作出现断层，</w:t>
      </w:r>
    </w:p>
    <w:p>
      <w:pPr>
        <w:pStyle w:val="6"/>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2、驻村工作队未脱产开展驻村工作，出现两头忙，致使部分工作进展较缓慢。</w:t>
      </w:r>
    </w:p>
    <w:p>
      <w:pPr>
        <w:pStyle w:val="6"/>
        <w:rPr>
          <w:rFonts w:hint="eastAsia" w:ascii="宋体" w:hAnsi="宋体" w:eastAsia="宋体" w:cs="宋体"/>
          <w:b/>
          <w:bCs/>
          <w:sz w:val="32"/>
          <w:szCs w:val="32"/>
          <w:lang w:val="en-US" w:eastAsia="zh-CN"/>
        </w:rPr>
      </w:pPr>
      <w:r>
        <w:rPr>
          <w:rFonts w:hint="eastAsia" w:ascii="仿宋" w:hAnsi="仿宋" w:eastAsia="仿宋" w:cs="仿宋"/>
          <w:b w:val="0"/>
          <w:bCs w:val="0"/>
          <w:sz w:val="32"/>
          <w:szCs w:val="32"/>
          <w:lang w:val="en-US" w:eastAsia="zh-CN"/>
        </w:rPr>
        <w:t>　　</w:t>
      </w:r>
      <w:r>
        <w:rPr>
          <w:rFonts w:hint="eastAsia" w:ascii="宋体" w:hAnsi="宋体" w:eastAsia="宋体" w:cs="宋体"/>
          <w:b/>
          <w:bCs/>
          <w:sz w:val="32"/>
          <w:szCs w:val="32"/>
          <w:lang w:val="en-US" w:eastAsia="zh-CN"/>
        </w:rPr>
        <w:t>五、下一步工作打算</w:t>
      </w:r>
    </w:p>
    <w:p>
      <w:pPr>
        <w:pStyle w:val="3"/>
        <w:keepNext w:val="0"/>
        <w:keepLines w:val="0"/>
        <w:pageBreakBefore w:val="0"/>
        <w:overflowPunct/>
        <w:topLinePunct w:val="0"/>
        <w:bidi w:val="0"/>
        <w:spacing w:after="0" w:line="6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持续抓党建促进巩固拓展脱贫攻坚成果同乡村振兴有效衔接，充分发挥基层党组织领导作用，坚持一切工作到支部的导向，确实把责任扛在肩上，层层传导压力，分级压实责任，把巩固拓展脱贫攻坚成果有效衔接乡村振兴摆在头等重要位置，严格落实“四个不摘”要求，工作不留空档，政策不留空白，坚决杜绝松劲懈怠思想，守牢不发生规模性返贫的底线，保证脱贫基础更加稳固、脱贫成效更可持续。</w:t>
      </w:r>
    </w:p>
    <w:p>
      <w:pPr>
        <w:pStyle w:val="3"/>
        <w:keepNext w:val="0"/>
        <w:keepLines w:val="0"/>
        <w:pageBreakBefore w:val="0"/>
        <w:overflowPunct/>
        <w:topLinePunct w:val="0"/>
        <w:bidi w:val="0"/>
        <w:spacing w:after="0" w:line="6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二是有序开展“三提三转”，突出抓实“五项重点百日攻坚”专项行动，认真抓好惠民政策落实，不断增进人民群众满意感和获得感。</w:t>
      </w:r>
    </w:p>
    <w:p>
      <w:pPr>
        <w:pBdr>
          <w:bottom w:val="single" w:color="FFFFFF" w:sz="4" w:space="31"/>
        </w:pBdr>
        <w:snapToGrid w:val="0"/>
        <w:spacing w:line="360" w:lineRule="auto"/>
        <w:ind w:firstLine="5440" w:firstLineChars="1700"/>
        <w:rPr>
          <w:rFonts w:hint="eastAsia" w:ascii="仿宋" w:hAnsi="仿宋" w:eastAsia="仿宋" w:cs="仿宋"/>
          <w:b w:val="0"/>
          <w:bCs w:val="0"/>
          <w:sz w:val="32"/>
          <w:szCs w:val="32"/>
          <w:lang w:val="en-US" w:eastAsia="zh-CN"/>
        </w:rPr>
      </w:pPr>
    </w:p>
    <w:p>
      <w:pPr>
        <w:pBdr>
          <w:bottom w:val="single" w:color="FFFFFF" w:sz="4" w:space="31"/>
        </w:pBdr>
        <w:snapToGrid w:val="0"/>
        <w:spacing w:line="360" w:lineRule="auto"/>
        <w:ind w:firstLine="5440" w:firstLineChars="1700"/>
        <w:rPr>
          <w:rFonts w:hint="eastAsia" w:ascii="仿宋" w:hAnsi="仿宋" w:eastAsia="仿宋" w:cs="仿宋"/>
          <w:b w:val="0"/>
          <w:bCs w:val="0"/>
          <w:sz w:val="32"/>
          <w:szCs w:val="32"/>
          <w:lang w:val="en-US" w:eastAsia="zh-CN"/>
        </w:rPr>
      </w:pPr>
    </w:p>
    <w:p>
      <w:pPr>
        <w:pBdr>
          <w:bottom w:val="single" w:color="FFFFFF" w:sz="4" w:space="31"/>
        </w:pBdr>
        <w:snapToGrid w:val="0"/>
        <w:spacing w:line="360" w:lineRule="auto"/>
        <w:ind w:firstLine="5440" w:firstLineChars="1700"/>
        <w:rPr>
          <w:rFonts w:hint="eastAsia" w:ascii="仿宋" w:hAnsi="仿宋" w:eastAsia="仿宋" w:cs="仿宋"/>
          <w:b w:val="0"/>
          <w:bCs w:val="0"/>
          <w:sz w:val="32"/>
          <w:szCs w:val="32"/>
          <w:lang w:val="en-US" w:eastAsia="zh-CN"/>
        </w:rPr>
      </w:pPr>
    </w:p>
    <w:p>
      <w:pPr>
        <w:pBdr>
          <w:bottom w:val="single" w:color="FFFFFF" w:sz="4" w:space="31"/>
        </w:pBdr>
        <w:snapToGrid w:val="0"/>
        <w:spacing w:line="360" w:lineRule="auto"/>
        <w:ind w:firstLine="4800" w:firstLineChars="1500"/>
        <w:rPr>
          <w:rFonts w:hint="eastAsia"/>
          <w:lang w:val="en-US" w:eastAsia="zh-CN"/>
        </w:rPr>
      </w:pPr>
      <w:r>
        <w:rPr>
          <w:rFonts w:hint="eastAsia" w:ascii="仿宋" w:hAnsi="仿宋" w:eastAsia="仿宋" w:cs="仿宋"/>
          <w:b w:val="0"/>
          <w:bCs w:val="0"/>
          <w:sz w:val="32"/>
          <w:szCs w:val="32"/>
          <w:lang w:val="en-US" w:eastAsia="zh-CN"/>
        </w:rPr>
        <w:t>兴县赵家坪乡人民政府</w:t>
      </w:r>
    </w:p>
    <w:p>
      <w:pPr>
        <w:numPr>
          <w:ilvl w:val="0"/>
          <w:numId w:val="0"/>
        </w:numPr>
        <w:pBdr>
          <w:bottom w:val="single" w:color="FFFFFF" w:sz="4" w:space="31"/>
        </w:pBdr>
        <w:snapToGrid w:val="0"/>
        <w:spacing w:line="36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2022年6月8日</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177F6072"/>
    <w:rsid w:val="00F50129"/>
    <w:rsid w:val="14051B53"/>
    <w:rsid w:val="177F6072"/>
    <w:rsid w:val="1E573438"/>
    <w:rsid w:val="289373B4"/>
    <w:rsid w:val="2B95124A"/>
    <w:rsid w:val="328A794B"/>
    <w:rsid w:val="337C1DA7"/>
    <w:rsid w:val="358409DE"/>
    <w:rsid w:val="3DB95CB5"/>
    <w:rsid w:val="4A2F0DF8"/>
    <w:rsid w:val="51351D05"/>
    <w:rsid w:val="527D5E66"/>
    <w:rsid w:val="57B30B51"/>
    <w:rsid w:val="64B27F54"/>
    <w:rsid w:val="667B1475"/>
    <w:rsid w:val="6AE82F06"/>
    <w:rsid w:val="6B1947F7"/>
    <w:rsid w:val="73762C73"/>
    <w:rsid w:val="7BF8350E"/>
    <w:rsid w:val="7D1E60E8"/>
    <w:rsid w:val="7FD0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rPr>
  </w:style>
  <w:style w:type="paragraph" w:styleId="3">
    <w:name w:val="Subtitle"/>
    <w:basedOn w:val="1"/>
    <w:next w:val="1"/>
    <w:qFormat/>
    <w:uiPriority w:val="0"/>
    <w:pPr>
      <w:wordWrap w:val="0"/>
      <w:spacing w:after="60"/>
      <w:jc w:val="center"/>
    </w:pPr>
    <w:rPr>
      <w:rFonts w:ascii="Calibri" w:hAnsi="Calibri" w:eastAsia="宋体" w:cs="Times New Roman"/>
      <w:sz w:val="24"/>
      <w:szCs w:val="22"/>
      <w:lang w:val="en-US" w:eastAsia="zh-CN" w:bidi="ar-SA"/>
    </w:rPr>
  </w:style>
  <w:style w:type="paragraph" w:customStyle="1" w:styleId="6">
    <w:name w:val="标题 Char Char"/>
    <w:basedOn w:val="1"/>
    <w:next w:val="3"/>
    <w:qFormat/>
    <w:uiPriority w:val="0"/>
    <w:pPr>
      <w:outlineLvl w:val="0"/>
    </w:pPr>
    <w:rPr>
      <w:rFonts w:ascii="楷体_GB2312" w:hAnsi="Arial" w:eastAsia="楷体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2265</Words>
  <Characters>2312</Characters>
  <Lines>0</Lines>
  <Paragraphs>0</Paragraphs>
  <TotalTime>9</TotalTime>
  <ScaleCrop>false</ScaleCrop>
  <LinksUpToDate>false</LinksUpToDate>
  <CharactersWithSpaces>2373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2021-06-06T10:39:00Z</dcterms:created>
  <dc:creator>Administrator</dc:creator>
  <cp:lastModifiedBy></cp:lastModifiedBy>
  <dcterms:modified xsi:type="dcterms:W3CDTF">2023-02-20T02:02:08Z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C661AC4D903443A5B3E8CEDEF277F350</vt:lpwstr>
  </property>
</Properties>
</file>