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87"/>
        <w:jc w:val="center"/>
        <w:textAlignment w:val="auto"/>
        <w:outlineLvl w:val="9"/>
        <w:rPr>
          <w:rFonts w:hint="eastAsia" w:eastAsia="穝灿砰"/>
          <w:b/>
          <w:color w:val="FF0000"/>
          <w:w w:val="66"/>
          <w:sz w:val="1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87"/>
        <w:jc w:val="center"/>
        <w:textAlignment w:val="auto"/>
        <w:outlineLvl w:val="9"/>
        <w:rPr>
          <w:rFonts w:hint="eastAsia" w:eastAsia="穝灿砰"/>
          <w:b/>
          <w:color w:val="FF0000"/>
          <w:w w:val="66"/>
          <w:sz w:val="1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02"/>
        <w:jc w:val="center"/>
        <w:textAlignment w:val="auto"/>
        <w:outlineLvl w:val="9"/>
        <w:rPr>
          <w:rFonts w:hint="eastAsia" w:eastAsia="穝灿砰"/>
          <w:b/>
          <w:color w:val="FF0000"/>
          <w:spacing w:val="-3"/>
          <w:w w:val="66"/>
          <w:sz w:val="1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02"/>
        <w:jc w:val="center"/>
        <w:textAlignment w:val="auto"/>
        <w:outlineLvl w:val="9"/>
        <w:rPr>
          <w:rFonts w:hint="eastAsia" w:eastAsia="穝灿砰"/>
          <w:b/>
          <w:color w:val="FF0000"/>
          <w:spacing w:val="-3"/>
          <w:w w:val="66"/>
          <w:sz w:val="1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02"/>
        <w:jc w:val="center"/>
        <w:textAlignment w:val="auto"/>
        <w:outlineLvl w:val="9"/>
        <w:rPr>
          <w:rFonts w:hint="eastAsia" w:eastAsia="穝灿砰"/>
          <w:b/>
          <w:color w:val="FF0000"/>
          <w:spacing w:val="-3"/>
          <w:w w:val="66"/>
          <w:sz w:val="1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02"/>
        <w:jc w:val="center"/>
        <w:textAlignment w:val="auto"/>
        <w:outlineLvl w:val="9"/>
        <w:rPr>
          <w:rFonts w:hint="eastAsia" w:eastAsia="穝灿砰"/>
          <w:b/>
          <w:color w:val="FF0000"/>
          <w:spacing w:val="-3"/>
          <w:w w:val="66"/>
          <w:sz w:val="1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eastAsia" w:ascii="方正小标宋简体" w:hAnsi="新宋体" w:eastAsia="方正小标宋简体" w:cs="新宋体"/>
          <w:b/>
          <w:color w:val="FF0000"/>
          <w:spacing w:val="0"/>
          <w:w w:val="65"/>
          <w:sz w:val="120"/>
          <w:szCs w:val="120"/>
          <w:shd w:val="clear" w:color="auto" w:fill="auto"/>
        </w:rPr>
      </w:pPr>
      <w:r>
        <w:rPr>
          <w:rFonts w:hint="eastAsia" w:ascii="方正小标宋简体" w:hAnsi="新宋体" w:eastAsia="方正小标宋简体" w:cs="新宋体"/>
          <w:b/>
          <w:color w:val="FF0000"/>
          <w:spacing w:val="0"/>
          <w:w w:val="60"/>
          <w:sz w:val="120"/>
          <w:szCs w:val="120"/>
          <w:shd w:val="clear" w:color="auto" w:fill="auto"/>
          <w:lang w:val="en-US" w:eastAsia="zh-CN"/>
        </w:rPr>
        <w:t>兴县</w:t>
      </w:r>
      <w:r>
        <w:rPr>
          <w:rFonts w:hint="eastAsia" w:ascii="方正小标宋简体" w:hAnsi="新宋体" w:eastAsia="方正小标宋简体" w:cs="新宋体"/>
          <w:b/>
          <w:color w:val="FF0000"/>
          <w:spacing w:val="0"/>
          <w:w w:val="60"/>
          <w:sz w:val="120"/>
          <w:szCs w:val="120"/>
          <w:shd w:val="clear" w:color="auto" w:fill="auto"/>
          <w:lang w:eastAsia="zh-CN"/>
        </w:rPr>
        <w:t>圪垯上乡</w:t>
      </w:r>
      <w:r>
        <w:rPr>
          <w:rFonts w:hint="eastAsia" w:ascii="方正小标宋简体" w:hAnsi="新宋体" w:eastAsia="方正小标宋简体" w:cs="新宋体"/>
          <w:b/>
          <w:color w:val="FF0000"/>
          <w:spacing w:val="0"/>
          <w:w w:val="60"/>
          <w:sz w:val="120"/>
          <w:szCs w:val="120"/>
          <w:shd w:val="clear" w:color="auto" w:fill="auto"/>
          <w:lang w:val="en-US" w:eastAsia="zh-CN"/>
        </w:rPr>
        <w:t>人民政府</w:t>
      </w:r>
      <w:r>
        <w:rPr>
          <w:rFonts w:hint="eastAsia" w:ascii="方正小标宋简体" w:hAnsi="新宋体" w:eastAsia="方正小标宋简体" w:cs="新宋体"/>
          <w:b/>
          <w:color w:val="FF0000"/>
          <w:spacing w:val="0"/>
          <w:w w:val="60"/>
          <w:sz w:val="120"/>
          <w:szCs w:val="120"/>
          <w:shd w:val="clear" w:color="auto" w:fill="auto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60" w:leftChars="219" w:right="0" w:rightChars="0"/>
        <w:textAlignment w:val="auto"/>
        <w:outlineLvl w:val="9"/>
        <w:rPr>
          <w:rFonts w:hint="eastAsia" w:ascii="仿宋_GB2312" w:hAnsi="仿宋_GB2312" w:eastAsia="仿宋_GB2312"/>
          <w:spacing w:val="-14"/>
          <w:sz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60" w:leftChars="219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-14"/>
          <w:sz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/>
          <w:spacing w:val="-14"/>
          <w:sz w:val="32"/>
          <w:shd w:val="clear" w:color="auto" w:fill="auto"/>
        </w:rPr>
      </w:pP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圪政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发〔20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〕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w w:val="66"/>
          <w:sz w:val="44"/>
          <w:szCs w:val="44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932180</wp:posOffset>
                </wp:positionH>
                <wp:positionV relativeFrom="page">
                  <wp:posOffset>4258945</wp:posOffset>
                </wp:positionV>
                <wp:extent cx="5600700" cy="0"/>
                <wp:effectExtent l="0" t="14605" r="0" b="234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4pt;margin-top:335.35pt;height:0pt;width:441pt;mso-position-horizontal-relative:page;mso-position-vertical-relative:page;z-index:251660288;mso-width-relative:page;mso-height-relative:page;" filled="f" stroked="t" coordsize="21600,21600" o:gfxdata="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nOJyPbAAAADAEAAA8AAAAAAAAAAQAgAAAAIgAAAGRycy9kb3ducmV2Lnht&#10;bFBLAQIUABQAAAAIAIdO4kDW7dv99gEAAOUDAAAOAAAAAAAAAAEAIAAAACoBAABkcnMvZTJvRG9j&#10;LnhtbFBLBQYAAAAABgAGAFkBAACSBQAAAAA=&#10;">
                <v:fill on="f" focussize="0,0"/>
                <v:stroke weight="2.26771653543307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leftChars="0" w:right="0" w:firstLine="0" w:firstLineChars="0"/>
        <w:jc w:val="center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8"/>
          <w:szCs w:val="48"/>
          <w:lang w:val="en-US" w:eastAsia="zh-CN"/>
        </w:rPr>
        <w:t>圪垯上乡人民政府自建房安全专项整治实施计划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为加快农村危旧房屋治理改造，全面消除我乡农村房屋安全隐患，确保人民群众生命财产安全，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根据《兴县经营性自建房安全专项整治“百日行动”实施计划》、《兴县自建房安全专项整治实施计划的通知》（兴政办发【2022】19号）及相关规定，制定本实施计划。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在全乡范围开展“农村房屋安全隐患排查”专项行动，现制定如下实施计划: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leftChars="0" w:right="0" w:firstLine="640" w:firstLineChars="20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一、做好宣传发动</w:t>
      </w:r>
    </w:p>
    <w:p>
      <w:pPr>
        <w:pStyle w:val="16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9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各村(居)委会要广泛宣传，使广大群众充分认识农村房屋安全的重要性，及时了解群众思想动态，有针对性地做好解释引导工作，有效化解影响社会稳定的风险隐患。要全面深入开展农村房屋安全科普教育，不断增强农民群众的房屋安全意识，提高支持参与排查整治房屋安全隐患的积极性和主动性。</w:t>
      </w:r>
    </w:p>
    <w:p>
      <w:pPr>
        <w:pStyle w:val="1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99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排查建档对象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</w:t>
      </w:r>
    </w:p>
    <w:p>
      <w:pPr>
        <w:pStyle w:val="16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9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各行政村为实施主体，重点对农村年久失修、残损破旧、不御风雨、不具备基本居住条件的住房和农村建设质量差、主体结构损坏严重、超负荷使用以及房屋所处的不利地理环境进行全面排查，排查建档要同步进行(即排查一户，建档一户)。各村要对危旧房进行房屋质量安全进行初步判断，对初步判断为危险的房屋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上报县城建局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组织专业技术人员或聘请第三方中介机构进行评估和鉴定。各村要进一步完善危旧房屋应急保障措施，一旦发现房屋安全问题或出现异常变化，迅速开展应急处置，做到边排查、边建档、边腾空、边治理。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leftChars="0" w:right="0" w:firstLine="640" w:firstLineChars="20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全面排查摸底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6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排查范围。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重点核查地域：对本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行政区域内所有自建房进行核查，在继续推进农村房屋安全隐患排查整治工作的基础上，重点核查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政府驻地村、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范围内的经营性自建房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重点核查场所：（1）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层以上，聚集人流10人以上的房屋；（2）用于教育、医疗等公共服务型和饭店、旅馆、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等经营性的房屋；（3）违规改为经营用途及改扩建的房屋；（4）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依山而建的土窑洞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；（5）砖木结构和砖混结构的房屋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6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与前期农村房屋安全隐患排查整治范围无缝对接，实现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本乡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全覆盖、无死角、无盲区，确保“不漏一房一户”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全面摸清自建房基本情况，重点核查结构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经营安全性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建设合法合规性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3.排查路径。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按照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政府驻地村、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一般村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en-US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排查路径,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排查人员在网格内依照排查路径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逐户排查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。</w:t>
      </w:r>
    </w:p>
    <w:p>
      <w:pPr>
        <w:pStyle w:val="1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56"/>
        </w:tabs>
        <w:bidi w:val="0"/>
        <w:spacing w:before="0" w:after="0" w:line="564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4.排查方式。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房屋产权人（使用人）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开展自查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乡政府及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组织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乡村两级干部进行核查；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组织专人会同技术人员和房屋产权人（使用人），按照网格化排查、清单化管理的要求，对所有自建房全面开展拉网式、地毯式排查，重点加大对经营性自建房和违法建设、违规经营活动的核查力度，做到不留盲区、不留死角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。</w:t>
      </w:r>
    </w:p>
    <w:p>
      <w:pPr>
        <w:pStyle w:val="1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56"/>
        </w:tabs>
        <w:bidi w:val="0"/>
        <w:spacing w:before="0" w:after="0" w:line="564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实施台帐管理。对排查发现的隐患，要逐项建立重点自建房安全隐患清单、整治清单和整治台账，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并及时上报城建局。</w:t>
      </w:r>
    </w:p>
    <w:p>
      <w:pPr>
        <w:pStyle w:val="1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56"/>
        </w:tabs>
        <w:bidi w:val="0"/>
        <w:spacing w:before="0" w:after="0" w:line="564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政府督导组对每个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行政村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重点围绕隐患排查台账建立情况；房屋安全管控措施实施情况；问题整改验收销号情况；违法建筑分类处置情况；老旧危房人员转移情况进行抽查随后将总排名在全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通报。此项工作关乎群众生命及财产安全，各村主干一定要严肃认真对待“宁听群众的骂声也不听群众的哭声”。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6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325120</wp:posOffset>
            </wp:positionV>
            <wp:extent cx="1475740" cy="1440180"/>
            <wp:effectExtent l="0" t="0" r="10160" b="7620"/>
            <wp:wrapNone/>
            <wp:docPr id="6" name="图片 6" descr="52fa49922d49774fba20cdbd9aea6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2fa49922d49774fba20cdbd9aea64c"/>
                    <pic:cNvPicPr/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6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圪垯上乡人民政府</w:t>
      </w:r>
    </w:p>
    <w:p>
      <w:pPr>
        <w:pStyle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2022年7月29日</w:t>
      </w:r>
    </w:p>
    <w:p>
      <w:pPr>
        <w:pStyle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06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B3F1CD-EC6D-4DA4-9D4C-4286CA70BF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80DE7B-0D81-433F-9240-676AE87F2C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78B0427-C6ED-4771-9124-2D69BD48A2CD}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00D9919D-CB2F-40F2-99EB-CEF655A81573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80FFDACA-470C-49DB-89E8-36DC0DE7D80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CDFDD329-FDB8-431C-B275-C03D6B38B1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AFC2CE"/>
    <w:multiLevelType w:val="singleLevel"/>
    <w:tmpl w:val="E2AFC2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ZGIxZTgyNmIwZTM3ZWYzM2IyMGNlNTZjZjhlZmMifQ=="/>
  </w:docVars>
  <w:rsids>
    <w:rsidRoot w:val="00000000"/>
    <w:rsid w:val="02F334DB"/>
    <w:rsid w:val="17FB448F"/>
    <w:rsid w:val="2CB87690"/>
    <w:rsid w:val="335158DB"/>
    <w:rsid w:val="3495592F"/>
    <w:rsid w:val="7BF44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Hyperlink"/>
    <w:basedOn w:val="11"/>
    <w:qFormat/>
    <w:uiPriority w:val="0"/>
    <w:rPr>
      <w:color w:val="313131"/>
      <w:u w:val="none"/>
    </w:rPr>
  </w:style>
  <w:style w:type="paragraph" w:customStyle="1" w:styleId="15">
    <w:name w:val="机关正文"/>
    <w:basedOn w:val="1"/>
    <w:qFormat/>
    <w:uiPriority w:val="0"/>
    <w:pPr>
      <w:adjustRightInd w:val="0"/>
      <w:spacing w:line="600" w:lineRule="exact"/>
      <w:ind w:firstLine="200" w:firstLineChars="200"/>
    </w:pPr>
    <w:rPr>
      <w:rFonts w:ascii="仿宋_GB2312" w:eastAsia="仿宋_GB2312"/>
      <w:bCs/>
      <w:sz w:val="32"/>
      <w:szCs w:val="32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after="60"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1240</Words>
  <Characters>1258</Characters>
  <Lines>0</Lines>
  <Paragraphs>0</Paragraphs>
  <TotalTime>0</TotalTime>
  <ScaleCrop>false</ScaleCrop>
  <LinksUpToDate>false</LinksUpToDate>
  <CharactersWithSpaces>1370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2018-04-26T16:11:00Z</dcterms:created>
  <dc:creator>厚德载物</dc:creator>
  <cp:lastModifiedBy>深呼吸</cp:lastModifiedBy>
  <cp:lastPrinted>2022-08-29T16:21:00Z</cp:lastPrinted>
  <dcterms:modified xsi:type="dcterms:W3CDTF">2022-09-23T08:35:57Z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6AB4732891484228B55D4C0C9D8D517E</vt:lpwstr>
  </property>
  <property fmtid="{D5CDD505-2E9C-101B-9397-08002B2CF9AE}" pid="4" name="KSOSaveFontToCloudKey">
    <vt:lpwstr>556184737_cloud</vt:lpwstr>
  </property>
</Properties>
</file>