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87"/>
        <w:jc w:val="center"/>
        <w:textAlignment w:val="auto"/>
        <w:outlineLvl w:val="9"/>
        <w:rPr>
          <w:rFonts w:hint="eastAsia" w:eastAsia="穝灿砰"/>
          <w:b/>
          <w:color w:val="FF0000"/>
          <w:w w:val="66"/>
          <w:sz w:val="14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87"/>
        <w:jc w:val="center"/>
        <w:textAlignment w:val="auto"/>
        <w:outlineLvl w:val="9"/>
        <w:rPr>
          <w:rFonts w:hint="eastAsia" w:eastAsia="穝灿砰"/>
          <w:b/>
          <w:color w:val="FF0000"/>
          <w:w w:val="66"/>
          <w:sz w:val="14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202"/>
        <w:jc w:val="center"/>
        <w:textAlignment w:val="auto"/>
        <w:outlineLvl w:val="9"/>
        <w:rPr>
          <w:rFonts w:hint="eastAsia" w:eastAsia="穝灿砰"/>
          <w:b/>
          <w:color w:val="FF0000"/>
          <w:spacing w:val="-3"/>
          <w:w w:val="66"/>
          <w:sz w:val="16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202"/>
        <w:jc w:val="center"/>
        <w:textAlignment w:val="auto"/>
        <w:outlineLvl w:val="9"/>
        <w:rPr>
          <w:rFonts w:hint="eastAsia" w:eastAsia="穝灿砰"/>
          <w:b/>
          <w:color w:val="FF0000"/>
          <w:spacing w:val="-3"/>
          <w:w w:val="66"/>
          <w:sz w:val="16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202"/>
        <w:jc w:val="center"/>
        <w:textAlignment w:val="auto"/>
        <w:outlineLvl w:val="9"/>
        <w:rPr>
          <w:rFonts w:hint="eastAsia" w:eastAsia="穝灿砰"/>
          <w:b/>
          <w:color w:val="FF0000"/>
          <w:spacing w:val="-3"/>
          <w:w w:val="66"/>
          <w:sz w:val="16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202"/>
        <w:jc w:val="center"/>
        <w:textAlignment w:val="auto"/>
        <w:outlineLvl w:val="9"/>
        <w:rPr>
          <w:rFonts w:hint="eastAsia" w:eastAsia="穝灿砰"/>
          <w:b/>
          <w:color w:val="FF0000"/>
          <w:spacing w:val="-3"/>
          <w:w w:val="66"/>
          <w:sz w:val="16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outlineLvl w:val="9"/>
        <w:rPr>
          <w:rFonts w:hint="eastAsia" w:ascii="方正小标宋简体" w:hAnsi="新宋体" w:eastAsia="方正小标宋简体" w:cs="新宋体"/>
          <w:b/>
          <w:color w:val="FF0000"/>
          <w:spacing w:val="0"/>
          <w:w w:val="65"/>
          <w:sz w:val="120"/>
          <w:szCs w:val="120"/>
          <w:shd w:val="clear" w:color="auto" w:fill="auto"/>
        </w:rPr>
      </w:pPr>
      <w:r>
        <w:rPr>
          <w:rFonts w:hint="eastAsia" w:ascii="方正小标宋简体" w:hAnsi="新宋体" w:eastAsia="方正小标宋简体" w:cs="新宋体"/>
          <w:b/>
          <w:color w:val="FF0000"/>
          <w:spacing w:val="0"/>
          <w:w w:val="60"/>
          <w:sz w:val="120"/>
          <w:szCs w:val="120"/>
          <w:shd w:val="clear" w:color="auto" w:fill="auto"/>
          <w:lang w:val="en-US" w:eastAsia="zh-CN"/>
        </w:rPr>
        <w:t>兴县</w:t>
      </w:r>
      <w:r>
        <w:rPr>
          <w:rFonts w:hint="eastAsia" w:ascii="方正小标宋简体" w:hAnsi="新宋体" w:eastAsia="方正小标宋简体" w:cs="新宋体"/>
          <w:b/>
          <w:color w:val="FF0000"/>
          <w:spacing w:val="0"/>
          <w:w w:val="60"/>
          <w:sz w:val="120"/>
          <w:szCs w:val="120"/>
          <w:shd w:val="clear" w:color="auto" w:fill="auto"/>
          <w:lang w:eastAsia="zh-CN"/>
        </w:rPr>
        <w:t>圪垯上乡</w:t>
      </w:r>
      <w:r>
        <w:rPr>
          <w:rFonts w:hint="eastAsia" w:ascii="方正小标宋简体" w:hAnsi="新宋体" w:eastAsia="方正小标宋简体" w:cs="新宋体"/>
          <w:b/>
          <w:color w:val="FF0000"/>
          <w:spacing w:val="0"/>
          <w:w w:val="60"/>
          <w:sz w:val="120"/>
          <w:szCs w:val="120"/>
          <w:shd w:val="clear" w:color="auto" w:fill="auto"/>
          <w:lang w:val="en-US" w:eastAsia="zh-CN"/>
        </w:rPr>
        <w:t>人民政府</w:t>
      </w:r>
      <w:r>
        <w:rPr>
          <w:rFonts w:hint="eastAsia" w:ascii="方正小标宋简体" w:hAnsi="新宋体" w:eastAsia="方正小标宋简体" w:cs="新宋体"/>
          <w:b/>
          <w:color w:val="FF0000"/>
          <w:spacing w:val="0"/>
          <w:w w:val="60"/>
          <w:sz w:val="120"/>
          <w:szCs w:val="120"/>
          <w:shd w:val="clear" w:color="auto" w:fill="auto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60" w:leftChars="219" w:right="0" w:rightChars="0"/>
        <w:textAlignment w:val="auto"/>
        <w:outlineLvl w:val="9"/>
        <w:rPr>
          <w:rFonts w:hint="eastAsia" w:ascii="仿宋_GB2312" w:hAnsi="仿宋_GB2312" w:eastAsia="仿宋_GB2312"/>
          <w:spacing w:val="-14"/>
          <w:sz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60" w:leftChars="219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pacing w:val="-14"/>
          <w:sz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spacing w:val="-14"/>
          <w:sz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圪政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发〔20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〕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FF0000"/>
          <w:w w:val="66"/>
          <w:sz w:val="44"/>
          <w:szCs w:val="44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4258945</wp:posOffset>
                </wp:positionV>
                <wp:extent cx="5600700" cy="0"/>
                <wp:effectExtent l="0" t="14605" r="0" b="2349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8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4pt;margin-top:335.35pt;height:0pt;width:441pt;mso-position-horizontal-relative:page;mso-position-vertical-relative:page;z-index:251660288;mso-width-relative:page;mso-height-relative:page;" filled="f" stroked="t" coordsize="21600,21600" o:gfxdata="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nOJyPbAAAADAEAAA8AAAAAAAAAAQAgAAAAIgAAAGRycy9kb3ducmV2Lnht&#10;bFBLAQIUABQAAAAIAIdO4kDW7dv99gEAAOUDAAAOAAAAAAAAAAEAIAAAACoBAABkcnMvZTJvRG9j&#10;LnhtbFBLBQYAAAAABgAGAFkBAACSBQAAAAA=&#10;">
                <v:fill on="f" focussize="0,0"/>
                <v:stroke weight="2.26771653543307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leftChars="0" w:right="0" w:firstLine="0" w:firstLineChars="0"/>
        <w:jc w:val="center"/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48"/>
          <w:szCs w:val="48"/>
          <w:lang w:val="en-US" w:eastAsia="zh-CN"/>
        </w:rPr>
        <w:t>圪垯上乡人民政府自建房安全专项整治实施计划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为加快农村危旧房屋治理改造，全面消除我乡农村房屋安全隐患，确保人民群众生命财产安全，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根据《兴县经营性自建房安全专项整治“百日行动”实施计划》、《兴县自建房安全专项整治实施计划的通知》（兴政办发【2022】19号）及相关规定，制定本实施计划。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在全乡范围开展“农村房屋安全隐患排查”专项行动，现制定如下实施计划: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leftChars="0" w:right="0" w:firstLine="640" w:firstLineChars="200"/>
        <w:jc w:val="left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一、做好宣传发动</w:t>
      </w:r>
    </w:p>
    <w:p>
      <w:pPr>
        <w:pStyle w:val="16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99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各村(居)委会要广泛宣传，使广大群众充分认识农村房屋安全的重要性，及时了解群众思想动态，有针对性地做好解释引导工作，有效化解影响社会稳定的风险隐患。要全面深入开展农村房屋安全科普教育，不断增强农民群众的房屋安全意识，提高支持参与排查整治房屋安全隐患的积极性和主动性。</w:t>
      </w:r>
    </w:p>
    <w:p>
      <w:pPr>
        <w:pStyle w:val="1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599" w:lineRule="exac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排查建档对象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    </w:t>
      </w:r>
    </w:p>
    <w:p>
      <w:pPr>
        <w:pStyle w:val="16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99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各行政村为实施主体，重点对农村年久失修、残损破旧、不御风雨、不具备基本居住条件的住房和农村建设质量差、主体结构损坏严重、超负荷使用以及房屋所处的不利地理环境进行全面排查，排查建档要同步进行(即排查一户，建档一户)。各村要对危旧房进行房屋质量安全进行初步判断，对初步判断为危险的房屋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上报县城建局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组织专业技术人员或聘请第三方中介机构进行评估和鉴定。各村要进一步完善危旧房屋应急保障措施，一旦发现房屋安全问题或出现异常变化，迅速开展应急处置，做到边排查、边建档、边腾空、边治理。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leftChars="0" w:right="0" w:firstLine="640" w:firstLineChars="200"/>
        <w:jc w:val="left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全面排查摸底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6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排查范围。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重点核查地域：对本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行政区域内所有自建房进行核查，在继续推进农村房屋安全隐患排查整治工作的基础上，重点核查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</w:rPr>
        <w:t>政府驻地村、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</w:rPr>
        <w:t>范围内的经营性自建房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重点核查场所：（1）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层以上，聚集人流10人以上的房屋；（2）用于教育、医疗等公共服务型和饭店、旅馆、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商铺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等经营性的房屋；（3）违规改为经营用途及改扩建的房屋；（4）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依山而建的土窑洞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；（5）砖木结构和砖混结构的房屋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6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与前期农村房屋安全隐患排查整治范围无缝对接，实现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本乡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全覆盖、无死角、无盲区，确保“不漏一房一户”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全面摸清自建房基本情况，重点核查结构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经营安全性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建设合法合规性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3.排查路径。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</w:rPr>
        <w:t>按照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</w:rPr>
        <w:t>政府驻地村、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一般村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en-US"/>
        </w:rPr>
        <w:t>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</w:rPr>
        <w:t>排查路径,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排查人员在网格内依照排查路径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逐户排查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。</w:t>
      </w:r>
    </w:p>
    <w:p>
      <w:pPr>
        <w:pStyle w:val="1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56"/>
        </w:tabs>
        <w:bidi w:val="0"/>
        <w:spacing w:before="0" w:after="0" w:line="564" w:lineRule="exac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4.排查方式。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</w:rPr>
        <w:t>房屋产权人（使用人）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开展自查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乡政府及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</w:rPr>
        <w:t>组织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乡村两级干部进行核查；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</w:rPr>
        <w:t>组织专人会同技术人员和房屋产权人（使用人），按照网格化排查、清单化管理的要求，对所有自建房全面开展拉网式、地毯式排查，重点加大对经营性自建房和违法建设、违规经营活动的核查力度，做到不留盲区、不留死角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。</w:t>
      </w:r>
    </w:p>
    <w:p>
      <w:pPr>
        <w:pStyle w:val="1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56"/>
        </w:tabs>
        <w:bidi w:val="0"/>
        <w:spacing w:before="0" w:after="0" w:line="564" w:lineRule="exac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实施台帐管理。对排查发现的隐患，要逐项建立重点自建房安全隐患清单、整治清单和整治台账，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并及时上报城建局。</w:t>
      </w:r>
    </w:p>
    <w:p>
      <w:pPr>
        <w:pStyle w:val="1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56"/>
        </w:tabs>
        <w:bidi w:val="0"/>
        <w:spacing w:before="0" w:after="0" w:line="564" w:lineRule="exac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政府督导组对每个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行政村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重点围绕隐患排查台账建立情况；房屋安全管控措施实施情况；问题整改验收销号情况；违法建筑分类处置情况；老旧危房人员转移情况进行抽查随后将总排名在全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通报。此项工作关乎群众生命及财产安全，各村主干一定要严肃认真对待“宁听群众的骂声也不听群众的哭声”。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6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325120</wp:posOffset>
            </wp:positionV>
            <wp:extent cx="1475740" cy="1440180"/>
            <wp:effectExtent l="0" t="0" r="10160" b="7620"/>
            <wp:wrapNone/>
            <wp:docPr id="6" name="图片 6" descr="52fa49922d49774fba20cdbd9aea6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2fa49922d49774fba20cdbd9aea64c"/>
                    <pic:cNvPicPr/>
                  </pic:nvPicPr>
                  <pic:blipFill>
                    <a:blip r:embed="rId6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60"/>
        <w:jc w:val="left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圪垯上乡人民政府</w:t>
      </w:r>
    </w:p>
    <w:p>
      <w:pPr>
        <w:pStyle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2022年7月29日</w:t>
      </w:r>
    </w:p>
    <w:p>
      <w:pPr>
        <w:pStyle w:val="9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406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B3F1CD-EC6D-4DA4-9D4C-4286CA70BF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B80DE7B-0D81-433F-9240-676AE87F2CC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78B0427-C6ED-4771-9124-2D69BD48A2CD}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00D9919D-CB2F-40F2-99EB-CEF655A81573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5" w:fontKey="{80FFDACA-470C-49DB-89E8-36DC0DE7D80F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CDFDD329-FDB8-431C-B275-C03D6B38B1B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AFC2CE"/>
    <w:multiLevelType w:val="singleLevel"/>
    <w:tmpl w:val="E2AFC2C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ZGIxZTgyNmIwZTM3ZWYzM2IyMGNlNTZjZjhlZmMifQ=="/>
  </w:docVars>
  <w:rsids>
    <w:rsidRoot w:val="00000000"/>
    <w:rsid w:val="02F334DB"/>
    <w:rsid w:val="17FB448F"/>
    <w:rsid w:val="2CB87690"/>
    <w:rsid w:val="335158DB"/>
    <w:rsid w:val="3495592F"/>
    <w:rsid w:val="7BF44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Times New Roman" w:hAnsi="Times New Roman" w:eastAsia="黑体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800080"/>
      <w:u w:val="none"/>
    </w:rPr>
  </w:style>
  <w:style w:type="character" w:styleId="14">
    <w:name w:val="Hyperlink"/>
    <w:basedOn w:val="11"/>
    <w:qFormat/>
    <w:uiPriority w:val="0"/>
    <w:rPr>
      <w:color w:val="313131"/>
      <w:u w:val="none"/>
    </w:rPr>
  </w:style>
  <w:style w:type="paragraph" w:customStyle="1" w:styleId="15">
    <w:name w:val="机关正文"/>
    <w:basedOn w:val="1"/>
    <w:qFormat/>
    <w:uiPriority w:val="0"/>
    <w:pPr>
      <w:adjustRightInd w:val="0"/>
      <w:spacing w:line="600" w:lineRule="exact"/>
      <w:ind w:firstLine="200" w:firstLineChars="200"/>
    </w:pPr>
    <w:rPr>
      <w:rFonts w:ascii="仿宋_GB2312" w:eastAsia="仿宋_GB2312"/>
      <w:bCs/>
      <w:sz w:val="32"/>
      <w:szCs w:val="32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after="60"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1240</Words>
  <Characters>1258</Characters>
  <Lines>0</Lines>
  <Paragraphs>0</Paragraphs>
  <TotalTime>0</TotalTime>
  <ScaleCrop>false</ScaleCrop>
  <LinksUpToDate>false</LinksUpToDate>
  <CharactersWithSpaces>1370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2018-04-26T16:11:00Z</dcterms:created>
  <dc:creator>厚德载物</dc:creator>
  <cp:lastModifiedBy>深呼吸</cp:lastModifiedBy>
  <cp:lastPrinted>2022-08-29T16:21:00Z</cp:lastPrinted>
  <dcterms:modified xsi:type="dcterms:W3CDTF">2022-09-23T08:35:57Z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6AB4732891484228B55D4C0C9D8D517E</vt:lpwstr>
  </property>
  <property fmtid="{D5CDD505-2E9C-101B-9397-08002B2CF9AE}" pid="4" name="KSOSaveFontToCloudKey">
    <vt:lpwstr>556184737_cloud</vt:lpwstr>
  </property>
</Properties>
</file>