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val="en-US" w:eastAsia="zh-CN"/>
        </w:rPr>
      </w:pPr>
      <w:r>
        <w:rPr>
          <w:rFonts w:ascii="黑体" w:hAnsi="黑体" w:eastAsia="黑体"/>
          <w:sz w:val="32"/>
          <w:szCs w:val="32"/>
        </w:rPr>
        <w:t>附件2</w:t>
      </w:r>
      <w:r>
        <w:rPr>
          <w:rFonts w:hint="eastAsia" w:ascii="黑体" w:hAnsi="黑体" w:eastAsia="黑体"/>
          <w:sz w:val="32"/>
          <w:szCs w:val="32"/>
          <w:lang w:val="en-US" w:eastAsia="zh-CN"/>
        </w:rPr>
        <w:t>:</w:t>
      </w:r>
      <w:r>
        <w:rPr>
          <w:rFonts w:hint="eastAsia" w:ascii="仿宋" w:hAnsi="仿宋" w:eastAsia="仿宋" w:cs="仿宋"/>
          <w:color w:val="000000"/>
          <w:kern w:val="0"/>
          <w:sz w:val="32"/>
          <w:szCs w:val="32"/>
          <w:lang w:val="en-US" w:eastAsia="zh-CN" w:bidi="ar"/>
        </w:rPr>
        <w:t xml:space="preserve"> </w:t>
      </w:r>
      <w:bookmarkStart w:id="0" w:name="_GoBack"/>
      <w:r>
        <w:rPr>
          <w:rFonts w:hint="eastAsia" w:ascii="仿宋" w:hAnsi="仿宋" w:eastAsia="仿宋" w:cs="仿宋"/>
          <w:b/>
          <w:bCs/>
          <w:color w:val="000000"/>
          <w:kern w:val="0"/>
          <w:sz w:val="32"/>
          <w:szCs w:val="32"/>
          <w:lang w:bidi="ar"/>
        </w:rPr>
        <w:t>202</w:t>
      </w:r>
      <w:r>
        <w:rPr>
          <w:rFonts w:hint="eastAsia" w:ascii="仿宋" w:hAnsi="仿宋" w:eastAsia="仿宋" w:cs="仿宋"/>
          <w:b/>
          <w:bCs/>
          <w:color w:val="000000"/>
          <w:kern w:val="0"/>
          <w:sz w:val="32"/>
          <w:szCs w:val="32"/>
          <w:lang w:val="en-US" w:eastAsia="zh-CN" w:bidi="ar"/>
        </w:rPr>
        <w:t>1</w:t>
      </w:r>
      <w:r>
        <w:rPr>
          <w:rFonts w:hint="eastAsia" w:ascii="仿宋" w:hAnsi="仿宋" w:eastAsia="仿宋" w:cs="仿宋"/>
          <w:b/>
          <w:bCs/>
          <w:color w:val="000000"/>
          <w:kern w:val="0"/>
          <w:sz w:val="32"/>
          <w:szCs w:val="32"/>
          <w:lang w:bidi="ar"/>
        </w:rPr>
        <w:t>年度</w:t>
      </w:r>
      <w:r>
        <w:rPr>
          <w:rFonts w:hint="eastAsia" w:ascii="仿宋" w:hAnsi="仿宋" w:eastAsia="仿宋" w:cs="仿宋"/>
          <w:b/>
          <w:bCs/>
          <w:color w:val="000000"/>
          <w:kern w:val="0"/>
          <w:sz w:val="32"/>
          <w:szCs w:val="32"/>
          <w:lang w:val="en-US" w:eastAsia="zh-CN" w:bidi="ar"/>
        </w:rPr>
        <w:t>兴县</w:t>
      </w:r>
      <w:r>
        <w:rPr>
          <w:rFonts w:hint="eastAsia" w:ascii="仿宋" w:hAnsi="仿宋" w:eastAsia="仿宋" w:cs="仿宋"/>
          <w:b/>
          <w:bCs/>
          <w:color w:val="000000"/>
          <w:kern w:val="0"/>
          <w:sz w:val="32"/>
          <w:szCs w:val="32"/>
          <w:lang w:bidi="ar"/>
        </w:rPr>
        <w:t>政务公开工作考核细则与评分表(</w:t>
      </w:r>
      <w:r>
        <w:rPr>
          <w:rFonts w:hint="eastAsia" w:ascii="仿宋" w:hAnsi="仿宋" w:eastAsia="仿宋" w:cs="仿宋"/>
          <w:b/>
          <w:bCs/>
          <w:color w:val="000000"/>
          <w:kern w:val="0"/>
          <w:sz w:val="32"/>
          <w:szCs w:val="32"/>
          <w:lang w:val="en-US" w:eastAsia="zh-CN" w:bidi="ar"/>
        </w:rPr>
        <w:t>B</w:t>
      </w:r>
      <w:r>
        <w:rPr>
          <w:rFonts w:hint="eastAsia" w:ascii="仿宋" w:hAnsi="仿宋" w:eastAsia="仿宋" w:cs="仿宋"/>
          <w:b/>
          <w:bCs/>
          <w:color w:val="000000"/>
          <w:kern w:val="0"/>
          <w:sz w:val="32"/>
          <w:szCs w:val="32"/>
          <w:lang w:bidi="ar"/>
        </w:rPr>
        <w:t>类)</w:t>
      </w:r>
      <w:bookmarkEnd w:id="0"/>
    </w:p>
    <w:tbl>
      <w:tblPr>
        <w:tblStyle w:val="3"/>
        <w:tblpPr w:leftFromText="180" w:rightFromText="180" w:vertAnchor="text" w:horzAnchor="page" w:tblpX="1548" w:tblpY="534"/>
        <w:tblOverlap w:val="never"/>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35"/>
        <w:gridCol w:w="1960"/>
        <w:gridCol w:w="511"/>
        <w:gridCol w:w="5216"/>
        <w:gridCol w:w="682"/>
        <w:gridCol w:w="289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2"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一级指标</w:t>
            </w:r>
          </w:p>
        </w:tc>
        <w:tc>
          <w:tcPr>
            <w:tcW w:w="835"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二级</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指标</w:t>
            </w:r>
          </w:p>
        </w:tc>
        <w:tc>
          <w:tcPr>
            <w:tcW w:w="1960"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三级</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指标</w:t>
            </w:r>
          </w:p>
        </w:tc>
        <w:tc>
          <w:tcPr>
            <w:tcW w:w="511"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赋</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分</w:t>
            </w:r>
          </w:p>
        </w:tc>
        <w:tc>
          <w:tcPr>
            <w:tcW w:w="5216"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扣分</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标准</w:t>
            </w:r>
          </w:p>
        </w:tc>
        <w:tc>
          <w:tcPr>
            <w:tcW w:w="682"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加分</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标准</w:t>
            </w:r>
          </w:p>
        </w:tc>
        <w:tc>
          <w:tcPr>
            <w:tcW w:w="2898"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考核</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方式</w:t>
            </w:r>
          </w:p>
        </w:tc>
        <w:tc>
          <w:tcPr>
            <w:tcW w:w="1267" w:type="dxa"/>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考核</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02"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组</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织</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领</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导</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与</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工</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作</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保</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障</w:t>
            </w:r>
          </w:p>
        </w:tc>
        <w:tc>
          <w:tcPr>
            <w:tcW w:w="835"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组织</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领导</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政务公开领导小组或政府领导研究部署相关工作情况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对行政执法公开、政务服务公开、市场监管公开、征地信息公开、财政信息公开、“双公示”工作（仅限涉及此项工作的单位，下同）等方面进行会议研究部署。以上5方面内容，每少研究一项，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查看会议纪要等</w:t>
            </w:r>
          </w:p>
        </w:tc>
        <w:tc>
          <w:tcPr>
            <w:tcW w:w="1267"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及时出台或更新有关政策文件情况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制定落实国办及省2021年政务公开工作要点，市、县政务公开有关要求、“双公示”工作的方案或任务分工等并在政府网站公开，每少一项，扣1分。扣分上限为2分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查看相关政府文件或工作方案等</w:t>
            </w:r>
          </w:p>
        </w:tc>
        <w:tc>
          <w:tcPr>
            <w:tcW w:w="1267"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工作</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保障</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机构、人员、经费保障情况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对政务公开各项工作等方面未落实机构、人员、经费等方面保障的，每少一项，扣1分。扣分上限为2分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被考核单位提供相关印证材料</w:t>
            </w:r>
          </w:p>
        </w:tc>
        <w:tc>
          <w:tcPr>
            <w:tcW w:w="1267"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0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基层政务公开标准化规范化</w:t>
            </w:r>
          </w:p>
        </w:tc>
        <w:tc>
          <w:tcPr>
            <w:tcW w:w="835"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目录执行</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全领域公开</w:t>
            </w:r>
          </w:p>
        </w:tc>
        <w:tc>
          <w:tcPr>
            <w:tcW w:w="511" w:type="dxa"/>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35</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未按照兴政办发</w:t>
            </w:r>
            <w:r>
              <w:rPr>
                <w:rFonts w:hint="eastAsia" w:ascii="仿宋_GB2312" w:hAnsi="宋体" w:eastAsia="仿宋_GB2312" w:cs="宋体"/>
                <w:color w:val="0000FF"/>
                <w:kern w:val="0"/>
                <w:sz w:val="20"/>
                <w:szCs w:val="20"/>
                <w:lang w:val="en-US" w:eastAsia="zh-CN"/>
              </w:rPr>
              <w:t>〔2021〕 号</w:t>
            </w:r>
            <w:r>
              <w:rPr>
                <w:rFonts w:hint="eastAsia" w:ascii="仿宋_GB2312" w:hAnsi="宋体" w:eastAsia="仿宋_GB2312" w:cs="宋体"/>
                <w:kern w:val="0"/>
                <w:sz w:val="20"/>
                <w:szCs w:val="20"/>
                <w:lang w:val="en-US" w:eastAsia="zh-CN"/>
              </w:rPr>
              <w:t>文件要求相关内容的，发现一项扣5分。扣35分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网上检查</w:t>
            </w:r>
          </w:p>
        </w:tc>
        <w:tc>
          <w:tcPr>
            <w:tcW w:w="12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政府</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网络和金融服务中心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02" w:type="dxa"/>
            <w:vMerge w:val="restart"/>
            <w:vAlign w:val="center"/>
          </w:tcPr>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主</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动</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公</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开</w:t>
            </w:r>
          </w:p>
        </w:tc>
        <w:tc>
          <w:tcPr>
            <w:tcW w:w="835"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法定</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主动</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公开</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内容</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函复类文件公开</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在公开部门文件的基础上，未开设栏目公开内容具有普遍指导意义，或涉及公众利益、有必要让公众知晓并接受公众监督的函复类文件的，发现一件，扣1分。扣分上限为3分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网上检查+被考核单位提供印证材料+社会关注热点政务舆情倒查</w:t>
            </w:r>
          </w:p>
        </w:tc>
        <w:tc>
          <w:tcPr>
            <w:tcW w:w="1267" w:type="dxa"/>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指南、年报等公开质量</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指南、年报等内容不符合国家规定，超期发布或有缺漏项和明显错误的，每项扣1分。扣分上限为2分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网上检查</w:t>
            </w: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双</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公</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示</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信</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息</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公</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开</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及</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信</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用</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修</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复</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“双公示”数据报送合规性情况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按照国家发改委现行标准对报送的行政许可和行政处罚数据进行核查，得分=合规率（合规数据量/报送数据总量）×3</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通过省信用信息共享平台核查计算得出</w:t>
            </w:r>
          </w:p>
        </w:tc>
        <w:tc>
          <w:tcPr>
            <w:tcW w:w="1267" w:type="dxa"/>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小组</w:t>
            </w:r>
          </w:p>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“双公示”数据报送及时性情况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按照国家发展改革委现行标准对报送的行政许可和行政处罚数据进行核查，得分=迟报率（迟报数据量/报送数据总量）×3</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通过省信用信息共享平台核查计算得出</w:t>
            </w: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“双公示”数据报送完整性情况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将被抽查单位提供的“双公示”信息台账记录与山西省信用信息共享平台中上报数据进行比对，台账中有而山西省信用信息共享平台中无的数据为瞒报数据。瞒报率=瞒报数据量/台账数据量。得分=（1-瞒报率）×3</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通过核对被考核单位“双公示”台账与省信用信息共享平台数据后得出</w:t>
            </w: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信用修复核查情况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规范性得分=（1-错误率）×2</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（错误率=核查错误量/信用修复总量；核查错误量=省级复审或国家终审拒绝的数量。核查错误率超过30%的，直接扣2分）。扣分上限为2分</w:t>
            </w:r>
            <w:r>
              <w:rPr>
                <w:rFonts w:hint="eastAsia" w:ascii="仿宋_GB2312" w:hAnsi="宋体" w:eastAsia="仿宋_GB2312" w:cs="宋体"/>
                <w:kern w:val="0"/>
                <w:sz w:val="20"/>
                <w:szCs w:val="20"/>
                <w:lang w:val="en-US" w:eastAsia="zh-CN"/>
              </w:rPr>
              <w:br w:type="textWrapping"/>
            </w:r>
            <w:r>
              <w:rPr>
                <w:rFonts w:hint="eastAsia" w:ascii="仿宋_GB2312" w:hAnsi="宋体" w:eastAsia="仿宋_GB2312" w:cs="宋体"/>
                <w:kern w:val="0"/>
                <w:sz w:val="20"/>
                <w:szCs w:val="20"/>
                <w:lang w:val="en-US" w:eastAsia="zh-CN"/>
              </w:rPr>
              <w:t>时效性主要为扣分项，市级初核超期1次扣0.5分。扣分上限为1分</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规范性和时效性两项扣分上限为3分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按照国家信用修复工作要求核查规范性和时效性。根据“信用中国”网站协同修复系统结果及数据回流核查得出</w:t>
            </w: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拟发公文属性认定</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政府文件公开属性的源头认定</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文件公开属性未认定的，发现一件，扣1分。扣分上限为3分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Merge w:val="restart"/>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被考核单位提供相关印证材料</w:t>
            </w:r>
          </w:p>
        </w:tc>
        <w:tc>
          <w:tcPr>
            <w:tcW w:w="1267" w:type="dxa"/>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小组</w:t>
            </w:r>
          </w:p>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属性认定的依据和理由</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对非主动公开的文件，属性认定的依据和理由不充分的，发现一件，扣1分。扣分上限为2分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Merge w:val="continue"/>
            <w:vAlign w:val="center"/>
          </w:tcPr>
          <w:p>
            <w:pPr>
              <w:widowControl/>
              <w:jc w:val="left"/>
              <w:rPr>
                <w:rFonts w:hint="eastAsia" w:ascii="仿宋_GB2312" w:hAnsi="宋体" w:eastAsia="仿宋_GB2312" w:cs="宋体"/>
                <w:kern w:val="0"/>
                <w:sz w:val="20"/>
                <w:szCs w:val="20"/>
                <w:lang w:val="en-US" w:eastAsia="zh-CN"/>
              </w:rPr>
            </w:pP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非主动公开文件的台账管理</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对属性为依申请公开、不予公开的公文未进行台账管理的，扣2分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Merge w:val="continue"/>
            <w:vAlign w:val="center"/>
          </w:tcPr>
          <w:p>
            <w:pPr>
              <w:widowControl/>
              <w:jc w:val="left"/>
              <w:rPr>
                <w:rFonts w:hint="eastAsia" w:ascii="仿宋_GB2312" w:hAnsi="宋体" w:eastAsia="仿宋_GB2312" w:cs="宋体"/>
                <w:kern w:val="0"/>
                <w:sz w:val="20"/>
                <w:szCs w:val="20"/>
                <w:lang w:val="en-US" w:eastAsia="zh-CN"/>
              </w:rPr>
            </w:pP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0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依申</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请公</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开</w:t>
            </w:r>
          </w:p>
        </w:tc>
        <w:tc>
          <w:tcPr>
            <w:tcW w:w="835"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规范</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答复</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依申请公开的规范答复</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抽查本年度2件依申请公开答复案卷，答复办理不规范的，每件扣1分。扣分上限为2分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抽查</w:t>
            </w:r>
          </w:p>
        </w:tc>
        <w:tc>
          <w:tcPr>
            <w:tcW w:w="1267"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2"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民</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互</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动</w:t>
            </w:r>
          </w:p>
        </w:tc>
        <w:tc>
          <w:tcPr>
            <w:tcW w:w="835"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政策解读及</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咨询</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政策文件全部多样化解读</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政策文件（包括前文提到的函复类文件）未进行多样化解读的，每一件扣1分。扣分上限为10分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网上检查</w:t>
            </w:r>
          </w:p>
        </w:tc>
        <w:tc>
          <w:tcPr>
            <w:tcW w:w="12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政府</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网络和金融服务中心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02"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835" w:type="dxa"/>
            <w:vMerge w:val="continue"/>
            <w:vAlign w:val="center"/>
          </w:tcPr>
          <w:p>
            <w:pPr>
              <w:widowControl/>
              <w:jc w:val="center"/>
              <w:rPr>
                <w:rFonts w:hint="eastAsia" w:ascii="仿宋_GB2312" w:hAnsi="宋体" w:eastAsia="仿宋_GB2312" w:cs="宋体"/>
                <w:kern w:val="0"/>
                <w:sz w:val="20"/>
                <w:szCs w:val="20"/>
                <w:lang w:val="en-US" w:eastAsia="zh-CN"/>
              </w:rPr>
            </w:pP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政策咨询</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县直各部门未确定政策咨询的专人及专用电话，并在政府网站和政务公开专区进行公示的，扣3分</w:t>
            </w:r>
          </w:p>
        </w:tc>
        <w:tc>
          <w:tcPr>
            <w:tcW w:w="682" w:type="dxa"/>
            <w:vAlign w:val="center"/>
          </w:tcPr>
          <w:p>
            <w:pPr>
              <w:widowControl/>
              <w:jc w:val="center"/>
              <w:rPr>
                <w:rFonts w:hint="eastAsia" w:ascii="仿宋_GB2312" w:hAnsi="宋体" w:eastAsia="仿宋_GB2312" w:cs="宋体"/>
                <w:kern w:val="0"/>
                <w:sz w:val="20"/>
                <w:szCs w:val="20"/>
                <w:lang w:val="en-US" w:eastAsia="zh-CN"/>
              </w:rPr>
            </w:pP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网上检查+被考核单位提供相关印证材料</w:t>
            </w:r>
          </w:p>
        </w:tc>
        <w:tc>
          <w:tcPr>
            <w:tcW w:w="1267" w:type="dxa"/>
            <w:vMerge w:val="continue"/>
            <w:vAlign w:val="center"/>
          </w:tcPr>
          <w:p>
            <w:pPr>
              <w:widowControl/>
              <w:jc w:val="left"/>
              <w:rPr>
                <w:rFonts w:hint="eastAsia" w:ascii="仿宋_GB2312" w:hAnsi="宋体" w:eastAsia="仿宋_GB2312"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802" w:type="dxa"/>
            <w:vAlign w:val="center"/>
          </w:tcPr>
          <w:p>
            <w:pPr>
              <w:spacing w:line="300" w:lineRule="exact"/>
              <w:jc w:val="center"/>
              <w:rPr>
                <w:rFonts w:hint="eastAsia" w:ascii="宋体" w:hAnsi="宋体" w:eastAsia="宋体" w:cs="仿宋"/>
                <w:color w:val="000000"/>
                <w:kern w:val="0"/>
                <w:sz w:val="24"/>
                <w:lang w:eastAsia="zh-CN" w:bidi="ar"/>
              </w:rPr>
            </w:pPr>
            <w:r>
              <w:rPr>
                <w:rFonts w:hint="eastAsia" w:ascii="仿宋_GB2312" w:hAnsi="宋体" w:eastAsia="仿宋_GB2312" w:cs="宋体"/>
                <w:kern w:val="0"/>
                <w:sz w:val="20"/>
                <w:szCs w:val="20"/>
                <w:lang w:val="en-US" w:eastAsia="zh-CN"/>
              </w:rPr>
              <w:t>规范性文件报送流程</w:t>
            </w:r>
          </w:p>
        </w:tc>
        <w:tc>
          <w:tcPr>
            <w:tcW w:w="835"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内容</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保障</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规范性文件备案</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部门规范性文件的起草单位或牵头起草单位未向县司法局备案的，每件扣1分；报备后未报县政府网站的，每件扣1分。扣分上限为2分</w:t>
            </w:r>
          </w:p>
        </w:tc>
        <w:tc>
          <w:tcPr>
            <w:tcW w:w="682"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w:t>
            </w:r>
          </w:p>
        </w:tc>
        <w:tc>
          <w:tcPr>
            <w:tcW w:w="2898"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被考核单位提供相关印证材料+向县司法局函询</w:t>
            </w:r>
          </w:p>
        </w:tc>
        <w:tc>
          <w:tcPr>
            <w:tcW w:w="1267"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02" w:type="dxa"/>
            <w:vMerge w:val="restart"/>
            <w:vAlign w:val="center"/>
          </w:tcPr>
          <w:p>
            <w:pPr>
              <w:widowControl/>
              <w:spacing w:line="300" w:lineRule="exact"/>
              <w:jc w:val="center"/>
              <w:rPr>
                <w:rFonts w:ascii="宋体" w:hAnsi="宋体" w:cs="仿宋"/>
                <w:color w:val="000000"/>
                <w:kern w:val="0"/>
                <w:sz w:val="24"/>
                <w:lang w:bidi="ar"/>
              </w:rPr>
            </w:pPr>
            <w:r>
              <w:rPr>
                <w:rFonts w:hint="eastAsia" w:ascii="仿宋_GB2312" w:hAnsi="宋体" w:eastAsia="仿宋_GB2312" w:cs="宋体"/>
                <w:kern w:val="0"/>
                <w:sz w:val="20"/>
                <w:szCs w:val="20"/>
                <w:lang w:val="en-US" w:eastAsia="zh-CN"/>
              </w:rPr>
              <w:t>政府网站信息报送时效性和质量</w:t>
            </w:r>
          </w:p>
        </w:tc>
        <w:tc>
          <w:tcPr>
            <w:tcW w:w="835" w:type="dxa"/>
            <w:vAlign w:val="center"/>
          </w:tcPr>
          <w:p>
            <w:pPr>
              <w:widowControl/>
              <w:jc w:val="center"/>
              <w:rPr>
                <w:rFonts w:ascii="宋体" w:hAnsi="宋体" w:cs="仿宋"/>
                <w:color w:val="000000"/>
                <w:kern w:val="0"/>
                <w:sz w:val="24"/>
                <w:lang w:bidi="ar"/>
              </w:rPr>
            </w:pPr>
            <w:r>
              <w:rPr>
                <w:rFonts w:hint="eastAsia" w:ascii="仿宋_GB2312" w:hAnsi="宋体" w:eastAsia="仿宋_GB2312" w:cs="宋体"/>
                <w:kern w:val="0"/>
                <w:sz w:val="20"/>
                <w:szCs w:val="20"/>
                <w:lang w:val="en-US" w:eastAsia="zh-CN"/>
              </w:rPr>
              <w:t>报送时效性</w:t>
            </w:r>
          </w:p>
        </w:tc>
        <w:tc>
          <w:tcPr>
            <w:tcW w:w="1960" w:type="dxa"/>
            <w:vAlign w:val="center"/>
          </w:tcPr>
          <w:p>
            <w:pPr>
              <w:widowControl/>
              <w:jc w:val="left"/>
              <w:rPr>
                <w:rFonts w:ascii="宋体" w:hAnsi="宋体" w:cs="仿宋"/>
                <w:color w:val="000000"/>
                <w:kern w:val="0"/>
                <w:sz w:val="24"/>
                <w:lang w:bidi="ar"/>
              </w:rPr>
            </w:pPr>
            <w:r>
              <w:rPr>
                <w:rFonts w:hint="eastAsia" w:ascii="仿宋_GB2312" w:hAnsi="宋体" w:eastAsia="仿宋_GB2312" w:cs="宋体"/>
                <w:kern w:val="0"/>
                <w:sz w:val="20"/>
                <w:szCs w:val="20"/>
                <w:lang w:val="en-US" w:eastAsia="zh-CN"/>
              </w:rPr>
              <w:t>在规定时限内报送网站信息情况</w:t>
            </w:r>
          </w:p>
        </w:tc>
        <w:tc>
          <w:tcPr>
            <w:tcW w:w="511"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5216" w:type="dxa"/>
            <w:vAlign w:val="center"/>
          </w:tcPr>
          <w:p>
            <w:pPr>
              <w:widowControl/>
              <w:jc w:val="left"/>
              <w:rPr>
                <w:rFonts w:ascii="宋体" w:hAnsi="宋体" w:cs="仿宋"/>
                <w:color w:val="000000"/>
                <w:kern w:val="0"/>
                <w:sz w:val="24"/>
                <w:lang w:bidi="ar"/>
              </w:rPr>
            </w:pPr>
            <w:r>
              <w:rPr>
                <w:rFonts w:hint="eastAsia" w:ascii="仿宋_GB2312" w:hAnsi="宋体" w:eastAsia="仿宋_GB2312" w:cs="宋体"/>
                <w:kern w:val="0"/>
                <w:sz w:val="20"/>
                <w:szCs w:val="20"/>
                <w:lang w:val="en-US" w:eastAsia="zh-CN"/>
              </w:rPr>
              <w:t>未能在规定的时限内报送网站信息，出现一次</w:t>
            </w:r>
            <w:r>
              <w:rPr>
                <w:rFonts w:hint="eastAsia" w:ascii="仿宋_GB2312" w:hAnsi="宋体" w:eastAsia="仿宋_GB2312" w:cs="宋体"/>
                <w:kern w:val="0"/>
                <w:sz w:val="20"/>
                <w:szCs w:val="20"/>
              </w:rPr>
              <w:t>，扣1分，扣分上限为10分</w:t>
            </w:r>
          </w:p>
        </w:tc>
        <w:tc>
          <w:tcPr>
            <w:tcW w:w="682" w:type="dxa"/>
            <w:vAlign w:val="center"/>
          </w:tcPr>
          <w:p>
            <w:pPr>
              <w:widowControl/>
              <w:jc w:val="center"/>
              <w:rPr>
                <w:rFonts w:ascii="宋体" w:hAnsi="宋体" w:cs="仿宋"/>
                <w:color w:val="000000"/>
                <w:kern w:val="0"/>
                <w:sz w:val="24"/>
                <w:lang w:bidi="ar"/>
              </w:rPr>
            </w:pPr>
          </w:p>
        </w:tc>
        <w:tc>
          <w:tcPr>
            <w:tcW w:w="2898" w:type="dxa"/>
            <w:vMerge w:val="restart"/>
            <w:vAlign w:val="center"/>
          </w:tcPr>
          <w:p>
            <w:pPr>
              <w:widowControl/>
              <w:spacing w:line="300" w:lineRule="exact"/>
              <w:rPr>
                <w:rFonts w:ascii="宋体" w:hAnsi="宋体" w:cs="仿宋"/>
                <w:color w:val="000000"/>
                <w:kern w:val="0"/>
                <w:sz w:val="24"/>
                <w:lang w:bidi="ar"/>
              </w:rPr>
            </w:pPr>
            <w:r>
              <w:rPr>
                <w:rFonts w:hint="eastAsia" w:ascii="仿宋_GB2312" w:hAnsi="宋体" w:eastAsia="仿宋_GB2312" w:cs="宋体"/>
                <w:kern w:val="0"/>
                <w:sz w:val="20"/>
                <w:szCs w:val="20"/>
                <w:lang w:val="en-US" w:eastAsia="zh-CN"/>
              </w:rPr>
              <w:t>根据全年县政府网站和政务新媒体年报综合判断</w:t>
            </w:r>
          </w:p>
        </w:tc>
        <w:tc>
          <w:tcPr>
            <w:tcW w:w="12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政府</w:t>
            </w:r>
          </w:p>
          <w:p>
            <w:pPr>
              <w:widowControl/>
              <w:spacing w:line="300" w:lineRule="exact"/>
              <w:rPr>
                <w:rFonts w:hint="eastAsia" w:ascii="宋体" w:hAnsi="宋体" w:cs="仿宋"/>
                <w:color w:val="000000"/>
                <w:kern w:val="0"/>
                <w:sz w:val="24"/>
                <w:lang w:bidi="ar"/>
              </w:rPr>
            </w:pPr>
            <w:r>
              <w:rPr>
                <w:rFonts w:hint="eastAsia" w:ascii="仿宋_GB2312" w:hAnsi="宋体" w:eastAsia="仿宋_GB2312" w:cs="宋体"/>
                <w:kern w:val="0"/>
                <w:sz w:val="20"/>
                <w:szCs w:val="20"/>
                <w:lang w:val="en-US" w:eastAsia="zh-CN"/>
              </w:rPr>
              <w:t>网络和金融服务中心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02" w:type="dxa"/>
            <w:vMerge w:val="continue"/>
            <w:vAlign w:val="center"/>
          </w:tcPr>
          <w:p>
            <w:pPr>
              <w:widowControl/>
              <w:spacing w:line="300" w:lineRule="exact"/>
              <w:jc w:val="center"/>
              <w:rPr>
                <w:rFonts w:ascii="宋体" w:hAnsi="宋体" w:cs="仿宋"/>
                <w:color w:val="000000"/>
                <w:kern w:val="0"/>
                <w:sz w:val="24"/>
                <w:lang w:bidi="ar"/>
              </w:rPr>
            </w:pPr>
          </w:p>
        </w:tc>
        <w:tc>
          <w:tcPr>
            <w:tcW w:w="835"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报送</w:t>
            </w:r>
          </w:p>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质量</w:t>
            </w:r>
          </w:p>
        </w:tc>
        <w:tc>
          <w:tcPr>
            <w:tcW w:w="1960"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网站信息报送质量</w:t>
            </w:r>
          </w:p>
        </w:tc>
        <w:tc>
          <w:tcPr>
            <w:tcW w:w="511" w:type="dxa"/>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5216" w:type="dxa"/>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报送网站报送信息存在逻辑不清、词不达意、空洞无物、质量不高等问题，出现一次扣1分，</w:t>
            </w:r>
            <w:r>
              <w:rPr>
                <w:rFonts w:hint="eastAsia" w:ascii="仿宋_GB2312" w:hAnsi="宋体" w:eastAsia="仿宋_GB2312" w:cs="宋体"/>
                <w:kern w:val="0"/>
                <w:sz w:val="20"/>
                <w:szCs w:val="20"/>
              </w:rPr>
              <w:t>扣分上限为</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分</w:t>
            </w:r>
          </w:p>
        </w:tc>
        <w:tc>
          <w:tcPr>
            <w:tcW w:w="682" w:type="dxa"/>
            <w:vAlign w:val="center"/>
          </w:tcPr>
          <w:p>
            <w:pPr>
              <w:widowControl/>
              <w:jc w:val="center"/>
              <w:rPr>
                <w:rFonts w:ascii="宋体" w:hAnsi="宋体" w:cs="仿宋"/>
                <w:color w:val="000000"/>
                <w:kern w:val="0"/>
                <w:sz w:val="24"/>
                <w:lang w:bidi="ar"/>
              </w:rPr>
            </w:pPr>
          </w:p>
        </w:tc>
        <w:tc>
          <w:tcPr>
            <w:tcW w:w="2898" w:type="dxa"/>
            <w:vMerge w:val="continue"/>
            <w:vAlign w:val="center"/>
          </w:tcPr>
          <w:p>
            <w:pPr>
              <w:widowControl/>
              <w:spacing w:line="300" w:lineRule="exact"/>
              <w:rPr>
                <w:rFonts w:hint="eastAsia" w:ascii="宋体" w:hAnsi="宋体" w:cs="仿宋"/>
                <w:color w:val="000000"/>
                <w:kern w:val="0"/>
                <w:sz w:val="24"/>
                <w:lang w:bidi="ar"/>
              </w:rPr>
            </w:pPr>
          </w:p>
        </w:tc>
        <w:tc>
          <w:tcPr>
            <w:tcW w:w="1267" w:type="dxa"/>
            <w:vMerge w:val="continue"/>
            <w:vAlign w:val="center"/>
          </w:tcPr>
          <w:p>
            <w:pPr>
              <w:widowControl/>
              <w:spacing w:line="300" w:lineRule="exact"/>
              <w:rPr>
                <w:rFonts w:hint="eastAsia" w:ascii="宋体" w:hAnsi="宋体"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02" w:type="dxa"/>
            <w:textDirection w:val="tbRlV"/>
            <w:vAlign w:val="center"/>
          </w:tcPr>
          <w:p>
            <w:pPr>
              <w:widowControl/>
              <w:jc w:val="center"/>
              <w:rPr>
                <w:rFonts w:hint="eastAsia" w:ascii="仿宋_GB2312" w:hAnsi="宋体" w:eastAsia="仿宋_GB2312" w:cs="宋体"/>
                <w:kern w:val="0"/>
                <w:sz w:val="20"/>
                <w:szCs w:val="20"/>
                <w:lang w:val="en-US" w:eastAsia="zh-CN"/>
              </w:rPr>
            </w:pPr>
            <w:r>
              <w:rPr>
                <w:rFonts w:hint="eastAsia" w:ascii="楷体_GB2312" w:hAnsi="宋体" w:eastAsia="楷体_GB2312" w:cs="宋体"/>
                <w:kern w:val="0"/>
                <w:sz w:val="20"/>
                <w:szCs w:val="20"/>
              </w:rPr>
              <w:t>综合加分项</w:t>
            </w:r>
          </w:p>
        </w:tc>
        <w:tc>
          <w:tcPr>
            <w:tcW w:w="9204" w:type="dxa"/>
            <w:gridSpan w:val="5"/>
            <w:vAlign w:val="center"/>
          </w:tcPr>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（一）因成绩突出受</w:t>
            </w:r>
            <w:r>
              <w:rPr>
                <w:rFonts w:hint="eastAsia" w:ascii="仿宋_GB2312" w:hAnsi="宋体" w:eastAsia="仿宋_GB2312" w:cs="宋体"/>
                <w:kern w:val="0"/>
                <w:sz w:val="20"/>
                <w:szCs w:val="20"/>
                <w:lang w:val="en-US" w:eastAsia="zh-CN"/>
              </w:rPr>
              <w:t>到县级以上</w:t>
            </w:r>
            <w:r>
              <w:rPr>
                <w:rFonts w:hint="eastAsia" w:ascii="仿宋_GB2312" w:hAnsi="宋体" w:eastAsia="仿宋_GB2312" w:cs="宋体"/>
                <w:kern w:val="0"/>
                <w:sz w:val="20"/>
                <w:szCs w:val="20"/>
              </w:rPr>
              <w:t>表彰的先进或优秀单位（可累计），每项加3分。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（二）因成绩突出，被</w:t>
            </w:r>
            <w:r>
              <w:rPr>
                <w:rFonts w:hint="eastAsia" w:ascii="仿宋_GB2312" w:hAnsi="宋体" w:eastAsia="仿宋_GB2312" w:cs="宋体"/>
                <w:kern w:val="0"/>
                <w:sz w:val="20"/>
                <w:szCs w:val="20"/>
                <w:lang w:val="en-US" w:eastAsia="zh-CN"/>
              </w:rPr>
              <w:t>省级以上媒体或刊物</w:t>
            </w:r>
            <w:r>
              <w:rPr>
                <w:rFonts w:hint="eastAsia" w:ascii="仿宋_GB2312" w:hAnsi="宋体" w:eastAsia="仿宋_GB2312" w:cs="宋体"/>
                <w:kern w:val="0"/>
                <w:sz w:val="20"/>
                <w:szCs w:val="20"/>
              </w:rPr>
              <w:t>正面专题报道的；被省</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lang w:val="en-US" w:eastAsia="zh-CN"/>
              </w:rPr>
              <w:t>市</w:t>
            </w:r>
            <w:r>
              <w:rPr>
                <w:rFonts w:hint="eastAsia" w:ascii="仿宋_GB2312" w:hAnsi="宋体" w:eastAsia="仿宋_GB2312" w:cs="宋体"/>
                <w:kern w:val="0"/>
                <w:sz w:val="20"/>
                <w:szCs w:val="20"/>
              </w:rPr>
              <w:t>领导批示表扬，或在全省</w:t>
            </w:r>
            <w:r>
              <w:rPr>
                <w:rFonts w:hint="eastAsia" w:ascii="仿宋_GB2312" w:hAnsi="宋体" w:eastAsia="仿宋_GB2312" w:cs="宋体"/>
                <w:kern w:val="0"/>
                <w:sz w:val="20"/>
                <w:szCs w:val="20"/>
                <w:lang w:eastAsia="zh-CN"/>
              </w:rPr>
              <w:t>、</w:t>
            </w:r>
            <w:r>
              <w:rPr>
                <w:rFonts w:hint="eastAsia" w:ascii="仿宋_GB2312" w:hAnsi="宋体" w:eastAsia="仿宋_GB2312" w:cs="宋体"/>
                <w:kern w:val="0"/>
                <w:sz w:val="20"/>
                <w:szCs w:val="20"/>
                <w:lang w:val="en-US" w:eastAsia="zh-CN"/>
              </w:rPr>
              <w:t>全市</w:t>
            </w:r>
            <w:r>
              <w:rPr>
                <w:rFonts w:hint="eastAsia" w:ascii="仿宋_GB2312" w:hAnsi="宋体" w:eastAsia="仿宋_GB2312" w:cs="宋体"/>
                <w:kern w:val="0"/>
                <w:sz w:val="20"/>
                <w:szCs w:val="20"/>
              </w:rPr>
              <w:t>大会上点名表扬的，每项加2分。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（三）连续三年在政务公开工作考核中取得优秀等次，并在</w:t>
            </w:r>
            <w:r>
              <w:rPr>
                <w:rFonts w:hint="eastAsia" w:ascii="仿宋_GB2312" w:hAnsi="宋体" w:eastAsia="仿宋_GB2312" w:cs="宋体"/>
                <w:kern w:val="0"/>
                <w:sz w:val="20"/>
                <w:szCs w:val="20"/>
                <w:lang w:val="en-US" w:eastAsia="zh-CN"/>
              </w:rPr>
              <w:t>市</w:t>
            </w:r>
            <w:r>
              <w:rPr>
                <w:rFonts w:hint="eastAsia" w:ascii="仿宋_GB2312" w:hAnsi="宋体" w:eastAsia="仿宋_GB2312" w:cs="宋体"/>
                <w:kern w:val="0"/>
                <w:sz w:val="20"/>
                <w:szCs w:val="20"/>
              </w:rPr>
              <w:t>级政务公开工作大会或培训会上做过经验交流发言的，加1分。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（四）</w:t>
            </w: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政务公开领导小组在考核中酌情考虑的其他情形，加分酌情而定。</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xml:space="preserve">    以上各项总加分一般不超过10分。加分后总分超过100分的，以100分计。</w:t>
            </w:r>
          </w:p>
        </w:tc>
        <w:tc>
          <w:tcPr>
            <w:tcW w:w="2898"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各被考核单位</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提供印证材料</w:t>
            </w:r>
          </w:p>
        </w:tc>
        <w:tc>
          <w:tcPr>
            <w:tcW w:w="126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02" w:type="dxa"/>
            <w:textDirection w:val="tbRlV"/>
            <w:vAlign w:val="center"/>
          </w:tcPr>
          <w:p>
            <w:pPr>
              <w:widowControl/>
              <w:jc w:val="center"/>
              <w:rPr>
                <w:rFonts w:hint="eastAsia" w:ascii="仿宋_GB2312" w:hAnsi="宋体" w:eastAsia="仿宋_GB2312" w:cs="宋体"/>
                <w:kern w:val="0"/>
                <w:sz w:val="20"/>
                <w:szCs w:val="20"/>
                <w:lang w:val="en-US" w:eastAsia="zh-CN"/>
              </w:rPr>
            </w:pPr>
            <w:r>
              <w:rPr>
                <w:rFonts w:hint="eastAsia" w:ascii="楷体_GB2312" w:hAnsi="宋体" w:eastAsia="楷体_GB2312" w:cs="宋体"/>
                <w:kern w:val="0"/>
                <w:sz w:val="20"/>
                <w:szCs w:val="20"/>
              </w:rPr>
              <w:t>重大扣分项</w:t>
            </w:r>
          </w:p>
        </w:tc>
        <w:tc>
          <w:tcPr>
            <w:tcW w:w="9204" w:type="dxa"/>
            <w:gridSpan w:val="5"/>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考核中有下列情形的，每发现一起，在总得分的基础上扣10分：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（一）因依申请公开被提起行政复议或行政诉讼，被判败诉的；</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r>
              <w:rPr>
                <w:rFonts w:hint="eastAsia" w:ascii="仿宋_GB2312" w:hAnsi="宋体" w:eastAsia="仿宋_GB2312" w:cs="宋体"/>
                <w:kern w:val="0"/>
                <w:sz w:val="20"/>
                <w:szCs w:val="20"/>
                <w:lang w:val="en-US" w:eastAsia="zh-CN"/>
              </w:rPr>
              <w:t>二</w:t>
            </w:r>
            <w:r>
              <w:rPr>
                <w:rFonts w:hint="eastAsia" w:ascii="仿宋_GB2312" w:hAnsi="宋体" w:eastAsia="仿宋_GB2312" w:cs="宋体"/>
                <w:kern w:val="0"/>
                <w:sz w:val="20"/>
                <w:szCs w:val="20"/>
              </w:rPr>
              <w:t>）因政策解读、回应公众关切不及时、不妥当引起较大范围负面舆情的；</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r>
              <w:rPr>
                <w:rFonts w:hint="eastAsia" w:ascii="仿宋_GB2312" w:hAnsi="宋体" w:eastAsia="仿宋_GB2312" w:cs="宋体"/>
                <w:kern w:val="0"/>
                <w:sz w:val="20"/>
                <w:szCs w:val="20"/>
                <w:lang w:val="en-US" w:eastAsia="zh-CN"/>
              </w:rPr>
              <w:t>三</w:t>
            </w:r>
            <w:r>
              <w:rPr>
                <w:rFonts w:hint="eastAsia" w:ascii="仿宋_GB2312" w:hAnsi="宋体" w:eastAsia="仿宋_GB2312" w:cs="宋体"/>
                <w:kern w:val="0"/>
                <w:sz w:val="20"/>
                <w:szCs w:val="20"/>
              </w:rPr>
              <w:t>）在接受政务公开工作考核时弄虚作假的；</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r>
              <w:rPr>
                <w:rFonts w:hint="eastAsia" w:ascii="仿宋_GB2312" w:hAnsi="宋体" w:eastAsia="仿宋_GB2312" w:cs="宋体"/>
                <w:kern w:val="0"/>
                <w:sz w:val="20"/>
                <w:szCs w:val="20"/>
                <w:lang w:val="en-US" w:eastAsia="zh-CN"/>
              </w:rPr>
              <w:t>四</w:t>
            </w:r>
            <w:r>
              <w:rPr>
                <w:rFonts w:hint="eastAsia" w:ascii="仿宋_GB2312" w:hAnsi="宋体" w:eastAsia="仿宋_GB2312" w:cs="宋体"/>
                <w:kern w:val="0"/>
                <w:sz w:val="20"/>
                <w:szCs w:val="20"/>
              </w:rPr>
              <w:t>）出现《山西省政务公开工作考核办法（试行）》第十五条规定的情形的；</w:t>
            </w:r>
          </w:p>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xml:space="preserve">    （</w:t>
            </w:r>
            <w:r>
              <w:rPr>
                <w:rFonts w:hint="eastAsia" w:ascii="仿宋_GB2312" w:hAnsi="宋体" w:eastAsia="仿宋_GB2312" w:cs="宋体"/>
                <w:kern w:val="0"/>
                <w:sz w:val="20"/>
                <w:szCs w:val="20"/>
                <w:lang w:val="en-US" w:eastAsia="zh-CN"/>
              </w:rPr>
              <w:t>五</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政务公开领导小组在考核中酌情考虑的其他情形。</w:t>
            </w:r>
          </w:p>
        </w:tc>
        <w:tc>
          <w:tcPr>
            <w:tcW w:w="2898"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根据考核情况</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评定</w:t>
            </w:r>
          </w:p>
        </w:tc>
        <w:tc>
          <w:tcPr>
            <w:tcW w:w="126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县</w:t>
            </w:r>
            <w:r>
              <w:rPr>
                <w:rFonts w:hint="eastAsia" w:ascii="仿宋_GB2312" w:hAnsi="宋体" w:eastAsia="仿宋_GB2312" w:cs="宋体"/>
                <w:kern w:val="0"/>
                <w:sz w:val="20"/>
                <w:szCs w:val="20"/>
              </w:rPr>
              <w:t>考核小组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153D3"/>
    <w:rsid w:val="6981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2021-12-19T03:50:00Z</dcterms:created>
  <dc:creator>yes  i do</dc:creator>
  <cp:lastModifiedBy>yes  i do</cp:lastModifiedBy>
  <dcterms:modified xsi:type="dcterms:W3CDTF">2021-12-19T03:51:24Z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9F4C333A58084F5FA779654166E5E1F8</vt:lpwstr>
  </property>
</Properties>
</file>