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676"/>
        <w:gridCol w:w="2374"/>
        <w:gridCol w:w="647"/>
        <w:gridCol w:w="4620"/>
        <w:gridCol w:w="971"/>
        <w:gridCol w:w="2913"/>
        <w:gridCol w:w="1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8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28"/>
                <w:lang w:bidi="ar"/>
              </w:rPr>
              <w:t>附件1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28"/>
                <w:lang w:val="en-US" w:eastAsia="zh-CN" w:bidi="ar"/>
              </w:rPr>
              <w:t xml:space="preserve">:  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lang w:val="en-US" w:eastAsia="zh-CN"/>
              </w:rPr>
              <w:t>1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年度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lang w:val="en-US" w:eastAsia="zh-CN"/>
              </w:rPr>
              <w:t>兴县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政务公开工作考核细则与评分表（A类）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三级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赋分</w:t>
            </w:r>
          </w:p>
        </w:tc>
        <w:tc>
          <w:tcPr>
            <w:tcW w:w="4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评分标准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加分项</w:t>
            </w:r>
          </w:p>
        </w:tc>
        <w:tc>
          <w:tcPr>
            <w:tcW w:w="2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考核方式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考核部门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组织领导与机构设置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组织领导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各乡镇研究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部署相关工作情况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组织健全、调整及时、有会议纪要、会议议定事项落实情况反馈或报告。以上每缺一项，扣1分，扣分上限为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2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查看文件及会议纪要等</w:t>
            </w:r>
          </w:p>
        </w:tc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考核小组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机构设置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根据《条例》第三条、第四条的规定，设置法定机构和法定职能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不按《条例》规定设置法定机构的，扣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分；职能职责规定不完善的，扣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分；因机构设置和职能规定混乱导致推诿扯皮、衔接不畅甚至工作延误的，扣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2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查看机构设置、机构职责等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6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标准化规范化</w:t>
            </w: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基层政务公开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规划部署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出台工作方案或细则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没有制定相应工作方案或实施细则的，扣2分；工作方案或实施细则不明确、不具体、可操作性不强、责任分工模糊的，扣1分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2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查看工作方案或实施细则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考核小组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内容公开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已公布标准目录执行情况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4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未按已公布标准目录公开内容的，发现一件，扣2分。扣分上限为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网上检查+日常检查+根据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主动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公开内容倒查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考核小组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6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楷体_GB2312" w:hAnsi="宋体" w:eastAsia="楷体_GB2312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  <w:lang w:val="en-US" w:eastAsia="zh-CN"/>
              </w:rPr>
              <w:t>主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  <w:lang w:val="en-US" w:eastAsia="zh-CN"/>
              </w:rPr>
              <w:t>动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  <w:lang w:val="en-US" w:eastAsia="zh-CN"/>
              </w:rPr>
              <w:t>公</w:t>
            </w:r>
          </w:p>
          <w:p>
            <w:pPr>
              <w:widowControl/>
              <w:jc w:val="center"/>
              <w:rPr>
                <w:rFonts w:hint="default" w:ascii="楷体_GB2312" w:hAnsi="宋体" w:eastAsia="楷体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  <w:lang w:val="en-US" w:eastAsia="zh-CN"/>
              </w:rPr>
              <w:t>开</w:t>
            </w:r>
          </w:p>
        </w:tc>
        <w:tc>
          <w:tcPr>
            <w:tcW w:w="6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法定主动公开内容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“政府信息公开”专栏栏目设置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政府信息公开栏目按时设置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，每少一项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2分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每有一项更新不及时扣0.5分或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长久不更新扣1分，扣分上限为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2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网上检查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重大民生领域信息公开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未按照县政务公开有关要求主动公开关于教育、医疗、社保、乡村振兴、促进就业等方面的政策、措施、解读及实施情况的，发现一起，扣1分。扣分上限为2分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－</w:t>
            </w:r>
          </w:p>
        </w:tc>
        <w:tc>
          <w:tcPr>
            <w:tcW w:w="2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网上检查+根据社会关注热点政务舆情倒查</w:t>
            </w:r>
          </w:p>
        </w:tc>
        <w:tc>
          <w:tcPr>
            <w:tcW w:w="1216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考核小组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财政信息公开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未按照县政务公开有关要求公开财政预决算、惠民惠农政策和资金发放信息的，每少一项，扣1分。扣分上限为2分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－</w:t>
            </w:r>
          </w:p>
        </w:tc>
        <w:tc>
          <w:tcPr>
            <w:tcW w:w="2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财政信息公开</w:t>
            </w:r>
          </w:p>
        </w:tc>
        <w:tc>
          <w:tcPr>
            <w:tcW w:w="121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指南、年报等公开质量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指南、年报内容不符合国家规定，超期发布或有缺漏项和明显错误的，每项扣1分。扣分上限为2分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－</w:t>
            </w:r>
          </w:p>
        </w:tc>
        <w:tc>
          <w:tcPr>
            <w:tcW w:w="2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指南、年报报表等公开质量</w:t>
            </w:r>
          </w:p>
        </w:tc>
        <w:tc>
          <w:tcPr>
            <w:tcW w:w="12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6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依申请公开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内部机制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依申请公开内部流程机制建设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按照登记、受理、补正、征求意见、提出办理意见、作出决定、报批、送达等完善内部流程。每缺一项扣1分，扣分上限为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2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提供印证材料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考核小组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权利保障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保障申请人权利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4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上级政务公开主管部门收到投诉举报被查实的，每一件扣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分，扣分上限为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2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根据投诉举报查实情况扣分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政府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网络和金融服务中心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规范答复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依申请公开的规范答复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抽查本年度2件依申请公开答复案卷，答复办理不规范的，每件扣1分。扣分上限为2分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－</w:t>
            </w:r>
          </w:p>
        </w:tc>
        <w:tc>
          <w:tcPr>
            <w:tcW w:w="2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抽查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考核小组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6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民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互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动</w:t>
            </w:r>
          </w:p>
        </w:tc>
        <w:tc>
          <w:tcPr>
            <w:tcW w:w="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回应关切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回应机制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明确回应主体责任；编制应急预案；完善政务舆情收集、报告、回应等机制；建立联动机制；明确专门机构和人员，每少一项扣1分，扣分上限为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2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查看文件、会议纪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要、机构设置、机构职责等</w:t>
            </w:r>
          </w:p>
        </w:tc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政府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网络和金融服务中心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回应督办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24小时内反馈要求核实处置的政务舆情情况，未及时反馈扣1分，扣分上限为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9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根据各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乡镇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舆情回应情况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反馈情况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政府领导批示情况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省政府微信公众号采用情况等综合判断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回应效果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影响重大的政务舆情，24小时内回应；其余应在48小时内回应，并跟进发布权威信息和调查结果。因回应不及时、不得当引发新舆情的，每一件扣1分，扣分上限为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6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 w:firstLine="400" w:firstLineChars="200"/>
              <w:jc w:val="left"/>
              <w:rPr>
                <w:rFonts w:hint="default" w:ascii="楷体_GB2312" w:hAnsi="宋体" w:eastAsia="楷体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政府网站信息报送时效性和质量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报送时效性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在规定时限内报送网站信息情况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未能在规定的时限内报送网站信息，出现一次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，扣1分，扣分上限为1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梳理、汇总信息报送情况</w:t>
            </w:r>
          </w:p>
        </w:tc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政府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网络和金融服务中心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报送质量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网站信息报送质量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报送网站报送信息存在逻辑不清、词不达意、空洞无物、质量不高等问题，出现一次扣1分，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扣分上限为1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梳理、汇总信息报送情况</w:t>
            </w:r>
          </w:p>
        </w:tc>
        <w:tc>
          <w:tcPr>
            <w:tcW w:w="12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综合加分项</w:t>
            </w:r>
          </w:p>
        </w:tc>
        <w:tc>
          <w:tcPr>
            <w:tcW w:w="92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 w:firstLineChars="20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（一）因成绩突出受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到县级以上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表彰的先进或优秀单位（可累计），每项加3分。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（二）因成绩突出，被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省级以上媒体或刊物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正面专题报道的；被省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领导批示表扬，或在全省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全市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大会上点名表扬的，每项加2分。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（三）连续三年在政务公开工作考核中取得优秀等次，并在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级政务公开工作大会或培训会上做过经验交流发言的，加1分。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（四）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政务公开领导小组在考核中酌情考虑的其他情形，加分酌情而定。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以上各项总加分一般不超过10分。加分后总分超过100分的，以100分计。</w:t>
            </w:r>
          </w:p>
        </w:tc>
        <w:tc>
          <w:tcPr>
            <w:tcW w:w="2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各被考核单位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提供印证材料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考核小组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重大扣分项</w:t>
            </w:r>
          </w:p>
        </w:tc>
        <w:tc>
          <w:tcPr>
            <w:tcW w:w="92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考核中有下列情形的，每发现一起，在总得分的基础上扣10分：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（一）因依申请公开被提起行政复议或行政诉讼，被判败诉的；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）因政策解读、回应公众关切不及时、不妥当引起较大范围负面舆情的；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三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）在接受政务公开工作考核时弄虚作假的；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四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）出现《山西省政务公开工作考核办法（试行）》第十五条规定的情形的；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五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政务公开领导小组在考核中酌情考虑的其他情形。</w:t>
            </w:r>
          </w:p>
        </w:tc>
        <w:tc>
          <w:tcPr>
            <w:tcW w:w="2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根据考核情况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评定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考核小组</w:t>
            </w:r>
          </w:p>
        </w:tc>
      </w:tr>
    </w:tbl>
    <w:p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32"/>
          <w:szCs w:val="28"/>
          <w:lang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9323F"/>
    <w:rsid w:val="1A49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2021-12-19T03:48:00Z</dcterms:created>
  <dc:creator>yes  i do</dc:creator>
  <cp:lastModifiedBy>yes  i do</cp:lastModifiedBy>
  <dcterms:modified xsi:type="dcterms:W3CDTF">2021-12-19T03:49:59Z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79CA19C6BC7C47E382C29FEC60C9AFCC</vt:lpwstr>
  </property>
</Properties>
</file>