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543F9">
      <w:pPr>
        <w:ind w:firstLine="0" w:firstLineChars="0"/>
        <w:jc w:val="center"/>
        <w:rPr>
          <w:rFonts w:hint="default" w:ascii="Times New Roman" w:hAnsi="Times New Roman" w:cs="Times New Roman"/>
          <w:b/>
          <w:color w:val="C00000"/>
          <w:sz w:val="56"/>
          <w:szCs w:val="72"/>
          <w:lang w:val="en-US" w:eastAsia="zh-CN"/>
        </w:rPr>
      </w:pPr>
      <w:bookmarkStart w:id="0" w:name="_Toc23362"/>
    </w:p>
    <w:p w14:paraId="12944101">
      <w:pPr>
        <w:pStyle w:val="27"/>
        <w:keepNext w:val="0"/>
        <w:keepLines w:val="0"/>
        <w:pageBreakBefore w:val="0"/>
        <w:tabs>
          <w:tab w:val="right" w:leader="dot" w:pos="8313"/>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仿宋" w:cs="Times New Roman"/>
          <w:b/>
          <w:bCs w:val="0"/>
          <w:color w:val="auto"/>
          <w:sz w:val="56"/>
          <w:szCs w:val="56"/>
          <w:lang w:val="en-US" w:eastAsia="zh-CN"/>
        </w:rPr>
      </w:pPr>
    </w:p>
    <w:p w14:paraId="27D9B66F">
      <w:pPr>
        <w:pStyle w:val="27"/>
        <w:keepNext w:val="0"/>
        <w:keepLines w:val="0"/>
        <w:pageBreakBefore w:val="0"/>
        <w:tabs>
          <w:tab w:val="right" w:leader="dot" w:pos="8313"/>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仿宋" w:cs="Times New Roman"/>
          <w:b/>
          <w:bCs w:val="0"/>
          <w:color w:val="auto"/>
          <w:sz w:val="56"/>
          <w:szCs w:val="56"/>
          <w:lang w:val="en-US" w:eastAsia="zh-CN"/>
        </w:rPr>
      </w:pPr>
      <w:r>
        <w:rPr>
          <w:rFonts w:hint="default" w:ascii="Times New Roman" w:hAnsi="Times New Roman" w:eastAsia="仿宋" w:cs="Times New Roman"/>
          <w:b/>
          <w:bCs w:val="0"/>
          <w:color w:val="auto"/>
          <w:sz w:val="56"/>
          <w:szCs w:val="56"/>
          <w:lang w:val="en-US" w:eastAsia="zh-CN"/>
        </w:rPr>
        <w:t>兴县突发环境事件</w:t>
      </w:r>
    </w:p>
    <w:p w14:paraId="48CE755D">
      <w:pPr>
        <w:pStyle w:val="27"/>
        <w:keepNext w:val="0"/>
        <w:keepLines w:val="0"/>
        <w:pageBreakBefore w:val="0"/>
        <w:tabs>
          <w:tab w:val="right" w:leader="dot" w:pos="8313"/>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仿宋" w:cs="Times New Roman"/>
          <w:b/>
          <w:bCs w:val="0"/>
          <w:color w:val="auto"/>
          <w:sz w:val="56"/>
          <w:szCs w:val="56"/>
          <w:lang w:val="zh-CN" w:eastAsia="zh-CN"/>
        </w:rPr>
      </w:pPr>
      <w:r>
        <w:rPr>
          <w:rFonts w:hint="default" w:ascii="Times New Roman" w:hAnsi="Times New Roman" w:eastAsia="仿宋" w:cs="Times New Roman"/>
          <w:b/>
          <w:bCs w:val="0"/>
          <w:color w:val="auto"/>
          <w:sz w:val="56"/>
          <w:szCs w:val="56"/>
          <w:lang w:val="zh-CN" w:eastAsia="zh-CN"/>
        </w:rPr>
        <w:t>风险评估报告</w:t>
      </w:r>
    </w:p>
    <w:p w14:paraId="67DF014B">
      <w:pPr>
        <w:ind w:firstLine="0" w:firstLineChars="0"/>
        <w:jc w:val="center"/>
        <w:rPr>
          <w:rFonts w:hint="default" w:ascii="Times New Roman" w:hAnsi="Times New Roman" w:cs="Times New Roman"/>
          <w:color w:val="C00000"/>
          <w:sz w:val="72"/>
        </w:rPr>
      </w:pPr>
    </w:p>
    <w:p w14:paraId="4B344FD0">
      <w:pPr>
        <w:ind w:firstLine="0" w:firstLineChars="0"/>
        <w:jc w:val="center"/>
        <w:rPr>
          <w:rFonts w:hint="default" w:ascii="Times New Roman" w:hAnsi="Times New Roman" w:cs="Times New Roman"/>
          <w:color w:val="C00000"/>
          <w:sz w:val="72"/>
        </w:rPr>
      </w:pPr>
    </w:p>
    <w:p w14:paraId="70AB88C9">
      <w:pPr>
        <w:ind w:firstLine="0" w:firstLineChars="0"/>
        <w:jc w:val="center"/>
        <w:rPr>
          <w:rFonts w:hint="default" w:ascii="Times New Roman" w:hAnsi="Times New Roman" w:cs="Times New Roman"/>
          <w:color w:val="C00000"/>
          <w:sz w:val="72"/>
        </w:rPr>
      </w:pPr>
    </w:p>
    <w:p w14:paraId="2EC10955">
      <w:pPr>
        <w:ind w:firstLine="0" w:firstLineChars="0"/>
        <w:jc w:val="center"/>
        <w:rPr>
          <w:rFonts w:hint="default" w:ascii="Times New Roman" w:hAnsi="Times New Roman" w:cs="Times New Roman"/>
          <w:color w:val="C00000"/>
          <w:sz w:val="72"/>
        </w:rPr>
      </w:pPr>
    </w:p>
    <w:p w14:paraId="6F7CB570">
      <w:pPr>
        <w:ind w:firstLine="0" w:firstLineChars="0"/>
        <w:jc w:val="center"/>
        <w:rPr>
          <w:rFonts w:hint="default" w:ascii="Times New Roman" w:hAnsi="Times New Roman" w:cs="Times New Roman"/>
          <w:color w:val="C00000"/>
          <w:sz w:val="72"/>
        </w:rPr>
      </w:pPr>
    </w:p>
    <w:p w14:paraId="474B3100">
      <w:pPr>
        <w:ind w:firstLine="964" w:firstLineChars="300"/>
        <w:jc w:val="both"/>
        <w:rPr>
          <w:rFonts w:hint="default" w:ascii="Times New Roman" w:hAnsi="Times New Roman" w:eastAsia="仿宋" w:cs="Times New Roman"/>
          <w:b/>
          <w:color w:val="C00000"/>
          <w:sz w:val="32"/>
          <w:szCs w:val="32"/>
          <w:lang w:val="en-US" w:eastAsia="zh-CN"/>
        </w:rPr>
      </w:pPr>
    </w:p>
    <w:p w14:paraId="76941CA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pPr>
    </w:p>
    <w:p w14:paraId="11B857B8">
      <w:pPr>
        <w:pStyle w:val="23"/>
        <w:rPr>
          <w:rFonts w:hint="default" w:ascii="Times New Roman" w:hAnsi="Times New Roman" w:eastAsia="仿宋" w:cs="Times New Roman"/>
          <w:b/>
          <w:bCs/>
          <w:color w:val="auto"/>
          <w:sz w:val="28"/>
          <w:szCs w:val="28"/>
          <w:lang w:val="en-US" w:eastAsia="zh-CN"/>
        </w:rPr>
      </w:pPr>
    </w:p>
    <w:p w14:paraId="7443CEC7">
      <w:pPr>
        <w:pStyle w:val="23"/>
        <w:rPr>
          <w:rFonts w:hint="default" w:ascii="Times New Roman" w:hAnsi="Times New Roman" w:eastAsia="仿宋" w:cs="Times New Roman"/>
          <w:b/>
          <w:bCs/>
          <w:color w:val="auto"/>
          <w:sz w:val="28"/>
          <w:szCs w:val="28"/>
          <w:lang w:val="en-US" w:eastAsia="zh-CN"/>
        </w:rPr>
      </w:pPr>
    </w:p>
    <w:p w14:paraId="7712DC2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pPr>
      <w:r>
        <w:rPr>
          <w:rFonts w:hint="eastAsia" w:cs="Times New Roman"/>
          <w:b/>
          <w:bCs/>
          <w:color w:val="auto"/>
          <w:sz w:val="28"/>
          <w:szCs w:val="28"/>
          <w:lang w:val="en-US" w:eastAsia="zh-CN"/>
        </w:rPr>
        <w:t>2025</w:t>
      </w:r>
      <w:r>
        <w:rPr>
          <w:rFonts w:hint="default" w:ascii="Times New Roman" w:hAnsi="Times New Roman" w:eastAsia="仿宋" w:cs="Times New Roman"/>
          <w:b/>
          <w:bCs/>
          <w:color w:val="auto"/>
          <w:sz w:val="28"/>
          <w:szCs w:val="28"/>
          <w:lang w:val="en-US" w:eastAsia="zh-CN"/>
        </w:rPr>
        <w:t>年</w:t>
      </w:r>
      <w:r>
        <w:rPr>
          <w:rFonts w:hint="eastAsia" w:cs="Times New Roman"/>
          <w:b/>
          <w:bCs/>
          <w:color w:val="auto"/>
          <w:sz w:val="28"/>
          <w:szCs w:val="28"/>
          <w:lang w:val="en-US" w:eastAsia="zh-CN"/>
        </w:rPr>
        <w:t>1</w:t>
      </w:r>
      <w:r>
        <w:rPr>
          <w:rFonts w:hint="default" w:ascii="Times New Roman" w:hAnsi="Times New Roman" w:eastAsia="仿宋" w:cs="Times New Roman"/>
          <w:b/>
          <w:bCs/>
          <w:color w:val="auto"/>
          <w:sz w:val="28"/>
          <w:szCs w:val="28"/>
          <w:lang w:val="en-US" w:eastAsia="zh-CN"/>
        </w:rPr>
        <w:t>月</w:t>
      </w:r>
    </w:p>
    <w:p w14:paraId="6821F46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pPr>
    </w:p>
    <w:p w14:paraId="1D10070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pPr>
    </w:p>
    <w:p w14:paraId="2CF4E9C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pPr>
    </w:p>
    <w:p w14:paraId="5D60330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sectPr>
          <w:headerReference r:id="rId6" w:type="first"/>
          <w:footerReference r:id="rId7" w:type="first"/>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sdt>
      <w:sdtPr>
        <w:rPr>
          <w:rFonts w:ascii="宋体" w:hAnsi="宋体" w:eastAsia="宋体" w:cs="Times New Roman"/>
          <w:kern w:val="2"/>
          <w:sz w:val="30"/>
          <w:szCs w:val="30"/>
          <w:lang w:val="en-US" w:eastAsia="zh-CN" w:bidi="ar-SA"/>
        </w:rPr>
        <w:id w:val="147466729"/>
        <w15:color w:val="DBDBDB"/>
        <w:docPartObj>
          <w:docPartGallery w:val="Table of Contents"/>
          <w:docPartUnique/>
        </w:docPartObj>
      </w:sdtPr>
      <w:sdtEndPr>
        <w:rPr>
          <w:rFonts w:hint="default" w:ascii="仿宋_GB2312" w:hAnsi="Calibri" w:eastAsia="仿宋_GB2312" w:cs="仿宋_GB2312"/>
          <w:b/>
          <w:color w:val="000000"/>
          <w:kern w:val="2"/>
          <w:sz w:val="24"/>
          <w:szCs w:val="24"/>
          <w:lang w:val="en-US" w:eastAsia="zh-CN" w:bidi="ar-SA"/>
        </w:rPr>
      </w:sdtEndPr>
      <w:sdtContent>
        <w:p w14:paraId="58FA8344">
          <w:pPr>
            <w:spacing w:before="0" w:beforeLines="0" w:after="0" w:afterLines="0" w:line="240" w:lineRule="auto"/>
            <w:ind w:left="0" w:leftChars="0" w:right="0" w:rightChars="0" w:firstLine="0" w:firstLineChars="0"/>
            <w:jc w:val="center"/>
            <w:rPr>
              <w:sz w:val="30"/>
              <w:szCs w:val="30"/>
            </w:rPr>
          </w:pPr>
          <w:r>
            <w:rPr>
              <w:rFonts w:ascii="宋体" w:hAnsi="宋体" w:eastAsia="宋体"/>
              <w:sz w:val="30"/>
              <w:szCs w:val="30"/>
            </w:rPr>
            <w:t>目</w:t>
          </w:r>
          <w:r>
            <w:rPr>
              <w:rFonts w:hint="eastAsia" w:ascii="宋体" w:hAnsi="宋体" w:eastAsia="宋体"/>
              <w:sz w:val="30"/>
              <w:szCs w:val="30"/>
              <w:lang w:val="en-US" w:eastAsia="zh-CN"/>
            </w:rPr>
            <w:t xml:space="preserve">  </w:t>
          </w:r>
          <w:r>
            <w:rPr>
              <w:rFonts w:ascii="宋体" w:hAnsi="宋体" w:eastAsia="宋体"/>
              <w:sz w:val="30"/>
              <w:szCs w:val="30"/>
            </w:rPr>
            <w:t>录</w:t>
          </w:r>
        </w:p>
        <w:p w14:paraId="5A780EB4">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lang w:val="en-US" w:eastAsia="zh-CN"/>
            </w:rPr>
            <w:fldChar w:fldCharType="begin"/>
          </w:r>
          <w:r>
            <w:rPr>
              <w:rFonts w:hint="default"/>
              <w:lang w:val="en-US" w:eastAsia="zh-CN"/>
            </w:rPr>
            <w:instrText xml:space="preserve">TOC \o "1-2" \h \u </w:instrText>
          </w:r>
          <w:r>
            <w:rPr>
              <w:rFonts w:hint="default"/>
              <w:lang w:val="en-US" w:eastAsia="zh-CN"/>
            </w:rPr>
            <w:fldChar w:fldCharType="separate"/>
          </w: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_Toc10047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1总则</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_Toc10047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539A9DF8">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_Toc8476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1.1编制目的</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_Toc8476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A73CABB">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_Toc10199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1.2编制原则</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_Toc10199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5E424BB3">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_Toc7709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1.3编制依据</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_Toc7709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- 4 -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07F700E2">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_Toc9624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1.4适用范围</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_Toc9624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- 7 -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0F41C4C5">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_Toc29492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1.5评估技术方法及路线</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_Toc29492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- 7 -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EA04818">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_Toc13675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2环境现状调查</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_Toc13675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0968D31">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_Toc10258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2.1</w:t>
          </w:r>
          <w:r>
            <w:rPr>
              <w:rFonts w:hint="default" w:ascii="Times New Roman" w:hAnsi="Times New Roman" w:eastAsia="仿宋" w:cs="Times New Roman"/>
              <w:kern w:val="0"/>
              <w:sz w:val="24"/>
              <w:szCs w:val="24"/>
            </w:rPr>
            <w:t>自然环境概况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_Toc10258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8855B11">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_Toc13544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2.2社会经济概况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_Toc13544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- 43 -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BCCBDDB">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_Toc28149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2.3环境功能区划与空间分布情况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_Toc28149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- 46 -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29F9433C">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_Toc14926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2.4兴县环境风险受体</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_Toc14926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- 48 -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2FC817BA">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_Toc27698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2.5兴县固定环境风险源概况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_Toc27698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- 54 -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7EF63E7">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_Toc22891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2.6尾矿库</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_Toc22891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- 58 -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CFB290A">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_Toc29184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2.7加油及加气站</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_Toc29184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- 58 -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E0B3E97">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_Toc3252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3兴县环境风险管理及应急能力</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_Toc3252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- 59 -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D9E6D65">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_Toc16307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3.1兴县环境风险管理</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_Toc16307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- 59 -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79C9789">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_Toc19475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3.2兴县现有应急预案、应急物资与装备、救援队伍情况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_Toc19475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- 61 -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672AF9C">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_Toc27343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3.3兴县现有应急联动机制</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_Toc27343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- 62 -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D8FBC9A">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_Toc26425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3.4兴县环境应急装备</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_Toc26425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0EEE49DF">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_Toc15248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4环境风险识别</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_Toc15248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- 64 -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6FBBF08">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_Toc10106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4.1环境风险受体识别</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_Toc10106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- 64 -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7F3450B">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_Toc6111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4.2环境风险源识别</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_Toc6111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- 64 -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4F90C12">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_Toc7541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4.3“热点”区域识别</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_Toc7541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- 65 -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1B86D04">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_Toc28369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5环境风险评估子区域划分</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_Toc28369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- 66 -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A9505BB">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_Toc24858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5.1按敏感目标类型划分评估子区域</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_Toc24858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- 66 -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E92D7DF">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_Toc28949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5.2按下级行政区域边界划分评估子区域</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_Toc28949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- 66 -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5AB8BB3">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_Toc32464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5.3按地理空间划分网格区域</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_Toc32464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- 66 -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558A3ED6">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_Toc1548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6环境风险分析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_Toc1548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- 67 -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789FABE">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_Toc25280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6.1重点区域环境风险指数计算</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_Toc25280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- 67 -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46E2B16">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_Toc10843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6.2环境风险指数的计算及结果表征</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_Toc10843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- 91 -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5E871F2">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_Toc23447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7典型突发环境事件情景分析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_Toc23447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- 92 -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299CCE5">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_Toc3116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7.1突发环境事件情景设定</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_Toc3116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- 92 -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DFDDB95">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_Toc22590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7.2兴县典型突发环境事件情景</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_Toc22590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- 97 -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08AF079">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_Toc6794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8环境风险防控与应急措施差距分析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_Toc6794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- 98 -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B541B40">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_Toc24656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8.1环境风险受体管理差距分析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_Toc24656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- 98 -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9FB53F8">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_Toc10353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8.2环境风险源管理差距分析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_Toc10353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- 99 -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0BE9FB92">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_Toc1376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8.3区域环境风险管理及应急能力差距分析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_Toc1376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- 99 -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F7C9DB8">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_Toc2444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9整改措施及计划</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_Toc2444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- 101 -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28F2054">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_Toc15179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9.1整改措施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_Toc15179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- 101 -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691484A">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_Toc32184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9.2整改计划</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_Toc32184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- 102 -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98C2C17">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_Toc14370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10结论</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_Toc14370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8EBC751">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_Toc10690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10.1综合评估报告结论</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_Toc10690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DCAFB7A">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_Toc16506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10.2建议</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_Toc16506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2DA7CD5A">
          <w:pPr>
            <w:pStyle w:val="23"/>
            <w:rPr>
              <w:rFonts w:hint="default" w:ascii="仿宋_GB2312" w:hAnsi="Calibri" w:eastAsia="仿宋_GB2312" w:cs="仿宋_GB2312"/>
              <w:b/>
              <w:color w:val="000000"/>
              <w:kern w:val="2"/>
              <w:sz w:val="24"/>
              <w:szCs w:val="24"/>
              <w:lang w:val="en-US" w:eastAsia="zh-CN" w:bidi="ar-SA"/>
            </w:rPr>
          </w:pPr>
          <w:r>
            <w:rPr>
              <w:rFonts w:hint="default"/>
              <w:lang w:val="en-US" w:eastAsia="zh-CN"/>
            </w:rPr>
            <w:fldChar w:fldCharType="end"/>
          </w:r>
        </w:p>
      </w:sdtContent>
    </w:sdt>
    <w:p w14:paraId="2E8DA251">
      <w:pPr>
        <w:pStyle w:val="23"/>
        <w:rPr>
          <w:rFonts w:hint="default" w:ascii="仿宋_GB2312" w:hAnsi="Calibri" w:eastAsia="仿宋_GB2312" w:cs="仿宋_GB2312"/>
          <w:b/>
          <w:color w:val="000000"/>
          <w:kern w:val="2"/>
          <w:sz w:val="24"/>
          <w:szCs w:val="2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376C39C4">
      <w:pPr>
        <w:pStyle w:val="27"/>
        <w:tabs>
          <w:tab w:val="right" w:leader="dot" w:pos="8313"/>
        </w:tabs>
        <w:adjustRightInd w:val="0"/>
        <w:snapToGrid w:val="0"/>
        <w:spacing w:line="560" w:lineRule="exact"/>
        <w:ind w:firstLine="562" w:firstLineChars="200"/>
        <w:jc w:val="center"/>
        <w:rPr>
          <w:rFonts w:hint="default" w:ascii="Times New Roman" w:hAnsi="Times New Roman" w:eastAsia="仿宋" w:cs="Times New Roman"/>
          <w:b/>
          <w:bCs w:val="0"/>
          <w:color w:val="auto"/>
          <w:sz w:val="28"/>
          <w:szCs w:val="28"/>
          <w:lang w:val="en-US" w:eastAsia="zh-CN"/>
        </w:rPr>
      </w:pPr>
      <w:bookmarkStart w:id="1" w:name="_Toc13382"/>
      <w:bookmarkStart w:id="2" w:name="_Toc15885"/>
      <w:bookmarkStart w:id="3" w:name="_Toc531201531"/>
      <w:bookmarkStart w:id="4" w:name="_Toc19076"/>
      <w:r>
        <w:rPr>
          <w:rFonts w:hint="default" w:ascii="Times New Roman" w:hAnsi="Times New Roman" w:eastAsia="仿宋" w:cs="Times New Roman"/>
          <w:b/>
          <w:bCs w:val="0"/>
          <w:color w:val="auto"/>
          <w:sz w:val="28"/>
          <w:szCs w:val="28"/>
          <w:lang w:val="en-US" w:eastAsia="zh-CN"/>
        </w:rPr>
        <w:t>前  言</w:t>
      </w:r>
      <w:bookmarkEnd w:id="1"/>
      <w:bookmarkEnd w:id="2"/>
      <w:bookmarkEnd w:id="3"/>
      <w:bookmarkEnd w:id="4"/>
    </w:p>
    <w:p w14:paraId="56FE8C8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为保障人民群众的身体健康和环境安全，规范行政区突发环境事件风险评估行为，为行政区域提高环境风险防控能力提供切实指导，环境保护部出台了《行政区域突发环境事件风险评估推荐方法》(环办应急[2018]9号)。</w:t>
      </w:r>
    </w:p>
    <w:p w14:paraId="2B655C5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本次</w:t>
      </w:r>
      <w:r>
        <w:rPr>
          <w:rFonts w:hint="default" w:ascii="Times New Roman" w:hAnsi="Times New Roman"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zh-CN" w:eastAsia="zh-CN"/>
        </w:rPr>
        <w:t>突发环境事件风险评估程序包括评估资料收集、环境风险识别、环境风险子区域划分、环境风险分析、环境风险防控与应急措施差距分析等，具体细节如下：</w:t>
      </w:r>
    </w:p>
    <w:p w14:paraId="741767F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1、资料收集：围绕环境风险源、环境风险受体、环境风险防控与应急救援能力等因素开展行政区域环境风险评估基础资料收集。</w:t>
      </w:r>
    </w:p>
    <w:p w14:paraId="4CF520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2、环境风险识别：通过收集整理的环境风险受体相关资料，说明水环境风险受体、水环境风险源、大气环境风险受体以及大气环境风险源基本情况，包括受体类别、名称、地理坐标以及规模等信息，绘制水环境风险受体分布图、水环境风险源分布图、大气环境风险受体分布图和大气环境风险源分布图。</w:t>
      </w:r>
    </w:p>
    <w:p w14:paraId="71945A5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3、环境风险子区域划分：按下级行政区域边界划分评估子区域。</w:t>
      </w:r>
    </w:p>
    <w:p w14:paraId="1C7BD34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4、环境风险分析：通过环境风险指数计算法对大气环境、水环境和综合环境进行有效分析，评估环境受影响程度，绘制环境风险地图。</w:t>
      </w:r>
    </w:p>
    <w:p w14:paraId="6F408C9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5、环境风险防控与应急措施差距分析：根据环境风险识别与环境风险分析结果对区域环境风险等级为较高及以上的区域，从环境风险受体、环境风险源以及区域环境风险管理与应急能力方面对比分析，说明</w:t>
      </w:r>
      <w:r>
        <w:rPr>
          <w:rFonts w:hint="default" w:ascii="Times New Roman" w:hAnsi="Times New Roman"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zh-CN" w:eastAsia="zh-CN"/>
        </w:rPr>
        <w:t>所涉及的环境问题和应急措施差距。</w:t>
      </w:r>
    </w:p>
    <w:p w14:paraId="5E1924D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zh-CN" w:eastAsia="zh-CN"/>
        </w:rPr>
        <w:t>为维护生态安全，摸清区域环境风险状况，提高环境风险防范能力，按照环境保护部办公厅《突发环境事件应急管理办法》的要求，对区域内现存的环境风险物质、风险单元及运行期间可能发生的突发性环境事件进行系统分析和预测，掌握区域环境管理能力建设情况，制定区域风险防控方案，并对现有防范措施落实情况进行核实补充，提出环境风险防范、应对措施成本、效果/效益分析，提出改进建议，有助于</w:t>
      </w:r>
      <w:r>
        <w:rPr>
          <w:rFonts w:hint="default" w:ascii="Times New Roman" w:hAnsi="Times New Roman"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zh-CN" w:eastAsia="zh-CN"/>
        </w:rPr>
        <w:t>的环境风险和事故造成的危害及损失降到最低程度，进而达到降低风险水平、减少危害程度的目的，对于进一步提高环境主管部门对环境应急管理的指导性、提升</w:t>
      </w:r>
      <w:r>
        <w:rPr>
          <w:rFonts w:hint="default" w:ascii="Times New Roman" w:hAnsi="Times New Roman"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zh-CN" w:eastAsia="zh-CN"/>
        </w:rPr>
        <w:t>内部环境应急管理水平和降低企业环境风险具有重要的意义</w:t>
      </w:r>
      <w:r>
        <w:rPr>
          <w:rFonts w:hint="default" w:ascii="Times New Roman" w:hAnsi="Times New Roman" w:eastAsia="仿宋" w:cs="Times New Roman"/>
          <w:bCs/>
          <w:color w:val="auto"/>
          <w:sz w:val="28"/>
          <w:szCs w:val="28"/>
          <w:lang w:val="en-US" w:eastAsia="zh-CN"/>
        </w:rPr>
        <w:t>。</w:t>
      </w:r>
    </w:p>
    <w:p w14:paraId="558FD11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C00000"/>
          <w:szCs w:val="28"/>
          <w:lang w:val="en-US" w:eastAsia="zh-CN"/>
        </w:rPr>
      </w:pPr>
      <w:r>
        <w:rPr>
          <w:rFonts w:hint="default" w:ascii="Times New Roman" w:hAnsi="Times New Roman" w:eastAsia="仿宋" w:cs="Times New Roman"/>
          <w:bCs/>
          <w:color w:val="auto"/>
          <w:sz w:val="28"/>
          <w:szCs w:val="28"/>
          <w:lang w:val="en-US" w:eastAsia="zh-CN"/>
        </w:rPr>
        <w:t>《兴县区域突发环境事件风险评估报告》在编制过程中得到了吕梁市生态环境局兴县分局的大力支持，以及</w:t>
      </w:r>
      <w:r>
        <w:rPr>
          <w:rFonts w:hint="default" w:ascii="Times New Roman" w:hAnsi="Times New Roman" w:eastAsia="仿宋" w:cs="Times New Roman"/>
          <w:bCs/>
          <w:color w:val="auto"/>
          <w:sz w:val="28"/>
          <w:szCs w:val="28"/>
          <w:lang w:val="en-US" w:eastAsia="zh-Hans"/>
        </w:rPr>
        <w:t>县委宣传部</w:t>
      </w:r>
      <w:r>
        <w:rPr>
          <w:rFonts w:hint="default" w:ascii="Times New Roman" w:hAnsi="Times New Roman" w:eastAsia="仿宋" w:cs="Times New Roman"/>
          <w:bCs/>
          <w:color w:val="auto"/>
          <w:sz w:val="28"/>
          <w:szCs w:val="28"/>
          <w:lang w:val="en-US" w:eastAsia="zh-CN"/>
        </w:rPr>
        <w:t>、</w:t>
      </w:r>
      <w:r>
        <w:rPr>
          <w:rFonts w:hint="default" w:ascii="Times New Roman" w:hAnsi="Times New Roman" w:eastAsia="仿宋" w:cs="Times New Roman"/>
          <w:bCs/>
          <w:color w:val="auto"/>
          <w:sz w:val="28"/>
          <w:szCs w:val="28"/>
          <w:lang w:val="zh-CN" w:eastAsia="zh-CN"/>
        </w:rPr>
        <w:t>县发展改革和科技局</w:t>
      </w:r>
      <w:r>
        <w:rPr>
          <w:rFonts w:hint="default" w:ascii="Times New Roman" w:hAnsi="Times New Roman" w:eastAsia="仿宋" w:cs="Times New Roman"/>
          <w:bCs/>
          <w:color w:val="auto"/>
          <w:sz w:val="28"/>
          <w:szCs w:val="28"/>
          <w:lang w:val="en-US" w:eastAsia="zh-CN"/>
        </w:rPr>
        <w:t>、</w:t>
      </w:r>
      <w:r>
        <w:rPr>
          <w:rFonts w:hint="default" w:ascii="Times New Roman" w:hAnsi="Times New Roman" w:eastAsia="仿宋" w:cs="Times New Roman"/>
          <w:bCs/>
          <w:color w:val="auto"/>
          <w:sz w:val="28"/>
          <w:szCs w:val="28"/>
          <w:lang w:val="en-US" w:eastAsia="zh-Hans"/>
        </w:rPr>
        <w:t>县财政局</w:t>
      </w:r>
      <w:r>
        <w:rPr>
          <w:rFonts w:hint="default" w:ascii="Times New Roman" w:hAnsi="Times New Roman" w:eastAsia="仿宋" w:cs="Times New Roman"/>
          <w:bCs/>
          <w:color w:val="auto"/>
          <w:sz w:val="28"/>
          <w:szCs w:val="28"/>
          <w:lang w:val="en-US" w:eastAsia="zh-CN"/>
        </w:rPr>
        <w:t>、</w:t>
      </w:r>
      <w:r>
        <w:rPr>
          <w:rFonts w:hint="default" w:ascii="Times New Roman" w:hAnsi="Times New Roman" w:eastAsia="仿宋" w:cs="Times New Roman"/>
          <w:bCs/>
          <w:color w:val="auto"/>
          <w:sz w:val="28"/>
          <w:szCs w:val="28"/>
          <w:lang w:val="en-US" w:eastAsia="zh-Hans"/>
        </w:rPr>
        <w:t>县应急管理局</w:t>
      </w:r>
      <w:r>
        <w:rPr>
          <w:rFonts w:hint="default" w:ascii="Times New Roman" w:hAnsi="Times New Roman" w:eastAsia="仿宋" w:cs="Times New Roman"/>
          <w:bCs/>
          <w:color w:val="auto"/>
          <w:sz w:val="28"/>
          <w:szCs w:val="28"/>
          <w:lang w:val="en-US" w:eastAsia="zh-CN"/>
        </w:rPr>
        <w:t>等相关部门的积极配合，在此致以最诚挚的谢意！</w:t>
      </w:r>
    </w:p>
    <w:p w14:paraId="387A78DA">
      <w:pPr>
        <w:pStyle w:val="8"/>
        <w:rPr>
          <w:rFonts w:hint="default" w:ascii="Times New Roman" w:hAnsi="Times New Roman" w:cs="Times New Roman"/>
          <w:color w:val="C00000"/>
        </w:rPr>
      </w:pPr>
    </w:p>
    <w:p w14:paraId="783CDB7A">
      <w:pPr>
        <w:pStyle w:val="8"/>
        <w:rPr>
          <w:rFonts w:hint="default" w:ascii="Times New Roman" w:hAnsi="Times New Roman" w:cs="Times New Roman"/>
          <w:color w:val="C00000"/>
        </w:rPr>
      </w:pPr>
    </w:p>
    <w:p w14:paraId="0E7A5303">
      <w:pPr>
        <w:ind w:firstLine="0" w:firstLineChars="0"/>
        <w:rPr>
          <w:rFonts w:hint="default" w:ascii="Times New Roman" w:hAnsi="Times New Roman" w:cs="Times New Roman"/>
          <w:color w:val="C00000"/>
          <w:szCs w:val="28"/>
        </w:rPr>
      </w:pPr>
    </w:p>
    <w:p w14:paraId="4C9EFD5A">
      <w:pPr>
        <w:pStyle w:val="23"/>
        <w:rPr>
          <w:rFonts w:hint="default" w:ascii="Times New Roman" w:hAnsi="Times New Roman" w:cs="Times New Roman"/>
          <w:color w:val="C00000"/>
        </w:rPr>
        <w:sectPr>
          <w:headerReference r:id="rId8" w:type="default"/>
          <w:footerReference r:id="rId9" w:type="default"/>
          <w:pgSz w:w="11906" w:h="16838"/>
          <w:pgMar w:top="1440" w:right="1800" w:bottom="1440" w:left="1800" w:header="851" w:footer="850" w:gutter="0"/>
          <w:pgBorders>
            <w:top w:val="none" w:sz="0" w:space="0"/>
            <w:left w:val="none" w:sz="0" w:space="0"/>
            <w:bottom w:val="none" w:sz="0" w:space="0"/>
            <w:right w:val="none" w:sz="0" w:space="0"/>
          </w:pgBorders>
          <w:pgNumType w:fmt="numberInDash" w:start="1"/>
          <w:cols w:space="720" w:num="1"/>
          <w:docGrid w:type="lines" w:linePitch="312" w:charSpace="0"/>
        </w:sectPr>
      </w:pPr>
    </w:p>
    <w:p w14:paraId="79D23941">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5" w:name="_Toc531201532"/>
      <w:bookmarkStart w:id="6" w:name="_Toc10948"/>
      <w:bookmarkStart w:id="7" w:name="_Toc10656"/>
      <w:bookmarkStart w:id="8" w:name="_Toc10047"/>
      <w:bookmarkStart w:id="9" w:name="_Toc20159"/>
      <w:r>
        <w:rPr>
          <w:rFonts w:hint="default" w:ascii="Times New Roman" w:hAnsi="Times New Roman" w:eastAsia="仿宋" w:cs="Times New Roman"/>
          <w:b/>
          <w:bCs/>
          <w:color w:val="auto"/>
          <w:kern w:val="0"/>
          <w:sz w:val="44"/>
          <w:lang w:val="en-US" w:eastAsia="zh-CN"/>
        </w:rPr>
        <w:t>1总则</w:t>
      </w:r>
      <w:bookmarkEnd w:id="5"/>
      <w:bookmarkEnd w:id="6"/>
      <w:bookmarkEnd w:id="7"/>
      <w:bookmarkEnd w:id="8"/>
    </w:p>
    <w:bookmarkEnd w:id="9"/>
    <w:p w14:paraId="1F5E1D0D">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0" w:name="_Toc8476"/>
      <w:bookmarkStart w:id="11" w:name="_Toc32142"/>
      <w:bookmarkStart w:id="12" w:name="_Toc536109345"/>
      <w:bookmarkStart w:id="13" w:name="_Toc3661"/>
      <w:r>
        <w:rPr>
          <w:rFonts w:hint="default" w:ascii="Times New Roman" w:hAnsi="Times New Roman" w:eastAsia="仿宋" w:cs="Times New Roman"/>
          <w:color w:val="auto"/>
          <w:kern w:val="0"/>
          <w:sz w:val="32"/>
          <w:lang w:val="en-US" w:eastAsia="zh-CN"/>
        </w:rPr>
        <w:t>1.1编制目的</w:t>
      </w:r>
      <w:bookmarkEnd w:id="10"/>
      <w:bookmarkEnd w:id="11"/>
    </w:p>
    <w:p w14:paraId="4DBBBC8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构建区域突发环境事件风险评估技术方法体系，对兴县的环境风险源及风险物质、环境污染通道、环境敏感目标、风险防控措施、环境安全隐患等进行全面排查，对域内可能发生的典型突发环境事件进行情景分析，进而定性和定量评估突发环境事件的影响。</w:t>
      </w:r>
    </w:p>
    <w:p w14:paraId="3AB1137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结合区域内重点环境风险企业的环境风险评估，确定环境子区域（以乡镇为单位）的环境风险指数；定量分析区域环境风险源强度、环境风险受体脆弱性、环境风险防控与应急能力，进而综合评估区域总体环境风险。</w:t>
      </w:r>
    </w:p>
    <w:p w14:paraId="586C406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（3）针对区域环境风险特征以及存在的环境风险隐患，从技术、工程和管理等方面提出科学、可行的突发环境事件风险防范、应急处置措施，以降低区域突发环境事件的发生概率及其影响。</w:t>
      </w:r>
    </w:p>
    <w:p w14:paraId="1B6E6D81">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4" w:name="_Toc13906"/>
      <w:bookmarkStart w:id="15" w:name="_Toc10199"/>
      <w:r>
        <w:rPr>
          <w:rFonts w:hint="default" w:ascii="Times New Roman" w:hAnsi="Times New Roman" w:eastAsia="仿宋" w:cs="Times New Roman"/>
          <w:color w:val="auto"/>
          <w:kern w:val="0"/>
          <w:sz w:val="32"/>
          <w:lang w:val="en-US" w:eastAsia="zh-CN"/>
        </w:rPr>
        <w:t>1.2编制原则</w:t>
      </w:r>
      <w:bookmarkEnd w:id="14"/>
      <w:bookmarkEnd w:id="15"/>
    </w:p>
    <w:p w14:paraId="6D30003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按照以人为本、合理保障人民群众的身体健康和环境安全，严格规范兴县突发环境事件风险评估行为，遵循原则开展风险评估工作：</w:t>
      </w:r>
    </w:p>
    <w:p w14:paraId="66A5BE4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客观公正原则严格按照国家及兴县现行有关法律法规、政策制度和标准规范的要求，对区域及周边的环境风险源、风险受体进行全面、深入的调研，获取第一手的资料，确保评估结论客观、准确。</w:t>
      </w:r>
    </w:p>
    <w:p w14:paraId="47FE987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点面结合原则既对区域内的工业企业、道路运输等主要环境风险源进行点上的环境风险评估，又从区域整体上评估区域环境风险源强度、风险受体脆弱性、环境风险防控能力及环境风险综合等级。</w:t>
      </w:r>
    </w:p>
    <w:p w14:paraId="0DF9ADB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定性定量原则突出重点，对典型的或重特大突发环境事件进行情景模拟与定量评估，直观、准确地反映事件的影响，并实现评估结果的可比性；而对一般的突发环境事件则进行定性分析说明，揭示其发生的可能性及影响。</w:t>
      </w:r>
    </w:p>
    <w:p w14:paraId="0656F0E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合理可行原则评估技术方案可行，评估结论科学合理，尤其是提出的环境风险防控措施具有技术可行性、经济合理性和实践操作性，可供区域环境风险防控的政府决策参考。</w:t>
      </w:r>
    </w:p>
    <w:p w14:paraId="4DCA676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bCs/>
          <w:color w:val="auto"/>
          <w:sz w:val="28"/>
          <w:szCs w:val="28"/>
          <w:lang w:val="en-US" w:eastAsia="zh-CN"/>
        </w:rPr>
        <w:t>规范性原则环境风险评估工作中应贯彻执行我国环保相关的法律法规、标准、正常分析兴县的环境风险状况。</w:t>
      </w:r>
    </w:p>
    <w:bookmarkEnd w:id="12"/>
    <w:bookmarkEnd w:id="13"/>
    <w:p w14:paraId="2D97EED1">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6" w:name="_Toc531201534"/>
      <w:bookmarkStart w:id="17" w:name="_Toc7709"/>
      <w:bookmarkStart w:id="18" w:name="_Toc1914"/>
      <w:bookmarkStart w:id="19" w:name="_Toc314587885"/>
      <w:bookmarkStart w:id="20" w:name="_Toc15564"/>
      <w:bookmarkStart w:id="21" w:name="_Toc6008"/>
      <w:r>
        <w:rPr>
          <w:rFonts w:hint="default" w:ascii="Times New Roman" w:hAnsi="Times New Roman" w:eastAsia="仿宋" w:cs="Times New Roman"/>
          <w:color w:val="auto"/>
          <w:kern w:val="0"/>
          <w:sz w:val="32"/>
          <w:lang w:val="en-US" w:eastAsia="zh-CN"/>
        </w:rPr>
        <w:t>1.3编制依据</w:t>
      </w:r>
      <w:bookmarkEnd w:id="16"/>
      <w:bookmarkEnd w:id="17"/>
      <w:bookmarkEnd w:id="18"/>
      <w:bookmarkEnd w:id="19"/>
      <w:bookmarkEnd w:id="20"/>
      <w:bookmarkEnd w:id="21"/>
    </w:p>
    <w:p w14:paraId="0205B5A4">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22" w:name="_Toc2683"/>
      <w:r>
        <w:rPr>
          <w:rFonts w:hint="default" w:ascii="Times New Roman" w:hAnsi="Times New Roman" w:eastAsia="仿宋" w:cs="Times New Roman"/>
          <w:bCs w:val="0"/>
          <w:color w:val="auto"/>
          <w:kern w:val="0"/>
          <w:sz w:val="30"/>
          <w:szCs w:val="30"/>
          <w:lang w:val="en-US" w:eastAsia="zh-CN"/>
        </w:rPr>
        <w:t>1.3.1法律法规、规章、规范性文件</w:t>
      </w:r>
      <w:bookmarkEnd w:id="22"/>
      <w:bookmarkStart w:id="23" w:name="_Toc314587886"/>
      <w:bookmarkStart w:id="24" w:name="_Toc22193"/>
      <w:bookmarkStart w:id="25" w:name="_Toc305410182"/>
    </w:p>
    <w:p w14:paraId="34CF823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（1）《中华人民共和国环境保护法》(中华人民共和国主席令第22号)，2015年1月1日施行；</w:t>
      </w:r>
    </w:p>
    <w:p w14:paraId="1D5813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（2）《中华人民共和国突发事件应对法》，2024年6月28日第十次修订施行，自2024年11月1日起施行；</w:t>
      </w:r>
    </w:p>
    <w:p w14:paraId="1C82ACB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（3）《中华人民共和国安全生产法》（修改版），2021年9月1日施行；</w:t>
      </w:r>
    </w:p>
    <w:p w14:paraId="0B6AA59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（4）《中华人民共和国消防法》，2021年4月29日修订；</w:t>
      </w:r>
    </w:p>
    <w:p w14:paraId="5506C51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（5）《危险化学品安全管理条例》，2022年12月7日修订并施行；</w:t>
      </w:r>
    </w:p>
    <w:p w14:paraId="71005C2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（6）《国务院关于加强环境保护重点工作的意见》(国发〔2011〕35号)，2011年10月17日公布；</w:t>
      </w:r>
    </w:p>
    <w:p w14:paraId="6010BA2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（7）《突发环境事件应急管理办法》（环境保护部令第34号，2015年6月5日施行）；</w:t>
      </w:r>
    </w:p>
    <w:p w14:paraId="69C9CDC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（8）《突发环境事件信息报告办法》(环境保护部令第17号)，2011年5月1日起施行；</w:t>
      </w:r>
    </w:p>
    <w:p w14:paraId="6430101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（9）环保部《关于切实加强风险防范严格环境影响评价管理的通知》(环发〔2012〕98号)；</w:t>
      </w:r>
    </w:p>
    <w:p w14:paraId="73F8EE6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（10）《关于印发&lt;2014年全国环境应急管理工作要点&gt;的通知》(环办〔2014〕16号)要求；</w:t>
      </w:r>
    </w:p>
    <w:p w14:paraId="47CF77E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（11）《危险化学品重大危险源监督管理暂行规定(2015年修改)》(安全监管总局令第40号)，2015年7月1日起施行；</w:t>
      </w:r>
    </w:p>
    <w:p w14:paraId="223041E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（12）《危险化学品生产企业安全生产许可证实施办法》(安全监管总局令第41号)，2017年3月6日修订并实施；</w:t>
      </w:r>
    </w:p>
    <w:p w14:paraId="0EF4BF2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（13）《危险化学品建设项目安全监督管理办法》(安全监管总局令第45号)，2015年5月27日修正；</w:t>
      </w:r>
    </w:p>
    <w:p w14:paraId="5D4131E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（14）《道路危险货物运输管理规定》中华人民共和国交通运输部令 2013年第2号公布；</w:t>
      </w:r>
    </w:p>
    <w:p w14:paraId="65AE48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（15）《危险化学品安全管理条例》(国务院令(2020)第645号)；</w:t>
      </w:r>
    </w:p>
    <w:p w14:paraId="7BC8D5A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（16）《关于进一步加强和规范企业突发环境事件应急预案管理的通知》(晋环函[2014]374号)，2014年4月9日；</w:t>
      </w:r>
    </w:p>
    <w:p w14:paraId="1FAA0CF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（17）《山西省人民政府办公厅关于印发山西省突发事件应急预案管理办法的通知》（晋政办发【2024】32号）；</w:t>
      </w:r>
    </w:p>
    <w:p w14:paraId="05B15BE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（18）《山西省突发公共事件总体应急预案》；</w:t>
      </w:r>
    </w:p>
    <w:p w14:paraId="745B945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（19）《山西省突发环境事件应急预案》(晋政办发[2020]104号)；</w:t>
      </w:r>
    </w:p>
    <w:p w14:paraId="34F9035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（20）《兴县突发环境事件应急预案》；</w:t>
      </w:r>
    </w:p>
    <w:p w14:paraId="2729FED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（21）《企业事业单位突发环境事件应急预案备案管理办法（试行）》(环发〔2015〕4号)，2015年1月9日。</w:t>
      </w:r>
    </w:p>
    <w:p w14:paraId="4243907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26" w:name="_Toc25543"/>
      <w:r>
        <w:rPr>
          <w:rFonts w:hint="default" w:ascii="Times New Roman" w:hAnsi="Times New Roman" w:eastAsia="仿宋" w:cs="Times New Roman"/>
          <w:bCs w:val="0"/>
          <w:color w:val="auto"/>
          <w:kern w:val="0"/>
          <w:sz w:val="30"/>
          <w:szCs w:val="30"/>
          <w:lang w:val="en-US" w:eastAsia="zh-CN"/>
        </w:rPr>
        <w:t>1.3.2标准、技术规范</w:t>
      </w:r>
      <w:bookmarkEnd w:id="26"/>
    </w:p>
    <w:p w14:paraId="5186175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（1）《行政区域突发环境事件风险评估推荐方法》(环办(2018)54号)；</w:t>
      </w:r>
    </w:p>
    <w:p w14:paraId="3784769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（2）《企业突发环境事件风险分级方法》（HJ 941-2018）；</w:t>
      </w:r>
    </w:p>
    <w:p w14:paraId="7C79FE9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（3）《企业突发环境事件隐患排查与治理工作指南(试行)》(环公告(2016)74号)；</w:t>
      </w:r>
    </w:p>
    <w:p w14:paraId="465E31F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（4）《建设项目环境风险评价技术导则》(HJ169-2018)；</w:t>
      </w:r>
    </w:p>
    <w:p w14:paraId="415265C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（5）《环境影响评价技术导则-大气环境》(HJ/T 2.2-2018)；</w:t>
      </w:r>
    </w:p>
    <w:p w14:paraId="508F268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（6）《环境影响评价技术导则-地表水环境》(HJ/T 2.3-2018)；</w:t>
      </w:r>
    </w:p>
    <w:p w14:paraId="4BF6850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（7）《环境影响评价技术导则 地下水环境》(HJ 610-2016)；</w:t>
      </w:r>
    </w:p>
    <w:p w14:paraId="4541622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（8）《生态环境状况评价技术规范(试行)》(HJ 192-2015)；</w:t>
      </w:r>
    </w:p>
    <w:p w14:paraId="4D593D0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（9）《环境空气质量标准》(GB 3095-2012)；</w:t>
      </w:r>
    </w:p>
    <w:p w14:paraId="5D7A53E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（10）《地表水环境质量标准》(GB 3838-2002)；</w:t>
      </w:r>
    </w:p>
    <w:p w14:paraId="266AC23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（11）《地下水质量标准》(GB/T 14848-2017)；</w:t>
      </w:r>
    </w:p>
    <w:p w14:paraId="6D29E44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（12）《土壤环境质量 农用地土壤污染风险管控标准(试行)》(GB 15618-2018)；</w:t>
      </w:r>
    </w:p>
    <w:p w14:paraId="1621644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（13）《土壤环境质量 建设用地土壤污染风险管控标准(试行)》(GB 36600-2018)；</w:t>
      </w:r>
    </w:p>
    <w:p w14:paraId="1E35324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（14）《大气污染物综合排放标准》(GB 16297-1996)；</w:t>
      </w:r>
    </w:p>
    <w:p w14:paraId="5C1C04A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（15）《污水综合排放标准》(GB 8978-1996)；</w:t>
      </w:r>
    </w:p>
    <w:p w14:paraId="00AB137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（16）《一般工业固体废物储存和填埋污染控制标准》(GB18599-2020)；</w:t>
      </w:r>
    </w:p>
    <w:p w14:paraId="5898998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（17）《危险废物贮存污染控制标准》(GB18597-2023)；</w:t>
      </w:r>
    </w:p>
    <w:p w14:paraId="474F9ED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（18）《危险化学品重大危险源辨识》(GB18218-2024)；</w:t>
      </w:r>
    </w:p>
    <w:p w14:paraId="3E78F27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（19）《危险化学品目录（2015年版）》（2022调整）；</w:t>
      </w:r>
    </w:p>
    <w:p w14:paraId="3C5CEBB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（20）《国家危险废物名录（2025年版）》；</w:t>
      </w:r>
    </w:p>
    <w:p w14:paraId="0121DA2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（21）《化学品毒性鉴定技术规范》（卫监督发〔2005〕272号）；</w:t>
      </w:r>
    </w:p>
    <w:p w14:paraId="75D6379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（22）《水体污染事故风险预防与控制措施运行管理要求》（Q/SY1310-2011）；</w:t>
      </w:r>
    </w:p>
    <w:p w14:paraId="2863923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（23）突发环境事件应急监测技术规范（HJ 589-2021）。</w:t>
      </w:r>
    </w:p>
    <w:p w14:paraId="59E519FC">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27" w:name="_Toc8142"/>
      <w:r>
        <w:rPr>
          <w:rFonts w:hint="default" w:ascii="Times New Roman" w:hAnsi="Times New Roman" w:eastAsia="仿宋" w:cs="Times New Roman"/>
          <w:bCs w:val="0"/>
          <w:color w:val="auto"/>
          <w:kern w:val="0"/>
          <w:sz w:val="30"/>
          <w:szCs w:val="30"/>
          <w:lang w:val="en-US" w:eastAsia="zh-CN"/>
        </w:rPr>
        <w:t>1.3.3其他参考资料</w:t>
      </w:r>
      <w:bookmarkEnd w:id="27"/>
    </w:p>
    <w:p w14:paraId="046F415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（1）兴县各企业环评、突发环境事件风险评估报告和应急预案等；</w:t>
      </w:r>
    </w:p>
    <w:p w14:paraId="0F7B838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（2）《化学品安全说明书》；</w:t>
      </w:r>
    </w:p>
    <w:p w14:paraId="552B6F0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（3）兴县统计年鉴（2020)。</w:t>
      </w:r>
    </w:p>
    <w:p w14:paraId="732614AE">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28" w:name="_Toc10024"/>
      <w:bookmarkStart w:id="29" w:name="_Toc9624"/>
      <w:r>
        <w:rPr>
          <w:rFonts w:hint="default" w:ascii="Times New Roman" w:hAnsi="Times New Roman" w:eastAsia="仿宋" w:cs="Times New Roman"/>
          <w:color w:val="auto"/>
          <w:kern w:val="0"/>
          <w:sz w:val="32"/>
          <w:lang w:val="en-US" w:eastAsia="zh-CN"/>
        </w:rPr>
        <w:t>1.4</w:t>
      </w:r>
      <w:bookmarkEnd w:id="28"/>
      <w:r>
        <w:rPr>
          <w:rFonts w:hint="default" w:ascii="Times New Roman" w:hAnsi="Times New Roman" w:eastAsia="仿宋" w:cs="Times New Roman"/>
          <w:color w:val="auto"/>
          <w:kern w:val="0"/>
          <w:sz w:val="32"/>
          <w:lang w:val="en-US" w:eastAsia="zh-CN"/>
        </w:rPr>
        <w:t>适用范围</w:t>
      </w:r>
      <w:bookmarkEnd w:id="29"/>
    </w:p>
    <w:p w14:paraId="43C9DE5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适用于在兴县范围内突然发生的、造成人体健康及生命危害、社会经济与人民财产受到损失、社会安全受到影响的一般、较大、重大和特大环境事件的应对工作和指导兴县全县突发环境事件应对工作，不包括核电及辐射突发环境事件和大气重污染突发环境事件的应对工作。核电事故、核技术应用中的辐射事故的应对工作遵照吕梁市核电事故应急预案、辐射事故应急预案的有关规定执行，大气重污染天气应对工作按照《兴县大气重污染应急预案（试行）》有关规定执行。</w:t>
      </w:r>
    </w:p>
    <w:p w14:paraId="4DF555D7">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30" w:name="_Toc29492"/>
      <w:bookmarkStart w:id="31" w:name="_Toc25917"/>
      <w:r>
        <w:rPr>
          <w:rFonts w:hint="default" w:ascii="Times New Roman" w:hAnsi="Times New Roman" w:eastAsia="仿宋" w:cs="Times New Roman"/>
          <w:color w:val="auto"/>
          <w:kern w:val="0"/>
          <w:sz w:val="32"/>
          <w:lang w:val="en-US" w:eastAsia="zh-CN"/>
        </w:rPr>
        <w:t>1.5评估技术方法及路线</w:t>
      </w:r>
      <w:bookmarkEnd w:id="30"/>
      <w:bookmarkEnd w:id="31"/>
    </w:p>
    <w:p w14:paraId="3A19C5B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本评估报告主要参照《行政区域突发环境事件风险评估推荐方法》，同时结合《企业突发环境事件风险评估指南（试行)》(环办【2014】34号）进行评估，评估程序主要包括资料准备、环境风险识别、评估子区域划分、环境风险分析、环境风险防控与应急措施差距等五个步骤，评估路线见下图1</w:t>
      </w:r>
      <w:r>
        <w:rPr>
          <w:rFonts w:hint="eastAsia" w:ascii="Times New Roman" w:hAnsi="Times New Roman" w:eastAsia="仿宋" w:cs="Times New Roman"/>
          <w:bCs/>
          <w:color w:val="auto"/>
          <w:sz w:val="28"/>
          <w:szCs w:val="28"/>
          <w:lang w:val="en-US" w:eastAsia="zh-CN"/>
        </w:rPr>
        <w:t>.1</w:t>
      </w:r>
      <w:r>
        <w:rPr>
          <w:rFonts w:hint="default" w:ascii="Times New Roman" w:hAnsi="Times New Roman" w:eastAsia="仿宋" w:cs="Times New Roman"/>
          <w:bCs/>
          <w:color w:val="auto"/>
          <w:sz w:val="28"/>
          <w:szCs w:val="28"/>
          <w:lang w:val="en-US" w:eastAsia="zh-CN"/>
        </w:rPr>
        <w:t>-1。</w:t>
      </w:r>
    </w:p>
    <w:p w14:paraId="0C2F7D1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利用区域突发环境事件风险指数计算方法进行区域突发水环境风险、区域突发大气环境风险和区域综合环境风险的评估和等级划分。在对区域环境风险基本特征调查分析的基础上，构建评估指标体系，定量评估区域环境风险源强度（S）、环境风险受体脆弱性（V）、环境风险防控与应急能力（M），按照指数法对区域突发环境事件风险进行量化，评估工作程序见图1</w:t>
      </w:r>
      <w:r>
        <w:rPr>
          <w:rFonts w:hint="eastAsia" w:ascii="Times New Roman" w:hAnsi="Times New Roman" w:eastAsia="仿宋" w:cs="Times New Roman"/>
          <w:bCs/>
          <w:color w:val="auto"/>
          <w:sz w:val="28"/>
          <w:szCs w:val="28"/>
          <w:lang w:val="en-US" w:eastAsia="zh-CN"/>
        </w:rPr>
        <w:t>.1</w:t>
      </w:r>
      <w:r>
        <w:rPr>
          <w:rFonts w:hint="default" w:ascii="Times New Roman" w:hAnsi="Times New Roman" w:eastAsia="仿宋" w:cs="Times New Roman"/>
          <w:bCs/>
          <w:color w:val="auto"/>
          <w:sz w:val="28"/>
          <w:szCs w:val="28"/>
          <w:lang w:val="en-US" w:eastAsia="zh-CN"/>
        </w:rPr>
        <w:t>-2。</w:t>
      </w:r>
    </w:p>
    <w:p w14:paraId="57E0A9A1">
      <w:pPr>
        <w:pStyle w:val="23"/>
        <w:rPr>
          <w:rFonts w:hint="default" w:ascii="Times New Roman" w:hAnsi="Times New Roman" w:cs="Times New Roman"/>
          <w:color w:val="auto"/>
        </w:rPr>
      </w:pPr>
      <w:r>
        <w:rPr>
          <w:rFonts w:hint="default" w:ascii="Times New Roman" w:hAnsi="Times New Roman" w:eastAsia="仿宋" w:cs="Times New Roman"/>
          <w:color w:val="auto"/>
          <w:sz w:val="30"/>
          <w:szCs w:val="30"/>
          <w:lang w:eastAsia="zh-CN"/>
        </w:rPr>
        <w:drawing>
          <wp:inline distT="0" distB="0" distL="114300" distR="114300">
            <wp:extent cx="4927600" cy="5203190"/>
            <wp:effectExtent l="0" t="0" r="6350" b="16510"/>
            <wp:docPr id="3" name="图片 2" descr="QQ截图2021032611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截图20210326111604"/>
                    <pic:cNvPicPr>
                      <a:picLocks noChangeAspect="1"/>
                    </pic:cNvPicPr>
                  </pic:nvPicPr>
                  <pic:blipFill>
                    <a:blip r:embed="rId13"/>
                    <a:stretch>
                      <a:fillRect/>
                    </a:stretch>
                  </pic:blipFill>
                  <pic:spPr>
                    <a:xfrm>
                      <a:off x="0" y="0"/>
                      <a:ext cx="4927600" cy="5203190"/>
                    </a:xfrm>
                    <a:prstGeom prst="rect">
                      <a:avLst/>
                    </a:prstGeom>
                    <a:noFill/>
                    <a:ln>
                      <a:noFill/>
                    </a:ln>
                  </pic:spPr>
                </pic:pic>
              </a:graphicData>
            </a:graphic>
          </wp:inline>
        </w:drawing>
      </w:r>
    </w:p>
    <w:p w14:paraId="62311A12">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图1</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-1  兴县突发环境事件风险评估路线</w:t>
      </w:r>
    </w:p>
    <w:bookmarkEnd w:id="23"/>
    <w:bookmarkEnd w:id="24"/>
    <w:bookmarkEnd w:id="25"/>
    <w:p w14:paraId="5FF5CA0D">
      <w:pPr>
        <w:ind w:firstLine="480"/>
        <w:rPr>
          <w:rFonts w:hint="default" w:ascii="Times New Roman" w:hAnsi="Times New Roman" w:eastAsia="仿宋" w:cs="Times New Roman"/>
          <w:color w:val="auto"/>
          <w:lang w:eastAsia="zh-CN"/>
        </w:rPr>
      </w:pPr>
    </w:p>
    <w:p w14:paraId="15870FF3">
      <w:pPr>
        <w:pStyle w:val="8"/>
        <w:ind w:left="0" w:leftChars="0" w:firstLine="0" w:firstLineChars="0"/>
        <w:rPr>
          <w:rFonts w:hint="default" w:ascii="Times New Roman" w:hAnsi="Times New Roman" w:cs="Times New Roman"/>
          <w:color w:val="auto"/>
        </w:rPr>
      </w:pPr>
      <w:r>
        <w:rPr>
          <w:rFonts w:hint="default" w:ascii="Times New Roman" w:hAnsi="Times New Roman" w:eastAsia="仿宋" w:cs="Times New Roman"/>
          <w:color w:val="auto"/>
          <w:lang w:eastAsia="zh-CN"/>
        </w:rPr>
        <w:drawing>
          <wp:inline distT="0" distB="0" distL="114300" distR="114300">
            <wp:extent cx="5759450" cy="3159760"/>
            <wp:effectExtent l="0" t="0" r="12700" b="2540"/>
            <wp:docPr id="25" name="图片 3" descr="QQ截图2021032613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QQ截图20210326134116"/>
                    <pic:cNvPicPr>
                      <a:picLocks noChangeAspect="1"/>
                    </pic:cNvPicPr>
                  </pic:nvPicPr>
                  <pic:blipFill>
                    <a:blip r:embed="rId14">
                      <a:lum bright="-6000" contrast="17999"/>
                    </a:blip>
                    <a:stretch>
                      <a:fillRect/>
                    </a:stretch>
                  </pic:blipFill>
                  <pic:spPr>
                    <a:xfrm>
                      <a:off x="0" y="0"/>
                      <a:ext cx="5759450" cy="3159760"/>
                    </a:xfrm>
                    <a:prstGeom prst="rect">
                      <a:avLst/>
                    </a:prstGeom>
                    <a:noFill/>
                    <a:ln>
                      <a:noFill/>
                    </a:ln>
                  </pic:spPr>
                </pic:pic>
              </a:graphicData>
            </a:graphic>
          </wp:inline>
        </w:drawing>
      </w:r>
    </w:p>
    <w:p w14:paraId="00CE7391">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sectPr>
          <w:footerReference r:id="rId11" w:type="first"/>
          <w:footerReference r:id="rId10" w:type="default"/>
          <w:pgSz w:w="11906" w:h="16838"/>
          <w:pgMar w:top="1440" w:right="1800" w:bottom="1440" w:left="1800" w:header="851" w:footer="850" w:gutter="0"/>
          <w:pgBorders>
            <w:top w:val="none" w:sz="0" w:space="0"/>
            <w:left w:val="none" w:sz="0" w:space="0"/>
            <w:bottom w:val="none" w:sz="0" w:space="0"/>
            <w:right w:val="none" w:sz="0" w:space="0"/>
          </w:pgBorders>
          <w:pgNumType w:fmt="numberInDash"/>
          <w:cols w:space="720" w:num="1"/>
          <w:docGrid w:type="lines" w:linePitch="381" w:charSpace="0"/>
        </w:sectPr>
      </w:pPr>
      <w:r>
        <w:rPr>
          <w:rFonts w:hint="default" w:ascii="Times New Roman" w:hAnsi="Times New Roman" w:eastAsia="仿宋" w:cs="Times New Roman"/>
          <w:b/>
          <w:bCs/>
          <w:color w:val="auto"/>
          <w:kern w:val="0"/>
          <w:sz w:val="24"/>
          <w:lang w:val="en-US" w:eastAsia="zh-CN"/>
        </w:rPr>
        <w:t>图1</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-2  兴县突发环境事件风险等级划分程序</w:t>
      </w:r>
    </w:p>
    <w:p w14:paraId="1040DBBD">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32" w:name="_Toc13675"/>
      <w:r>
        <w:rPr>
          <w:rFonts w:hint="default" w:ascii="Times New Roman" w:hAnsi="Times New Roman" w:eastAsia="仿宋" w:cs="Times New Roman"/>
          <w:b/>
          <w:bCs/>
          <w:color w:val="auto"/>
          <w:kern w:val="0"/>
          <w:sz w:val="44"/>
          <w:lang w:val="en-US" w:eastAsia="zh-CN"/>
        </w:rPr>
        <w:t>2环境现状调查</w:t>
      </w:r>
      <w:bookmarkEnd w:id="0"/>
      <w:bookmarkEnd w:id="32"/>
    </w:p>
    <w:p w14:paraId="4161506E">
      <w:pPr>
        <w:pStyle w:val="3"/>
        <w:spacing w:line="560" w:lineRule="exact"/>
        <w:ind w:firstLine="0" w:firstLineChars="0"/>
        <w:rPr>
          <w:rFonts w:hint="default" w:ascii="Times New Roman" w:hAnsi="Times New Roman" w:eastAsia="仿宋" w:cs="Times New Roman"/>
          <w:color w:val="auto"/>
          <w:kern w:val="0"/>
          <w:sz w:val="32"/>
        </w:rPr>
      </w:pPr>
      <w:bookmarkStart w:id="33" w:name="_Toc8786"/>
      <w:bookmarkStart w:id="34" w:name="_Toc10258"/>
      <w:r>
        <w:rPr>
          <w:rFonts w:hint="default" w:ascii="Times New Roman" w:hAnsi="Times New Roman" w:eastAsia="仿宋" w:cs="Times New Roman"/>
          <w:color w:val="auto"/>
          <w:kern w:val="0"/>
          <w:sz w:val="32"/>
          <w:lang w:val="en-US" w:eastAsia="zh-CN"/>
        </w:rPr>
        <w:t>2.1</w:t>
      </w:r>
      <w:r>
        <w:rPr>
          <w:rFonts w:hint="default" w:ascii="Times New Roman" w:hAnsi="Times New Roman" w:eastAsia="仿宋" w:cs="Times New Roman"/>
          <w:color w:val="auto"/>
          <w:kern w:val="0"/>
          <w:sz w:val="32"/>
        </w:rPr>
        <w:t>自然环境概况</w:t>
      </w:r>
      <w:bookmarkEnd w:id="33"/>
      <w:bookmarkEnd w:id="34"/>
      <w:bookmarkStart w:id="35" w:name="_Toc25592"/>
    </w:p>
    <w:p w14:paraId="19122F2C">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2.1.1地理位置</w:t>
      </w:r>
      <w:bookmarkEnd w:id="35"/>
    </w:p>
    <w:p w14:paraId="588A6AA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位于山西省西北部，吕梁市北端，介于北纬38°5′40″~38°43′50″、东经110°33′00″~111°28′55″之间。北倚保德，东邻岚县、岢岚，南连方山、临县，西隔黄河与陕西省神木县相望。县域面积3168平方公里，是山西省版图最大的县。地理位置见附图2.1-1。</w:t>
      </w:r>
    </w:p>
    <w:p w14:paraId="5227237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兴县交通以公路为主，旧时兴县至</w:t>
      </w:r>
      <w:r>
        <w:rPr>
          <w:rFonts w:hint="default" w:ascii="Times New Roman" w:hAnsi="Times New Roman" w:eastAsia="仿宋" w:cs="Times New Roman"/>
          <w:bCs/>
          <w:color w:val="auto"/>
          <w:sz w:val="28"/>
          <w:szCs w:val="28"/>
          <w:lang w:val="en-US" w:eastAsia="zh-CN"/>
        </w:rPr>
        <w:fldChar w:fldCharType="begin"/>
      </w:r>
      <w:r>
        <w:rPr>
          <w:rFonts w:hint="default" w:ascii="Times New Roman" w:hAnsi="Times New Roman" w:eastAsia="仿宋" w:cs="Times New Roman"/>
          <w:bCs/>
          <w:color w:val="auto"/>
          <w:sz w:val="28"/>
          <w:szCs w:val="28"/>
          <w:lang w:val="en-US" w:eastAsia="zh-CN"/>
        </w:rPr>
        <w:instrText xml:space="preserve"> HYPERLINK "https://baike.so.com/doc/1457080-1540468.html" \t "_blank" </w:instrText>
      </w:r>
      <w:r>
        <w:rPr>
          <w:rFonts w:hint="default" w:ascii="Times New Roman" w:hAnsi="Times New Roman" w:eastAsia="仿宋" w:cs="Times New Roman"/>
          <w:bCs/>
          <w:color w:val="auto"/>
          <w:sz w:val="28"/>
          <w:szCs w:val="28"/>
          <w:lang w:val="en-US" w:eastAsia="zh-CN"/>
        </w:rPr>
        <w:fldChar w:fldCharType="separate"/>
      </w:r>
      <w:r>
        <w:rPr>
          <w:rFonts w:hint="default" w:ascii="Times New Roman" w:hAnsi="Times New Roman" w:eastAsia="仿宋" w:cs="Times New Roman"/>
          <w:bCs/>
          <w:color w:val="auto"/>
          <w:sz w:val="28"/>
          <w:szCs w:val="28"/>
          <w:lang w:val="en-US" w:eastAsia="zh-CN"/>
        </w:rPr>
        <w:t>阳方口</w:t>
      </w:r>
      <w:r>
        <w:rPr>
          <w:rFonts w:hint="default" w:ascii="Times New Roman" w:hAnsi="Times New Roman" w:eastAsia="仿宋" w:cs="Times New Roman"/>
          <w:bCs/>
          <w:color w:val="auto"/>
          <w:sz w:val="28"/>
          <w:szCs w:val="28"/>
          <w:lang w:val="en-US" w:eastAsia="zh-CN"/>
        </w:rPr>
        <w:fldChar w:fldCharType="end"/>
      </w:r>
      <w:r>
        <w:rPr>
          <w:rFonts w:hint="default" w:ascii="Times New Roman" w:hAnsi="Times New Roman" w:eastAsia="仿宋" w:cs="Times New Roman"/>
          <w:bCs/>
          <w:color w:val="auto"/>
          <w:sz w:val="28"/>
          <w:szCs w:val="28"/>
          <w:lang w:val="en-US" w:eastAsia="zh-CN"/>
        </w:rPr>
        <w:t>，兴县至离石、兴县至忻州三条干线公路贯穿全县，为主要外出通道。一是省道忻黑线兴县段，一是省道苛大线兴县段。新修的沿黄公路沟通了黄河沿岸的村镇。此外还有</w:t>
      </w:r>
      <w:r>
        <w:rPr>
          <w:rFonts w:hint="default" w:ascii="Times New Roman" w:hAnsi="Times New Roman" w:eastAsia="仿宋" w:cs="Times New Roman"/>
          <w:bCs/>
          <w:color w:val="auto"/>
          <w:sz w:val="28"/>
          <w:szCs w:val="28"/>
          <w:lang w:val="en-US" w:eastAsia="zh-CN"/>
        </w:rPr>
        <w:fldChar w:fldCharType="begin"/>
      </w:r>
      <w:r>
        <w:rPr>
          <w:rFonts w:hint="default" w:ascii="Times New Roman" w:hAnsi="Times New Roman" w:eastAsia="仿宋" w:cs="Times New Roman"/>
          <w:bCs/>
          <w:color w:val="auto"/>
          <w:sz w:val="28"/>
          <w:szCs w:val="28"/>
          <w:lang w:val="en-US" w:eastAsia="zh-CN"/>
        </w:rPr>
        <w:instrText xml:space="preserve"> HYPERLINK "https://baike.so.com/doc/4267211-4470070.html" \t "_blank" </w:instrText>
      </w:r>
      <w:r>
        <w:rPr>
          <w:rFonts w:hint="default" w:ascii="Times New Roman" w:hAnsi="Times New Roman" w:eastAsia="仿宋" w:cs="Times New Roman"/>
          <w:bCs/>
          <w:color w:val="auto"/>
          <w:sz w:val="28"/>
          <w:szCs w:val="28"/>
          <w:lang w:val="en-US" w:eastAsia="zh-CN"/>
        </w:rPr>
        <w:fldChar w:fldCharType="separate"/>
      </w:r>
      <w:r>
        <w:rPr>
          <w:rFonts w:hint="default" w:ascii="Times New Roman" w:hAnsi="Times New Roman" w:eastAsia="仿宋" w:cs="Times New Roman"/>
          <w:bCs/>
          <w:color w:val="auto"/>
          <w:sz w:val="28"/>
          <w:szCs w:val="28"/>
          <w:lang w:val="en-US" w:eastAsia="zh-CN"/>
        </w:rPr>
        <w:t>城关</w:t>
      </w:r>
      <w:r>
        <w:rPr>
          <w:rFonts w:hint="default" w:ascii="Times New Roman" w:hAnsi="Times New Roman" w:eastAsia="仿宋" w:cs="Times New Roman"/>
          <w:bCs/>
          <w:color w:val="auto"/>
          <w:sz w:val="28"/>
          <w:szCs w:val="28"/>
          <w:lang w:val="en-US" w:eastAsia="zh-CN"/>
        </w:rPr>
        <w:fldChar w:fldCharType="end"/>
      </w:r>
      <w:r>
        <w:rPr>
          <w:rFonts w:hint="default" w:ascii="Times New Roman" w:hAnsi="Times New Roman" w:eastAsia="仿宋" w:cs="Times New Roman"/>
          <w:bCs/>
          <w:color w:val="auto"/>
          <w:sz w:val="28"/>
          <w:szCs w:val="28"/>
          <w:lang w:val="en-US" w:eastAsia="zh-CN"/>
        </w:rPr>
        <w:t>至川口、魏家滩、贺家会、乌门等的乡镇级公路十余条。黄河滨县西界，境内长106公里，从北至南有裴家津、黑</w:t>
      </w:r>
      <w:r>
        <w:rPr>
          <w:rFonts w:hint="default" w:ascii="Times New Roman" w:hAnsi="Times New Roman" w:eastAsia="仿宋" w:cs="Times New Roman"/>
          <w:bCs/>
          <w:color w:val="auto"/>
          <w:sz w:val="28"/>
          <w:szCs w:val="28"/>
          <w:lang w:val="en-US" w:eastAsia="zh-CN"/>
        </w:rPr>
        <w:fldChar w:fldCharType="begin"/>
      </w:r>
      <w:r>
        <w:rPr>
          <w:rFonts w:hint="default" w:ascii="Times New Roman" w:hAnsi="Times New Roman" w:eastAsia="仿宋" w:cs="Times New Roman"/>
          <w:bCs/>
          <w:color w:val="auto"/>
          <w:sz w:val="28"/>
          <w:szCs w:val="28"/>
          <w:lang w:val="en-US" w:eastAsia="zh-CN"/>
        </w:rPr>
        <w:instrText xml:space="preserve"> HYPERLINK "https://baike.so.com/doc/7899401-8173496.html" \t "_blank" </w:instrText>
      </w:r>
      <w:r>
        <w:rPr>
          <w:rFonts w:hint="default" w:ascii="Times New Roman" w:hAnsi="Times New Roman" w:eastAsia="仿宋" w:cs="Times New Roman"/>
          <w:bCs/>
          <w:color w:val="auto"/>
          <w:sz w:val="28"/>
          <w:szCs w:val="28"/>
          <w:lang w:val="en-US" w:eastAsia="zh-CN"/>
        </w:rPr>
        <w:fldChar w:fldCharType="separate"/>
      </w:r>
      <w:r>
        <w:rPr>
          <w:rFonts w:hint="default" w:ascii="Times New Roman" w:hAnsi="Times New Roman" w:eastAsia="仿宋" w:cs="Times New Roman"/>
          <w:bCs/>
          <w:color w:val="auto"/>
          <w:sz w:val="28"/>
          <w:szCs w:val="28"/>
          <w:lang w:val="en-US" w:eastAsia="zh-CN"/>
        </w:rPr>
        <w:t>峪口</w:t>
      </w:r>
      <w:r>
        <w:rPr>
          <w:rFonts w:hint="default" w:ascii="Times New Roman" w:hAnsi="Times New Roman" w:eastAsia="仿宋" w:cs="Times New Roman"/>
          <w:bCs/>
          <w:color w:val="auto"/>
          <w:sz w:val="28"/>
          <w:szCs w:val="28"/>
          <w:lang w:val="en-US" w:eastAsia="zh-CN"/>
        </w:rPr>
        <w:fldChar w:fldCharType="end"/>
      </w:r>
      <w:r>
        <w:rPr>
          <w:rFonts w:hint="default" w:ascii="Times New Roman" w:hAnsi="Times New Roman" w:eastAsia="仿宋" w:cs="Times New Roman"/>
          <w:bCs/>
          <w:color w:val="auto"/>
          <w:sz w:val="28"/>
          <w:szCs w:val="28"/>
          <w:lang w:val="en-US" w:eastAsia="zh-CN"/>
        </w:rPr>
        <w:t>、巡检司、大峪口、罗峪口等渡口，专以引渡人畜，短途航运等。</w:t>
      </w:r>
    </w:p>
    <w:p w14:paraId="4316992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兴县交通分布图见图2.1-2。</w:t>
      </w:r>
    </w:p>
    <w:p w14:paraId="2D9D6AE5">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36" w:name="_Toc25594"/>
      <w:r>
        <w:rPr>
          <w:rFonts w:hint="default" w:ascii="Times New Roman" w:hAnsi="Times New Roman" w:eastAsia="仿宋" w:cs="Times New Roman"/>
          <w:bCs w:val="0"/>
          <w:color w:val="auto"/>
          <w:kern w:val="0"/>
          <w:sz w:val="30"/>
          <w:szCs w:val="30"/>
          <w:lang w:val="en-US" w:eastAsia="zh-CN"/>
        </w:rPr>
        <w:t>2.1.2地形地貌</w:t>
      </w:r>
      <w:bookmarkEnd w:id="36"/>
    </w:p>
    <w:p w14:paraId="128D071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位于晋西北丘陵地区，地势整体西低东高；境内群山逶迤，丘陵棋布，沟壑纵横，地形破碎。主要山峰有黑茶山、石楼山、石猴山、紫金山等，其中黑茶山海拔2203米；石楼山海拔1770米；石猴山与石楼山隔河相望，海拔1600米。</w:t>
      </w:r>
    </w:p>
    <w:p w14:paraId="2101EE8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县境东北、东南、西南三面环山，西临黄河，中有诸多谷槽，境内大小山丘3300多座，沟壑3900余条，河流74道。主要有八大山：黑茶山、大坪头山、二青山、大度山、石楼山、双双山、石猴山、浩旻山；六条河：黄河、蔚汾河、岚漪河、南川河、交楼河、湫水河；三道川：县川、南川、西川（实为北川，兴县人自古称之为西川）。山河交错，沟壑纵横，山川层叠，沉隆起伏，构成东北宽而西南窄的蘑菇状形态，因地势东北高西南低，自东向西倾斜，故地貌分区特征明显。东部为剥蚀溶蚀构造地形土石山区，面积为124万亩，占全县总面积的26％；西部为侵蚀堆积地形的丘陵河谷区，面积为298.8万亩，占63％，其中河川宽谷面积15.5万亩，仅占全县总面积的3.4％。</w:t>
      </w:r>
    </w:p>
    <w:p w14:paraId="1FA9BD8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兴县主要地貌有四种类型，分别为土石中山区、低中山区、低山丘陵区和河川宽谷区。</w:t>
      </w:r>
    </w:p>
    <w:p w14:paraId="494F455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土石中山区又分为：剥蚀构造变质岩中山和剥蚀、溶蚀构造石灰岩中低山。剥蚀构造变质岩中山，分布于高唐山、大坪头山和黑茶山等地，呈东北-东-东南走向，海拔高度为1500-2203米，沟谷切割深度大于500米，由变质岩、火成岩组成。山顶浑圆，微微起伏，山坡呈外凸形，坡角一般在15°以上。地表植被发育，蓄水保水能力较强，故山脚下、沟谷中常有清泉出露。剥蚀、溶蚀构造石灰岩中低山，分布于县境东北部的高王寨、香炉山、望儿山等地，大致呈南北向延伸。海拔1300～1680米，相对切割深度300～380米，由寒武系、奥陶系石灰岩、白云质灰岩和白云岩组成。山顶有尖顶和圆顶，山脊线呈锯齿状。</w:t>
      </w:r>
    </w:p>
    <w:p w14:paraId="781B42E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低中山区分为：白-固砂页岩构造剥蚀低中山、紫金山火成岩构造剥蚀低中山区。白-固砂页岩构造剥蚀低中山，主要分布于白家沟至固贤南北一线，由石炭系、二迭系砂页岩及含煤地层组成。岩层走向近南北并向西倾斜，倾角8°～10°，海拔1000～1350米，最高处为1389米，在固贤北部，切割深度300～380米。山顶浑圆，山坡较缓，地表多被黄土覆盖，山脊线不明显，山梁走向近南北，沟坡及沟谷底部基岩裸露，沟底常有清泉水。紫金山火成岩构造剥蚀低中山区，主要分布在县境西南部，海拔1300-1800米；区内最高峰为大度山，东西走向，切割深度大于40米，主要由燕山期碱性火成岩类组成。顶圆状，坡缓，一般为20°～40°。在新构造运动中，本区大幅度上升，形成高出周围地面的突出地形，水系呈放射状，地表植被发育，灌木茂密。</w:t>
      </w:r>
    </w:p>
    <w:p w14:paraId="42BB371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低山丘陵区：强烈切割黄土丘陵低山，指黄河沿岸至瓦塘、高家村、孟家坪、蔡家会一线的黄土梁峁丘陵地区。底部为三迭系中、下统砂页岩，表面被第四系黄土覆盖，谷底两侧砂页岩出露。海拔在725～1200米之间，切割深度200米左右。浩旻山，因山上有孝文庙，古称孝文山，后依山上浩旻泉命名。此山在罗峪口镇东豆宇村，东北一西南走向，长12公里，平均海拔871米，主峰海拔1044米。这一丘陵低山区的山顶多为塬峁状或棒槌状，山梁呈波浪式，山脊不明显，沟谷呈“V”型。平面上呈树枝状，地形支离破碎，构成典型的黄土高原景观。</w:t>
      </w:r>
    </w:p>
    <w:p w14:paraId="05B5084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河川宽谷区位于岚漪河和蔚汾河及其支流南川河、交楼河和湫水河等河道两侧，最宽处约1500米，最窄处500～600米，多由河漫滩和二级阶地组成。</w:t>
      </w:r>
    </w:p>
    <w:p w14:paraId="369263D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一级阶地前缘高出河床3～5米，堆积物为全新统冲积砂砾和黄土状亚砂土。二级阶地前缘高出河床10～15米，堆积物为上更新统、次生黄土砂砾。岚漪河川和蔚汾河川地势平坦，坪地3万余亩；蔚汾河川长约55公里，宽约1.3公里，坪地2.5万亩。</w:t>
      </w:r>
    </w:p>
    <w:p w14:paraId="6797700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850" w:gutter="0"/>
          <w:pgBorders>
            <w:top w:val="none" w:sz="0" w:space="0"/>
            <w:left w:val="none" w:sz="0" w:space="0"/>
            <w:bottom w:val="none" w:sz="0" w:space="0"/>
            <w:right w:val="none" w:sz="0" w:space="0"/>
          </w:pgBorders>
          <w:pgNumType w:fmt="numberInDash"/>
          <w:cols w:space="720" w:num="1"/>
          <w:docGrid w:type="lines" w:linePitch="381" w:charSpace="0"/>
        </w:sectPr>
      </w:pPr>
      <w:r>
        <w:rPr>
          <w:rFonts w:hint="default" w:ascii="Times New Roman" w:hAnsi="Times New Roman" w:eastAsia="仿宋" w:cs="Times New Roman"/>
          <w:bCs/>
          <w:color w:val="auto"/>
          <w:sz w:val="28"/>
          <w:szCs w:val="28"/>
          <w:lang w:val="en-US" w:eastAsia="zh-CN"/>
        </w:rPr>
        <w:t>兴县地形地貌图见图2.1-3。</w:t>
      </w:r>
    </w:p>
    <w:p w14:paraId="4CACC38F">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pP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-209550</wp:posOffset>
            </wp:positionH>
            <wp:positionV relativeFrom="paragraph">
              <wp:posOffset>-3810</wp:posOffset>
            </wp:positionV>
            <wp:extent cx="5565140" cy="8576310"/>
            <wp:effectExtent l="0" t="0" r="16510" b="15240"/>
            <wp:wrapNone/>
            <wp:docPr id="1" name="图片 2" descr="图2-1 地理位置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2-1 地理位置图副本"/>
                    <pic:cNvPicPr>
                      <a:picLocks noChangeAspect="1"/>
                    </pic:cNvPicPr>
                  </pic:nvPicPr>
                  <pic:blipFill>
                    <a:blip r:embed="rId15"/>
                    <a:srcRect l="7584" t="3905" r="6863" b="4475"/>
                    <a:stretch>
                      <a:fillRect/>
                    </a:stretch>
                  </pic:blipFill>
                  <pic:spPr>
                    <a:xfrm>
                      <a:off x="0" y="0"/>
                      <a:ext cx="5565140" cy="8576310"/>
                    </a:xfrm>
                    <a:prstGeom prst="rect">
                      <a:avLst/>
                    </a:prstGeom>
                    <a:noFill/>
                    <a:ln>
                      <a:noFill/>
                    </a:ln>
                  </pic:spPr>
                </pic:pic>
              </a:graphicData>
            </a:graphic>
          </wp:anchor>
        </w:drawing>
      </w:r>
    </w:p>
    <w:p w14:paraId="7C71F4E4">
      <w:pPr>
        <w:pStyle w:val="18"/>
        <w:rPr>
          <w:rFonts w:hint="default" w:ascii="Times New Roman" w:hAnsi="Times New Roman" w:cs="Times New Roman"/>
          <w:sz w:val="30"/>
          <w:szCs w:val="30"/>
          <w:lang w:eastAsia="zh-CN"/>
        </w:rPr>
      </w:pPr>
    </w:p>
    <w:p w14:paraId="7E1009F9">
      <w:pPr>
        <w:rPr>
          <w:rFonts w:hint="default" w:ascii="Times New Roman" w:hAnsi="Times New Roman" w:cs="Times New Roman"/>
          <w:sz w:val="30"/>
          <w:szCs w:val="30"/>
          <w:lang w:eastAsia="zh-CN"/>
        </w:rPr>
      </w:pPr>
    </w:p>
    <w:p w14:paraId="7B097A33">
      <w:pPr>
        <w:pStyle w:val="25"/>
        <w:rPr>
          <w:rFonts w:hint="default" w:ascii="Times New Roman" w:hAnsi="Times New Roman" w:cs="Times New Roman"/>
          <w:lang w:eastAsia="zh-CN"/>
        </w:rPr>
      </w:pPr>
    </w:p>
    <w:p w14:paraId="54F65A48">
      <w:pPr>
        <w:pStyle w:val="18"/>
        <w:rPr>
          <w:rFonts w:hint="default" w:ascii="Times New Roman" w:hAnsi="Times New Roman" w:cs="Times New Roman"/>
          <w:sz w:val="30"/>
          <w:szCs w:val="30"/>
          <w:lang w:eastAsia="zh-CN"/>
        </w:rPr>
        <w:sectPr>
          <w:pgSz w:w="11906" w:h="16838"/>
          <w:pgMar w:top="1440" w:right="1800" w:bottom="1440" w:left="1800" w:header="851" w:footer="850" w:gutter="0"/>
          <w:pgBorders>
            <w:top w:val="none" w:sz="0" w:space="0"/>
            <w:left w:val="none" w:sz="0" w:space="0"/>
            <w:bottom w:val="none" w:sz="0" w:space="0"/>
            <w:right w:val="none" w:sz="0" w:space="0"/>
          </w:pgBorders>
          <w:pgNumType w:fmt="numberInDash"/>
          <w:cols w:space="720" w:num="1"/>
          <w:docGrid w:type="lines" w:linePitch="381" w:charSpace="0"/>
        </w:sectPr>
      </w:pPr>
      <w:r>
        <w:rPr>
          <w:rFonts w:hint="default" w:ascii="Times New Roman" w:hAnsi="Times New Roman" w:cs="Times New Roman"/>
          <w:sz w:val="30"/>
        </w:rPr>
        <mc:AlternateContent>
          <mc:Choice Requires="wps">
            <w:drawing>
              <wp:anchor distT="0" distB="0" distL="114300" distR="114300" simplePos="0" relativeHeight="251660288" behindDoc="0" locked="0" layoutInCell="1" allowOverlap="1">
                <wp:simplePos x="0" y="0"/>
                <wp:positionH relativeFrom="column">
                  <wp:posOffset>1040765</wp:posOffset>
                </wp:positionH>
                <wp:positionV relativeFrom="paragraph">
                  <wp:posOffset>7270115</wp:posOffset>
                </wp:positionV>
                <wp:extent cx="3347085" cy="394335"/>
                <wp:effectExtent l="0" t="0" r="5715" b="5715"/>
                <wp:wrapNone/>
                <wp:docPr id="4" name="文本框 4"/>
                <wp:cNvGraphicFramePr/>
                <a:graphic xmlns:a="http://schemas.openxmlformats.org/drawingml/2006/main">
                  <a:graphicData uri="http://schemas.microsoft.com/office/word/2010/wordprocessingShape">
                    <wps:wsp>
                      <wps:cNvSpPr txBox="1"/>
                      <wps:spPr>
                        <a:xfrm>
                          <a:off x="2183765" y="9459595"/>
                          <a:ext cx="3347085" cy="394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0B6183">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-1   兴县地理位置图</w:t>
                            </w:r>
                          </w:p>
                          <w:p w14:paraId="2E45147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95pt;margin-top:572.45pt;height:31.05pt;width:263.55pt;z-index:251660288;mso-width-relative:page;mso-height-relative:page;" fillcolor="#FFFFFF [3201]" filled="t" stroked="f" coordsize="21600,21600" o:gfxdata="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T42&#10;fNUAAAANAQAADwAAAAAAAAABACAAAAAiAAAAZHJzL2Rvd25yZXYueG1sUEsBAhQAFAAAAAgAh07i&#10;QODsEG9eAgAAmwQAAA4AAAAAAAAAAQAgAAAAJAEAAGRycy9lMm9Eb2MueG1sUEsFBgAAAAAGAAYA&#10;WQEAAPQFAAAAAA==&#10;">
                <v:fill on="t" focussize="0,0"/>
                <v:stroke on="f" weight="0.5pt"/>
                <v:imagedata o:title=""/>
                <o:lock v:ext="edit" aspectratio="f"/>
                <v:textbox>
                  <w:txbxContent>
                    <w:p w14:paraId="030B6183">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-1   兴县地理位置图</w:t>
                      </w:r>
                    </w:p>
                    <w:p w14:paraId="2E451477"/>
                  </w:txbxContent>
                </v:textbox>
              </v:shape>
            </w:pict>
          </mc:Fallback>
        </mc:AlternateContent>
      </w:r>
    </w:p>
    <w:p w14:paraId="13588B91">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val="0"/>
          <w:color w:val="auto"/>
          <w:kern w:val="0"/>
          <w:sz w:val="30"/>
          <w:szCs w:val="30"/>
          <w:lang w:val="en-US" w:eastAsia="zh-CN"/>
        </w:rPr>
        <w:sectPr>
          <w:pgSz w:w="16838" w:h="11906" w:orient="landscape"/>
          <w:pgMar w:top="1800" w:right="1440" w:bottom="1800" w:left="1440" w:header="851" w:footer="850" w:gutter="0"/>
          <w:pgBorders>
            <w:top w:val="none" w:sz="0" w:space="0"/>
            <w:left w:val="none" w:sz="0" w:space="0"/>
            <w:bottom w:val="none" w:sz="0" w:space="0"/>
            <w:right w:val="none" w:sz="0" w:space="0"/>
          </w:pgBorders>
          <w:pgNumType w:fmt="numberInDash"/>
          <w:cols w:space="720" w:num="1"/>
          <w:docGrid w:type="lines" w:linePitch="381" w:charSpace="0"/>
        </w:sectPr>
      </w:pPr>
      <w:bookmarkStart w:id="37" w:name="_Toc14533"/>
      <w:r>
        <w:rPr>
          <w:rFonts w:hint="default" w:ascii="Times New Roman" w:hAnsi="Times New Roman" w:cs="Times New Roman"/>
          <w:sz w:val="30"/>
        </w:rPr>
        <mc:AlternateContent>
          <mc:Choice Requires="wps">
            <w:drawing>
              <wp:anchor distT="0" distB="0" distL="114300" distR="114300" simplePos="0" relativeHeight="251663360" behindDoc="0" locked="0" layoutInCell="1" allowOverlap="1">
                <wp:simplePos x="0" y="0"/>
                <wp:positionH relativeFrom="column">
                  <wp:posOffset>2907030</wp:posOffset>
                </wp:positionH>
                <wp:positionV relativeFrom="paragraph">
                  <wp:posOffset>5241925</wp:posOffset>
                </wp:positionV>
                <wp:extent cx="3347085" cy="334645"/>
                <wp:effectExtent l="0" t="0" r="5715" b="8255"/>
                <wp:wrapNone/>
                <wp:docPr id="6" name="文本框 6"/>
                <wp:cNvGraphicFramePr/>
                <a:graphic xmlns:a="http://schemas.openxmlformats.org/drawingml/2006/main">
                  <a:graphicData uri="http://schemas.microsoft.com/office/word/2010/wordprocessingShape">
                    <wps:wsp>
                      <wps:cNvSpPr txBox="1"/>
                      <wps:spPr>
                        <a:xfrm>
                          <a:off x="0" y="0"/>
                          <a:ext cx="3347085" cy="334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54522E">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2</w:t>
                            </w:r>
                            <w:r>
                              <w:rPr>
                                <w:rFonts w:hint="default" w:ascii="Times New Roman" w:hAnsi="Times New Roman" w:cs="Times New Roman"/>
                                <w:b/>
                                <w:sz w:val="24"/>
                                <w:szCs w:val="24"/>
                                <w:lang w:val="en-US" w:eastAsia="zh-CN"/>
                              </w:rPr>
                              <w:t xml:space="preserve">   兴县</w:t>
                            </w:r>
                            <w:r>
                              <w:rPr>
                                <w:rFonts w:hint="eastAsia" w:ascii="Times New Roman" w:hAnsi="Times New Roman" w:cs="Times New Roman"/>
                                <w:b/>
                                <w:sz w:val="24"/>
                                <w:szCs w:val="24"/>
                                <w:lang w:val="en-US" w:eastAsia="zh-CN"/>
                              </w:rPr>
                              <w:t>交通分布</w:t>
                            </w:r>
                            <w:r>
                              <w:rPr>
                                <w:rFonts w:hint="default" w:ascii="Times New Roman" w:hAnsi="Times New Roman" w:cs="Times New Roman"/>
                                <w:b/>
                                <w:sz w:val="24"/>
                                <w:szCs w:val="24"/>
                                <w:lang w:val="en-US" w:eastAsia="zh-CN"/>
                              </w:rPr>
                              <w:t>图</w:t>
                            </w:r>
                          </w:p>
                          <w:p w14:paraId="3076FE7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9pt;margin-top:412.75pt;height:26.35pt;width:263.55pt;z-index:251663360;mso-width-relative:page;mso-height-relative:page;" filled="f" stroked="f" coordsize="21600,21600" o:gfxdata="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QbmEPcAAAACwEAAA8AAAAAAAAAAQAgAAAAIgAAAGRy&#10;cy9kb3ducmV2LnhtbFBLAQIUABQAAAAIAIdO4kAhhyihOgIAAGYEAAAOAAAAAAAAAAEAIAAAACsB&#10;AABkcnMvZTJvRG9jLnhtbFBLBQYAAAAABgAGAFkBAADXBQAAAAA=&#10;">
                <v:fill on="f" focussize="0,0"/>
                <v:stroke on="f" weight="0.5pt"/>
                <v:imagedata o:title=""/>
                <o:lock v:ext="edit" aspectratio="f"/>
                <v:textbox>
                  <w:txbxContent>
                    <w:p w14:paraId="1E54522E">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2</w:t>
                      </w:r>
                      <w:r>
                        <w:rPr>
                          <w:rFonts w:hint="default" w:ascii="Times New Roman" w:hAnsi="Times New Roman" w:cs="Times New Roman"/>
                          <w:b/>
                          <w:sz w:val="24"/>
                          <w:szCs w:val="24"/>
                          <w:lang w:val="en-US" w:eastAsia="zh-CN"/>
                        </w:rPr>
                        <w:t xml:space="preserve">   兴县</w:t>
                      </w:r>
                      <w:r>
                        <w:rPr>
                          <w:rFonts w:hint="eastAsia" w:ascii="Times New Roman" w:hAnsi="Times New Roman" w:cs="Times New Roman"/>
                          <w:b/>
                          <w:sz w:val="24"/>
                          <w:szCs w:val="24"/>
                          <w:lang w:val="en-US" w:eastAsia="zh-CN"/>
                        </w:rPr>
                        <w:t>交通分布</w:t>
                      </w:r>
                      <w:r>
                        <w:rPr>
                          <w:rFonts w:hint="default" w:ascii="Times New Roman" w:hAnsi="Times New Roman" w:cs="Times New Roman"/>
                          <w:b/>
                          <w:sz w:val="24"/>
                          <w:szCs w:val="24"/>
                          <w:lang w:val="en-US" w:eastAsia="zh-CN"/>
                        </w:rPr>
                        <w:t>图</w:t>
                      </w:r>
                    </w:p>
                    <w:p w14:paraId="3076FE78"/>
                  </w:txbxContent>
                </v:textbox>
              </v:shape>
            </w:pict>
          </mc:Fallback>
        </mc:AlternateContent>
      </w: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521970</wp:posOffset>
            </wp:positionH>
            <wp:positionV relativeFrom="paragraph">
              <wp:posOffset>-744220</wp:posOffset>
            </wp:positionV>
            <wp:extent cx="7934325" cy="6000750"/>
            <wp:effectExtent l="0" t="0" r="9525" b="0"/>
            <wp:wrapNone/>
            <wp:docPr id="5" name="图片 5" descr="图2-2 交通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2-2 交通图副本"/>
                    <pic:cNvPicPr>
                      <a:picLocks noChangeAspect="1"/>
                    </pic:cNvPicPr>
                  </pic:nvPicPr>
                  <pic:blipFill>
                    <a:blip r:embed="rId16"/>
                    <a:srcRect l="9692" t="7861" r="12280" b="8530"/>
                    <a:stretch>
                      <a:fillRect/>
                    </a:stretch>
                  </pic:blipFill>
                  <pic:spPr>
                    <a:xfrm>
                      <a:off x="0" y="0"/>
                      <a:ext cx="7934325" cy="6000750"/>
                    </a:xfrm>
                    <a:prstGeom prst="rect">
                      <a:avLst/>
                    </a:prstGeom>
                    <a:noFill/>
                    <a:ln>
                      <a:noFill/>
                    </a:ln>
                  </pic:spPr>
                </pic:pic>
              </a:graphicData>
            </a:graphic>
          </wp:anchor>
        </w:drawing>
      </w:r>
    </w:p>
    <w:p w14:paraId="724923DC">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val="0"/>
          <w:color w:val="auto"/>
          <w:kern w:val="0"/>
          <w:sz w:val="30"/>
          <w:szCs w:val="30"/>
          <w:lang w:val="en-US" w:eastAsia="zh-CN"/>
        </w:rPr>
        <w:sectPr>
          <w:pgSz w:w="16838" w:h="11906" w:orient="landscape"/>
          <w:pgMar w:top="1800" w:right="1440" w:bottom="1800" w:left="1440" w:header="851" w:footer="850" w:gutter="0"/>
          <w:pgBorders>
            <w:top w:val="none" w:sz="0" w:space="0"/>
            <w:left w:val="none" w:sz="0" w:space="0"/>
            <w:bottom w:val="none" w:sz="0" w:space="0"/>
            <w:right w:val="none" w:sz="0" w:space="0"/>
          </w:pgBorders>
          <w:pgNumType w:fmt="numberInDash"/>
          <w:cols w:space="720" w:num="1"/>
          <w:docGrid w:type="lines" w:linePitch="381" w:charSpace="0"/>
        </w:sectPr>
      </w:pPr>
      <w:r>
        <w:rPr>
          <w:rFonts w:hint="default" w:ascii="Times New Roman" w:hAnsi="Times New Roman" w:cs="Times New Roman"/>
          <w:sz w:val="30"/>
        </w:rPr>
        <mc:AlternateContent>
          <mc:Choice Requires="wps">
            <w:drawing>
              <wp:anchor distT="0" distB="0" distL="114300" distR="114300" simplePos="0" relativeHeight="251665408" behindDoc="0" locked="0" layoutInCell="1" allowOverlap="1">
                <wp:simplePos x="0" y="0"/>
                <wp:positionH relativeFrom="column">
                  <wp:posOffset>2891790</wp:posOffset>
                </wp:positionH>
                <wp:positionV relativeFrom="paragraph">
                  <wp:posOffset>5248275</wp:posOffset>
                </wp:positionV>
                <wp:extent cx="3347085" cy="328295"/>
                <wp:effectExtent l="0" t="0" r="5715" b="14605"/>
                <wp:wrapNone/>
                <wp:docPr id="8" name="文本框 8"/>
                <wp:cNvGraphicFramePr/>
                <a:graphic xmlns:a="http://schemas.openxmlformats.org/drawingml/2006/main">
                  <a:graphicData uri="http://schemas.microsoft.com/office/word/2010/wordprocessingShape">
                    <wps:wsp>
                      <wps:cNvSpPr txBox="1"/>
                      <wps:spPr>
                        <a:xfrm>
                          <a:off x="0" y="0"/>
                          <a:ext cx="3347085" cy="3282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38A52DC">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3</w:t>
                            </w:r>
                            <w:r>
                              <w:rPr>
                                <w:rFonts w:hint="default" w:ascii="Times New Roman" w:hAnsi="Times New Roman" w:cs="Times New Roman"/>
                                <w:b/>
                                <w:sz w:val="24"/>
                                <w:szCs w:val="24"/>
                                <w:lang w:val="en-US" w:eastAsia="zh-CN"/>
                              </w:rPr>
                              <w:t xml:space="preserve">   兴县</w:t>
                            </w:r>
                            <w:r>
                              <w:rPr>
                                <w:rFonts w:hint="eastAsia" w:ascii="Times New Roman" w:hAnsi="Times New Roman" w:cs="Times New Roman"/>
                                <w:b/>
                                <w:sz w:val="24"/>
                                <w:szCs w:val="24"/>
                                <w:lang w:val="en-US" w:eastAsia="zh-CN"/>
                              </w:rPr>
                              <w:t>地貌类型</w:t>
                            </w:r>
                            <w:r>
                              <w:rPr>
                                <w:rFonts w:hint="default" w:ascii="Times New Roman" w:hAnsi="Times New Roman" w:cs="Times New Roman"/>
                                <w:b/>
                                <w:sz w:val="24"/>
                                <w:szCs w:val="24"/>
                                <w:lang w:val="en-US" w:eastAsia="zh-CN"/>
                              </w:rPr>
                              <w:t>图</w:t>
                            </w:r>
                          </w:p>
                          <w:p w14:paraId="3621A19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7pt;margin-top:413.25pt;height:25.85pt;width:263.55pt;z-index:251665408;mso-width-relative:page;mso-height-relative:page;" fillcolor="#FFFFFF [3201]" filled="t" stroked="f" coordsize="21600,21600" o:gfxdata="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ec8v3VAAAACwEAAA8AAAAA&#10;AAAAAQAgAAAAIgAAAGRycy9kb3ducmV2LnhtbFBLAQIUABQAAAAIAIdO4kADQMPBUAIAAI8EAAAO&#10;AAAAAAAAAAEAIAAAACQBAABkcnMvZTJvRG9jLnhtbFBLBQYAAAAABgAGAFkBAADmBQAAAAA=&#10;">
                <v:fill on="t" focussize="0,0"/>
                <v:stroke on="f" weight="0.5pt"/>
                <v:imagedata o:title=""/>
                <o:lock v:ext="edit" aspectratio="f"/>
                <v:textbox>
                  <w:txbxContent>
                    <w:p w14:paraId="538A52DC">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3</w:t>
                      </w:r>
                      <w:r>
                        <w:rPr>
                          <w:rFonts w:hint="default" w:ascii="Times New Roman" w:hAnsi="Times New Roman" w:cs="Times New Roman"/>
                          <w:b/>
                          <w:sz w:val="24"/>
                          <w:szCs w:val="24"/>
                          <w:lang w:val="en-US" w:eastAsia="zh-CN"/>
                        </w:rPr>
                        <w:t xml:space="preserve">   兴县</w:t>
                      </w:r>
                      <w:r>
                        <w:rPr>
                          <w:rFonts w:hint="eastAsia" w:ascii="Times New Roman" w:hAnsi="Times New Roman" w:cs="Times New Roman"/>
                          <w:b/>
                          <w:sz w:val="24"/>
                          <w:szCs w:val="24"/>
                          <w:lang w:val="en-US" w:eastAsia="zh-CN"/>
                        </w:rPr>
                        <w:t>地貌类型</w:t>
                      </w:r>
                      <w:r>
                        <w:rPr>
                          <w:rFonts w:hint="default" w:ascii="Times New Roman" w:hAnsi="Times New Roman" w:cs="Times New Roman"/>
                          <w:b/>
                          <w:sz w:val="24"/>
                          <w:szCs w:val="24"/>
                          <w:lang w:val="en-US" w:eastAsia="zh-CN"/>
                        </w:rPr>
                        <w:t>图</w:t>
                      </w:r>
                    </w:p>
                    <w:p w14:paraId="3621A196"/>
                  </w:txbxContent>
                </v:textbox>
              </v:shape>
            </w:pict>
          </mc:Fallback>
        </mc:AlternateContent>
      </w: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895350</wp:posOffset>
            </wp:positionH>
            <wp:positionV relativeFrom="paragraph">
              <wp:posOffset>-464185</wp:posOffset>
            </wp:positionV>
            <wp:extent cx="7495540" cy="5674995"/>
            <wp:effectExtent l="0" t="0" r="10160" b="1905"/>
            <wp:wrapNone/>
            <wp:docPr id="7" name="图片 6" descr="图2-3  地貌类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2-3  地貌类型图"/>
                    <pic:cNvPicPr>
                      <a:picLocks noChangeAspect="1"/>
                    </pic:cNvPicPr>
                  </pic:nvPicPr>
                  <pic:blipFill>
                    <a:blip r:embed="rId17"/>
                    <a:srcRect l="10858" t="9004" r="11653" b="7878"/>
                    <a:stretch>
                      <a:fillRect/>
                    </a:stretch>
                  </pic:blipFill>
                  <pic:spPr>
                    <a:xfrm>
                      <a:off x="0" y="0"/>
                      <a:ext cx="7495540" cy="5674995"/>
                    </a:xfrm>
                    <a:prstGeom prst="rect">
                      <a:avLst/>
                    </a:prstGeom>
                    <a:noFill/>
                    <a:ln>
                      <a:noFill/>
                    </a:ln>
                  </pic:spPr>
                </pic:pic>
              </a:graphicData>
            </a:graphic>
          </wp:anchor>
        </w:drawing>
      </w:r>
    </w:p>
    <w:p w14:paraId="02207D6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2.1.3气候特征</w:t>
      </w:r>
      <w:bookmarkEnd w:id="37"/>
    </w:p>
    <w:p w14:paraId="2685C2D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bookmarkStart w:id="38" w:name="_Toc17986"/>
      <w:r>
        <w:rPr>
          <w:rFonts w:hint="default" w:ascii="Times New Roman" w:hAnsi="Times New Roman" w:eastAsia="仿宋" w:cs="Times New Roman"/>
          <w:bCs/>
          <w:color w:val="auto"/>
          <w:sz w:val="28"/>
          <w:szCs w:val="28"/>
          <w:lang w:val="en-US" w:eastAsia="zh-CN"/>
        </w:rPr>
        <w:t>根据多年气象资料数据，该地区年平均气温9.8℃，极端最高气温39.9℃，极端最低气温-26.7℃；全年日照时数为2600h，无霜期在120-170d之间。年平均降水量为508.8mm，60%以上集中在7、8、9月；年平均蒸发量为2090.8mm，为降水量的4倍。全年盛行东风，年均频率为24.2%，静风频率为5.5%。年平均风速2.4m/s，最大风速28.4m/s。兴县近20年风向玫瑰图见图4.1-1。</w:t>
      </w:r>
    </w:p>
    <w:p w14:paraId="2EBFCB7C">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rPr>
      </w:pPr>
      <w:r>
        <w:rPr>
          <w:rFonts w:hint="default" w:ascii="Times New Roman" w:hAnsi="Times New Roman" w:cs="Times New Roman"/>
          <w:color w:val="000000"/>
          <w:sz w:val="21"/>
        </w:rPr>
        <w:drawing>
          <wp:inline distT="0" distB="0" distL="114300" distR="114300">
            <wp:extent cx="2240280" cy="2342515"/>
            <wp:effectExtent l="9525" t="9525" r="17145" b="10160"/>
            <wp:docPr id="9" name="图片 1" descr="171058235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1710582359059"/>
                    <pic:cNvPicPr>
                      <a:picLocks noChangeAspect="1"/>
                    </pic:cNvPicPr>
                  </pic:nvPicPr>
                  <pic:blipFill>
                    <a:blip r:embed="rId18"/>
                    <a:srcRect l="784" t="1353" r="1373" b="1276"/>
                    <a:stretch>
                      <a:fillRect/>
                    </a:stretch>
                  </pic:blipFill>
                  <pic:spPr>
                    <a:xfrm>
                      <a:off x="0" y="0"/>
                      <a:ext cx="2240280" cy="234251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556733E8">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default" w:ascii="Times New Roman" w:hAnsi="Times New Roman" w:cs="Times New Roman"/>
          <w:b/>
          <w:sz w:val="24"/>
          <w:szCs w:val="24"/>
        </w:rPr>
        <w:t>.</w:t>
      </w:r>
      <w:r>
        <w:rPr>
          <w:rFonts w:hint="default" w:ascii="Times New Roman" w:hAnsi="Times New Roman" w:cs="Times New Roman"/>
          <w:b/>
          <w:sz w:val="24"/>
          <w:szCs w:val="24"/>
          <w:lang w:val="en-US" w:eastAsia="zh-CN"/>
        </w:rPr>
        <w:t>1</w:t>
      </w:r>
      <w:r>
        <w:rPr>
          <w:rFonts w:hint="default" w:ascii="Times New Roman" w:hAnsi="Times New Roman" w:cs="Times New Roman"/>
          <w:b/>
          <w:sz w:val="24"/>
          <w:szCs w:val="24"/>
        </w:rPr>
        <w:t>-</w:t>
      </w:r>
      <w:r>
        <w:rPr>
          <w:rFonts w:hint="default" w:ascii="Times New Roman" w:hAnsi="Times New Roman" w:cs="Times New Roman"/>
          <w:b/>
          <w:sz w:val="24"/>
          <w:szCs w:val="24"/>
          <w:lang w:val="en-US" w:eastAsia="zh-CN"/>
        </w:rPr>
        <w:t>4</w:t>
      </w:r>
      <w:r>
        <w:rPr>
          <w:rFonts w:hint="default" w:ascii="Times New Roman" w:hAnsi="Times New Roman" w:cs="Times New Roman"/>
          <w:b/>
          <w:sz w:val="24"/>
          <w:szCs w:val="24"/>
        </w:rPr>
        <w:t xml:space="preserve">  </w:t>
      </w:r>
      <w:r>
        <w:rPr>
          <w:rFonts w:hint="default" w:ascii="Times New Roman" w:hAnsi="Times New Roman" w:cs="Times New Roman"/>
          <w:b/>
          <w:sz w:val="24"/>
          <w:szCs w:val="24"/>
          <w:lang w:val="en-US" w:eastAsia="zh-CN"/>
        </w:rPr>
        <w:t>兴县</w:t>
      </w:r>
      <w:r>
        <w:rPr>
          <w:rFonts w:hint="default" w:ascii="Times New Roman" w:hAnsi="Times New Roman" w:cs="Times New Roman"/>
          <w:b/>
          <w:sz w:val="24"/>
          <w:szCs w:val="24"/>
        </w:rPr>
        <w:t>近20年风向玫瑰图</w:t>
      </w:r>
    </w:p>
    <w:p w14:paraId="73A4547F">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2.1.4河流水系</w:t>
      </w:r>
      <w:bookmarkEnd w:id="38"/>
    </w:p>
    <w:p w14:paraId="1EF9389B">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2.1.4.1地表水</w:t>
      </w:r>
    </w:p>
    <w:p w14:paraId="19C2280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兴县东倚吕梁山脉，西界黄河，河流自东向西汇入黄河，共有9条，属黄河水系。较大的河流有3条，岚漪河位于县境北部，蔚汾河位于县境中部，湫水河位于南部，其余6条河流均为发源于本县境内的较小河流。</w:t>
      </w:r>
    </w:p>
    <w:p w14:paraId="4521EC9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岚漪河：发源于芦芽山区的荷叶坪、鹿计岭之西饮马池山，海拔2222m，河流跨越岚县、兴县和忻州市的岢岚、五寨、保德五县，于兴县裴家川口汇入黄河，干流河道平均坡度8.95‰。河流全长114km，流域面积2166.6km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，其中兴县境内流域面积373.9km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河道长28.5km。岚漪河流域属大陆性半干旱气候，地表水来源主要靠大气降水。最大年径流量4亿立方米（1967年），最小年径流量0.22亿立方米（1984年），多年平均年径流量0.689亿立方米。岚漪河主要支流有9条，在兴县境内有2条。</w:t>
      </w:r>
    </w:p>
    <w:p w14:paraId="06F6243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蔚汾河：发源于岚县野鸡山之西白龙山，海拔2264m，流经岚县、兴县，由界河口入兴县境，至张家湾村汇入黄河，干流长81.8km，在兴县境内53km，流域面积1478km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，在兴县境内1274km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，干流主河道平均坡度9.73‰。兴县县城坐落在蔚汾河中游，主要支流有岚尾河、南川河。</w:t>
      </w:r>
    </w:p>
    <w:p w14:paraId="522FD23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bCs/>
          <w:color w:val="auto"/>
          <w:sz w:val="28"/>
          <w:szCs w:val="28"/>
          <w:lang w:val="en-US" w:eastAsia="zh-CN"/>
        </w:rPr>
        <w:t>湫水河：发源于兴县白龙山下湫水寺，流经临县湫河川至临县碛口镇汇入黄河。河流全长122km，流域面积1989km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，干流主河道平均坡度6.5‰。主要支沟有郝家沟、油坊沟、代坡沟、太平沟、城庄沟、榆林沟、安业沟、大峪沟、车赶沟、招贤沟等，长度在10公里以上的一级支沟共有26条。兴县河流水系见图2.1-5。</w:t>
      </w:r>
    </w:p>
    <w:p w14:paraId="64B09C99">
      <w:pPr>
        <w:pStyle w:val="18"/>
        <w:rPr>
          <w:rFonts w:hint="default" w:ascii="Times New Roman" w:hAnsi="Times New Roman" w:cs="Times New Roman"/>
        </w:rPr>
        <w:sectPr>
          <w:pgSz w:w="11906" w:h="16838"/>
          <w:pgMar w:top="1440" w:right="1800" w:bottom="1440" w:left="1800" w:header="851" w:footer="850" w:gutter="0"/>
          <w:pgBorders>
            <w:top w:val="none" w:sz="0" w:space="0"/>
            <w:left w:val="none" w:sz="0" w:space="0"/>
            <w:bottom w:val="none" w:sz="0" w:space="0"/>
            <w:right w:val="none" w:sz="0" w:space="0"/>
          </w:pgBorders>
          <w:pgNumType w:fmt="numberInDash"/>
          <w:cols w:space="720" w:num="1"/>
          <w:docGrid w:type="lines" w:linePitch="381" w:charSpace="0"/>
        </w:sectPr>
      </w:pPr>
    </w:p>
    <w:p w14:paraId="4FC912A9">
      <w:pPr>
        <w:pStyle w:val="18"/>
        <w:ind w:left="0" w:leftChars="0" w:firstLine="0" w:firstLineChars="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7456" behindDoc="0" locked="0" layoutInCell="1" allowOverlap="1">
            <wp:simplePos x="0" y="0"/>
            <wp:positionH relativeFrom="column">
              <wp:posOffset>462280</wp:posOffset>
            </wp:positionH>
            <wp:positionV relativeFrom="paragraph">
              <wp:posOffset>-454660</wp:posOffset>
            </wp:positionV>
            <wp:extent cx="7727315" cy="5800090"/>
            <wp:effectExtent l="0" t="0" r="6985" b="10160"/>
            <wp:wrapNone/>
            <wp:docPr id="10" name="图片 7" descr="图2-4 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图2-4 水系图"/>
                    <pic:cNvPicPr>
                      <a:picLocks noChangeAspect="1"/>
                    </pic:cNvPicPr>
                  </pic:nvPicPr>
                  <pic:blipFill>
                    <a:blip r:embed="rId19"/>
                    <a:srcRect l="9782" t="8353" r="12192" b="8675"/>
                    <a:stretch>
                      <a:fillRect/>
                    </a:stretch>
                  </pic:blipFill>
                  <pic:spPr>
                    <a:xfrm>
                      <a:off x="0" y="0"/>
                      <a:ext cx="7727315" cy="5800090"/>
                    </a:xfrm>
                    <a:prstGeom prst="rect">
                      <a:avLst/>
                    </a:prstGeom>
                    <a:noFill/>
                    <a:ln>
                      <a:noFill/>
                    </a:ln>
                  </pic:spPr>
                </pic:pic>
              </a:graphicData>
            </a:graphic>
          </wp:anchor>
        </w:drawing>
      </w:r>
    </w:p>
    <w:p w14:paraId="508A7043">
      <w:pPr>
        <w:pStyle w:val="9"/>
        <w:rPr>
          <w:rFonts w:hint="default" w:ascii="Times New Roman" w:hAnsi="Times New Roman" w:cs="Times New Roman"/>
        </w:rPr>
        <w:sectPr>
          <w:pgSz w:w="16838" w:h="11906" w:orient="landscape"/>
          <w:pgMar w:top="1800" w:right="1440" w:bottom="1800" w:left="1440" w:header="851" w:footer="850" w:gutter="0"/>
          <w:pgBorders>
            <w:top w:val="none" w:sz="0" w:space="0"/>
            <w:left w:val="none" w:sz="0" w:space="0"/>
            <w:bottom w:val="none" w:sz="0" w:space="0"/>
            <w:right w:val="none" w:sz="0" w:space="0"/>
          </w:pgBorders>
          <w:pgNumType w:fmt="numberInDash"/>
          <w:cols w:space="720" w:num="1"/>
          <w:docGrid w:type="lines" w:linePitch="381" w:charSpace="0"/>
        </w:sectPr>
      </w:pPr>
      <w:r>
        <w:rPr>
          <w:rFonts w:hint="default" w:ascii="Times New Roman" w:hAnsi="Times New Roman" w:cs="Times New Roman"/>
          <w:sz w:val="30"/>
        </w:rPr>
        <mc:AlternateContent>
          <mc:Choice Requires="wps">
            <w:drawing>
              <wp:anchor distT="0" distB="0" distL="114300" distR="114300" simplePos="0" relativeHeight="251668480" behindDoc="0" locked="0" layoutInCell="1" allowOverlap="1">
                <wp:simplePos x="0" y="0"/>
                <wp:positionH relativeFrom="column">
                  <wp:posOffset>2704465</wp:posOffset>
                </wp:positionH>
                <wp:positionV relativeFrom="paragraph">
                  <wp:posOffset>5060950</wp:posOffset>
                </wp:positionV>
                <wp:extent cx="3347085" cy="328295"/>
                <wp:effectExtent l="0" t="0" r="5715" b="14605"/>
                <wp:wrapNone/>
                <wp:docPr id="11" name="文本框 11"/>
                <wp:cNvGraphicFramePr/>
                <a:graphic xmlns:a="http://schemas.openxmlformats.org/drawingml/2006/main">
                  <a:graphicData uri="http://schemas.microsoft.com/office/word/2010/wordprocessingShape">
                    <wps:wsp>
                      <wps:cNvSpPr txBox="1"/>
                      <wps:spPr>
                        <a:xfrm>
                          <a:off x="0" y="0"/>
                          <a:ext cx="3347085" cy="3282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FFD6BD6">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5</w:t>
                            </w:r>
                            <w:r>
                              <w:rPr>
                                <w:rFonts w:hint="default" w:ascii="Times New Roman" w:hAnsi="Times New Roman" w:cs="Times New Roman"/>
                                <w:b/>
                                <w:sz w:val="24"/>
                                <w:szCs w:val="24"/>
                                <w:lang w:val="en-US" w:eastAsia="zh-CN"/>
                              </w:rPr>
                              <w:t xml:space="preserve">  兴县河流水系图</w:t>
                            </w:r>
                          </w:p>
                          <w:p w14:paraId="516492B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95pt;margin-top:398.5pt;height:25.85pt;width:263.55pt;z-index:251668480;mso-width-relative:page;mso-height-relative:page;" fillcolor="#FFFFFF [3201]" filled="t" stroked="f" coordsize="21600,21600" o:gfxdata="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ASlqPXAAAACwEAAA8A&#10;AAAAAAAAAQAgAAAAIgAAAGRycy9kb3ducmV2LnhtbFBLAQIUABQAAAAIAIdO4kADJ1nQUQIAAJEE&#10;AAAOAAAAAAAAAAEAIAAAACYBAABkcnMvZTJvRG9jLnhtbFBLBQYAAAAABgAGAFkBAADpBQAAAAA=&#10;">
                <v:fill on="t" focussize="0,0"/>
                <v:stroke on="f" weight="0.5pt"/>
                <v:imagedata o:title=""/>
                <o:lock v:ext="edit" aspectratio="f"/>
                <v:textbox>
                  <w:txbxContent>
                    <w:p w14:paraId="5FFD6BD6">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5</w:t>
                      </w:r>
                      <w:r>
                        <w:rPr>
                          <w:rFonts w:hint="default" w:ascii="Times New Roman" w:hAnsi="Times New Roman" w:cs="Times New Roman"/>
                          <w:b/>
                          <w:sz w:val="24"/>
                          <w:szCs w:val="24"/>
                          <w:lang w:val="en-US" w:eastAsia="zh-CN"/>
                        </w:rPr>
                        <w:t xml:space="preserve">  兴县河流水系图</w:t>
                      </w:r>
                    </w:p>
                    <w:p w14:paraId="516492BC"/>
                  </w:txbxContent>
                </v:textbox>
              </v:shape>
            </w:pict>
          </mc:Fallback>
        </mc:AlternateContent>
      </w:r>
    </w:p>
    <w:p w14:paraId="74856015">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2.1.4.2地下水</w:t>
      </w:r>
    </w:p>
    <w:p w14:paraId="0C16796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位于吕梁背斜四翼，境内地层从东到西由老变新，并呈5-15°倾角西倾。沟谷发育，地表水排泄畅通。随着地层的变化，地下水的储存及分布也有明显差异。东部的古老变质岩构造裂隙及风化裂隙发育，裂隙水丰富。恶虎滩至车家庄的寒武系、奥陶系石灰岩溶水，储量大，水质好。车家庄以西的大部分区域为石灰系、二叠系、三叠系砂页岩，地层构造简单，岩层平缓，裂隙不发育，含水较少。</w:t>
      </w:r>
    </w:p>
    <w:p w14:paraId="55D4B8C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兴县地下水资源总流量在3.50-3.6m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/s之间，合1.133亿m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/a。地下水可采量为2.713m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/s。全年可开采量0.856亿m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，占地下水总储量的75.6%。</w:t>
      </w:r>
    </w:p>
    <w:p w14:paraId="414FAC8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根据兴县境内含水层的岩性及孔隙特征，水理性质、水动力特征，将全县含水层划分为4种含水岩系11个含水岩组。</w:t>
      </w:r>
    </w:p>
    <w:p w14:paraId="76C8484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（一）松散岩类孔隙水含水岩系</w:t>
      </w:r>
    </w:p>
    <w:p w14:paraId="71038E7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1.第四系全新统河谷冲积层孔隙潜水含水岩组；</w:t>
      </w:r>
    </w:p>
    <w:p w14:paraId="2956224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2.第四系上、中更新统孔隙潜水含水岩组；</w:t>
      </w:r>
    </w:p>
    <w:p w14:paraId="4C04327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3.第三系上新统孔隙潜水含水岩组。</w:t>
      </w:r>
    </w:p>
    <w:p w14:paraId="234C4EA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（二）碎屑岩类裂隙水含水岩系</w:t>
      </w:r>
    </w:p>
    <w:p w14:paraId="4A4D427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1.三叠系中统裂隙水含水岩组；</w:t>
      </w:r>
    </w:p>
    <w:p w14:paraId="460B5E2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2.三叠系下统、二叠系石千峰组裂隙潜水含水岩组；</w:t>
      </w:r>
    </w:p>
    <w:p w14:paraId="321905B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3.二叠系石盒子组裂隙潜水含水岩组；</w:t>
      </w:r>
    </w:p>
    <w:p w14:paraId="6E8C07D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4.碎屑岩裂隙承压水含水岩组；</w:t>
      </w:r>
    </w:p>
    <w:p w14:paraId="12C4B44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5.石炭系层间裂隙水含水岩组。</w:t>
      </w:r>
    </w:p>
    <w:p w14:paraId="51F0C63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（三）碳酸盐岩类岩溶水含水岩系</w:t>
      </w:r>
    </w:p>
    <w:p w14:paraId="4DA092A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寒武、奥陶系岩溶水含水岩组。</w:t>
      </w:r>
    </w:p>
    <w:p w14:paraId="26F5377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（四）变质岩、火成岩裂隙水含水岩系</w:t>
      </w:r>
    </w:p>
    <w:p w14:paraId="3F751CC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1.太古、元古界裂隙水含水岩组；</w:t>
      </w:r>
    </w:p>
    <w:p w14:paraId="789E052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2.白垩系块状岩裂隙水含水岩组。</w:t>
      </w:r>
    </w:p>
    <w:p w14:paraId="51A39D3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（一）松散岩类孔隙水含水岩系</w:t>
      </w:r>
    </w:p>
    <w:p w14:paraId="7B9A32D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1.第四系全新统河谷冲积层孔隙潜水含水岩组</w:t>
      </w:r>
    </w:p>
    <w:p w14:paraId="14825DE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分布在岚漪河、蔚汾河、南川河、湫水河的河谷地带，含水层由砂、砂砾石组成。按富水性分为：</w:t>
      </w:r>
    </w:p>
    <w:p w14:paraId="4D791C7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（1）水量丰富的河谷冲积层孔隙潜水</w:t>
      </w:r>
    </w:p>
    <w:p w14:paraId="35AFF09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分布在岚漪河魏家滩以下，蔚汾河县城以西，南川河康宁至王家圪埚河段，湫水河东会至阳坡水库段。</w:t>
      </w:r>
    </w:p>
    <w:p w14:paraId="3D89896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（2）中等富水的河谷冲积层孔隙潜水</w:t>
      </w:r>
    </w:p>
    <w:p w14:paraId="670CC0C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主要分布在南川河康宁以上河段较大支沟中，交楼申岚尾河弓家沟以上河段，湫水河东会以上河段，蔚汾河乔家沟至奥家湾、恶虎滩以上河段，河谷较窄，含水层为砂砾石夹粘性土类。</w:t>
      </w:r>
    </w:p>
    <w:p w14:paraId="1414700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（3）水量贫乏的河谷冲积层孔隙潜水</w:t>
      </w:r>
    </w:p>
    <w:p w14:paraId="2536F2C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蔚汾河奥家湾～明通沟，交楼申岚尾河弓家沟～蔚汾河段，由于这两段河床之下为奥陶系灰岩，裂隙、溶洞十分发育。河谷冲积层砂砾石之下无良好的隔水层，孔隙水沿河床大部分漏失掉，使含水层成为透水而不含水岩层。孔隙水含水层含水量极为贫乏。</w:t>
      </w:r>
    </w:p>
    <w:p w14:paraId="5A6F6B4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2.第四系上、中更新统孔隙潜水含水岩组</w:t>
      </w:r>
    </w:p>
    <w:p w14:paraId="1767134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含水岩组以中、上更新统黄土及黄土状亚砂土、亚粘土为主。本岩组分布广泛，多覆于基岩之上。</w:t>
      </w:r>
    </w:p>
    <w:p w14:paraId="38DDF99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上更新统黄土主要分布在山顶、山坡上，在地形上呈梁、茆状或孤岛状。垂直节理发育，具大孔隙，透水性强，隔水性弱，加之纵横交错沟谷发育，含水层呈干枯状态，仅在沟谷的底凹处或下覆有弱透水层时赋存有少量的地下水。</w:t>
      </w:r>
    </w:p>
    <w:p w14:paraId="4E26F7A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中更新统岩性为黄土状亚粘土夹钙质结核层和古土壤层，透水性和隔水性较强。</w:t>
      </w:r>
    </w:p>
    <w:p w14:paraId="4885D1B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3.第三系上新统孔隙潜水含水岩组。</w:t>
      </w:r>
    </w:p>
    <w:p w14:paraId="40F7097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含水层岩性为浅红色粘土、亚粘土夹钙质结核及砂砾石。主要分布在冲沟中及两侧，厚度3～30m。粘土、亚粘土为隔水层，砂砾石为含水层，往往呈透镜状分布。富水程度受地形、地貌条件影响。当含水层分布面积大，接受补给条件好，出水量大。当含水层以红土为主夹很薄的透镜状砂砾石层时，含水量较微弱。</w:t>
      </w:r>
    </w:p>
    <w:p w14:paraId="0377F5C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（二）碎屑岩类裂隙水含水岩系</w:t>
      </w:r>
    </w:p>
    <w:p w14:paraId="7FA1B95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1.三叠系中统裂隙水含水岩组</w:t>
      </w:r>
    </w:p>
    <w:p w14:paraId="09DFD9E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该含水岩组由三叠系中统二马营组、铜川组砂岩夹薄层泥页岩组成。主要分布在蔡家会、贺家会一带。基岩除在沟谷中有出露外，其余均被第四系黄土覆盖。按其富水性划分为：</w:t>
      </w:r>
    </w:p>
    <w:p w14:paraId="0BDC2B8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（1）水量贫乏的三叠系中统砂岩裂隙潜水</w:t>
      </w:r>
    </w:p>
    <w:p w14:paraId="39BAAD3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河流的中游地带，在构造上属于黄河东岸南北向构造带的中部，岩层向西倾斜，在倾斜岩层中发育着走向近南北的小型背斜和向斜构造。在区域地应力的影响下，背、向斜轴部裂隙较发育，利于大气降雨的入渗补给。</w:t>
      </w:r>
    </w:p>
    <w:p w14:paraId="4180557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（2）水量极贫乏的三叠系中统砂岩裂隙潜水</w:t>
      </w:r>
    </w:p>
    <w:p w14:paraId="4F0644A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分布在冲沟两岸或支沟中。一般补给面积小，沟谷狭窄，地形坡度大，裂隙虽然发育，含水较弱。</w:t>
      </w:r>
    </w:p>
    <w:p w14:paraId="58DC7A1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2.三叠系下统、二叠系石千峰组裂隙潜水含水岩组</w:t>
      </w:r>
    </w:p>
    <w:p w14:paraId="348C002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兴县城～蔡家崖南北一线，东西宽约7km。含水层为刘家沟、和尚沟组、石千峰组紫红色及浅红色砂质泥岩夹细砂岩。由于砂岩薄，颗粒细，上下被弱透水的砂质泥岩相隔。裂隙中常常被细粒物质充填，透水含水性较差，不利于降雨及地表水的入渗，沟谷中除雨后瞬间洪水即刻流失，渗入岩层极弱，因而富水性很弱。</w:t>
      </w:r>
    </w:p>
    <w:p w14:paraId="09E1A51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3.二叠系裂隙潜水含水岩组</w:t>
      </w:r>
    </w:p>
    <w:p w14:paraId="297E483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分布在固贤、白家沟南北一线。含水层为石盒子组中细粒砂岩、含砾砂岩。由于砂岩厚度变化较大，颗粒不一，裂隙大小悬殊，发育不均，水量差距较大。在补给条件充沛，而又处于向斜轴部区富水性较强。</w:t>
      </w:r>
    </w:p>
    <w:p w14:paraId="420F9BF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4.碎屑岩裂隙承压水含水岩组</w:t>
      </w:r>
    </w:p>
    <w:p w14:paraId="790BD6B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含水岩层为三叠系、二叠系层间砂岩，顶板埋深30～50m。主要分布在砂页岩地区埋藏在30～200m之间的裂隙发育带。本区处于吕梁山背斜西翼，岩层总的趋势向黄河倾斜。岩层弓状平缓，中深部裂隙发育较弱，含水层透水性差，裂隙间连通性不好，含水层很难以接受侧向补给，因此本区承压含水层富水性比较弱。</w:t>
      </w:r>
    </w:p>
    <w:p w14:paraId="2A4F1B8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5.石炭系层间裂隙水含水岩组</w:t>
      </w:r>
    </w:p>
    <w:p w14:paraId="043E900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分布在车家庄、关家崖、魏家滩、固贤一带。以层间砂岩裂隙含水，砂岩厚度5～15m，局部地段砂页岩中夹薄层石炭岩。地下水类型以弱承压水为主。</w:t>
      </w:r>
    </w:p>
    <w:p w14:paraId="3AD5B75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（三）碳酸盐岩类岩溶水含水岩系</w:t>
      </w:r>
    </w:p>
    <w:p w14:paraId="650C2EC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含水岩层主要为寒武系、奥陶系灰岩、白云质灰岩。本区目前岩溶水的运动方向及富水性还不十分清楚。据资料分析，本区处于保德天桥岩溶水的补给区，推出含水层富水性在100～500m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w:t>
      </w:r>
    </w:p>
    <w:p w14:paraId="291153F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（四）变质岩、火成岩裂隙水含水岩系</w:t>
      </w:r>
    </w:p>
    <w:p w14:paraId="0EAF35F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1.太古、元古界裂隙水含水岩组</w:t>
      </w:r>
    </w:p>
    <w:p w14:paraId="5CB0EA9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高唐山、黑茶山一带，含水层岩性为太古界、元古界花岗岩、花岗片麻岩、角闪片岩、斜长片岩及石英岩。岩层中构造裂隙和分化裂隙发育，并有基性和超基性岩浆岩体、岩脉穿插。裂隙发育深度40～60m，全风化带发育深度在30m左右，利于降雨入渗。雨水沿风化裂隙带运移，在低凹处或沟头、沟底以下降泉形式溢出地表。泉流量10～100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/d，水质很好。</w:t>
      </w:r>
    </w:p>
    <w:p w14:paraId="7847C35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2.白垩系块状岩裂隙水含水岩组</w:t>
      </w:r>
    </w:p>
    <w:p w14:paraId="2C961D2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分布在兴县南部大度山，面积约12.5km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岩性为二长岩、角砾状粗面岩、角砾状响岩。本区在较近期新构造运动的强烈作用下，不断地上升隆起，岩层中裂隙较发育，利于降雨入渗。由于含水层分布面积较小，补给量有限，富水性虽好，地下水储量不多。</w:t>
      </w:r>
    </w:p>
    <w:p w14:paraId="09BC2FA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兴县水文地质图见图2.1-6。</w:t>
      </w:r>
    </w:p>
    <w:p w14:paraId="746B5893">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0528" behindDoc="0" locked="0" layoutInCell="1" allowOverlap="1">
                <wp:simplePos x="0" y="0"/>
                <wp:positionH relativeFrom="column">
                  <wp:posOffset>2690495</wp:posOffset>
                </wp:positionH>
                <wp:positionV relativeFrom="paragraph">
                  <wp:posOffset>5295900</wp:posOffset>
                </wp:positionV>
                <wp:extent cx="3347085" cy="328295"/>
                <wp:effectExtent l="0" t="0" r="5715" b="14605"/>
                <wp:wrapNone/>
                <wp:docPr id="13" name="文本框 13"/>
                <wp:cNvGraphicFramePr/>
                <a:graphic xmlns:a="http://schemas.openxmlformats.org/drawingml/2006/main">
                  <a:graphicData uri="http://schemas.microsoft.com/office/word/2010/wordprocessingShape">
                    <wps:wsp>
                      <wps:cNvSpPr txBox="1"/>
                      <wps:spPr>
                        <a:xfrm>
                          <a:off x="0" y="0"/>
                          <a:ext cx="334708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01EEC">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6</w:t>
                            </w:r>
                            <w:r>
                              <w:rPr>
                                <w:rFonts w:hint="default" w:ascii="Times New Roman" w:hAnsi="Times New Roman" w:cs="Times New Roman"/>
                                <w:b/>
                                <w:sz w:val="24"/>
                                <w:szCs w:val="24"/>
                                <w:lang w:val="en-US" w:eastAsia="zh-CN"/>
                              </w:rPr>
                              <w:t xml:space="preserve">  兴县水文地质图</w:t>
                            </w:r>
                          </w:p>
                          <w:p w14:paraId="6B980C3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85pt;margin-top:417pt;height:25.85pt;width:263.55pt;z-index:251670528;mso-width-relative:page;mso-height-relative:page;" filled="f" stroked="f" coordsize="21600,21600" o:gfxdata="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mSvcAAAACwEAAA8AAAAAAAAAAQAgAAAAIgAA&#10;AGRycy9kb3ducmV2LnhtbFBLAQIUABQAAAAIAIdO4kCNcIuPPQIAAGgEAAAOAAAAAAAAAAEAIAAA&#10;ACsBAABkcnMvZTJvRG9jLnhtbFBLBQYAAAAABgAGAFkBAADaBQAAAAA=&#10;">
                <v:fill on="f" focussize="0,0"/>
                <v:stroke on="f" weight="0.5pt"/>
                <v:imagedata o:title=""/>
                <o:lock v:ext="edit" aspectratio="f"/>
                <v:textbox>
                  <w:txbxContent>
                    <w:p w14:paraId="70601EEC">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6</w:t>
                      </w:r>
                      <w:r>
                        <w:rPr>
                          <w:rFonts w:hint="default" w:ascii="Times New Roman" w:hAnsi="Times New Roman" w:cs="Times New Roman"/>
                          <w:b/>
                          <w:sz w:val="24"/>
                          <w:szCs w:val="24"/>
                          <w:lang w:val="en-US" w:eastAsia="zh-CN"/>
                        </w:rPr>
                        <w:t xml:space="preserve">  兴县水文地质图</w:t>
                      </w:r>
                    </w:p>
                    <w:p w14:paraId="6B980C32"/>
                  </w:txbxContent>
                </v:textbox>
              </v:shape>
            </w:pict>
          </mc:Fallback>
        </mc:AlternateContent>
      </w:r>
      <w:r>
        <w:rPr>
          <w:rFonts w:hint="default" w:ascii="Times New Roman" w:hAnsi="Times New Roman" w:cs="Times New Roman"/>
        </w:rPr>
        <w:drawing>
          <wp:anchor distT="0" distB="0" distL="114300" distR="114300" simplePos="0" relativeHeight="251669504" behindDoc="0" locked="0" layoutInCell="1" allowOverlap="1">
            <wp:simplePos x="0" y="0"/>
            <wp:positionH relativeFrom="column">
              <wp:posOffset>368935</wp:posOffset>
            </wp:positionH>
            <wp:positionV relativeFrom="paragraph">
              <wp:posOffset>-359410</wp:posOffset>
            </wp:positionV>
            <wp:extent cx="8322310" cy="5726430"/>
            <wp:effectExtent l="0" t="0" r="2540" b="7620"/>
            <wp:wrapNone/>
            <wp:docPr id="12" name="图片 8" descr="图2-5 水文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图2-5 水文地质图"/>
                    <pic:cNvPicPr>
                      <a:picLocks noChangeAspect="1"/>
                    </pic:cNvPicPr>
                  </pic:nvPicPr>
                  <pic:blipFill>
                    <a:blip r:embed="rId20"/>
                    <a:srcRect l="9105" t="10776" r="13512" b="13782"/>
                    <a:stretch>
                      <a:fillRect/>
                    </a:stretch>
                  </pic:blipFill>
                  <pic:spPr>
                    <a:xfrm>
                      <a:off x="0" y="0"/>
                      <a:ext cx="8322310" cy="5726430"/>
                    </a:xfrm>
                    <a:prstGeom prst="rect">
                      <a:avLst/>
                    </a:prstGeom>
                    <a:noFill/>
                    <a:ln>
                      <a:noFill/>
                    </a:ln>
                  </pic:spPr>
                </pic:pic>
              </a:graphicData>
            </a:graphic>
          </wp:anchor>
        </w:drawing>
      </w:r>
    </w:p>
    <w:p w14:paraId="0E384336">
      <w:pPr>
        <w:pStyle w:val="5"/>
        <w:spacing w:line="560" w:lineRule="exact"/>
        <w:ind w:firstLine="0" w:firstLineChars="0"/>
        <w:rPr>
          <w:rFonts w:hint="default" w:ascii="Times New Roman" w:hAnsi="Times New Roman" w:eastAsia="仿宋" w:cs="Times New Roman"/>
          <w:bCs/>
          <w:color w:val="auto"/>
          <w:kern w:val="2"/>
          <w:lang w:val="en-US" w:eastAsia="zh-CN"/>
        </w:rPr>
      </w:pPr>
      <w:bookmarkStart w:id="39" w:name="_Toc26994"/>
      <w:r>
        <w:rPr>
          <w:rFonts w:hint="default" w:ascii="Times New Roman" w:hAnsi="Times New Roman" w:eastAsia="仿宋" w:cs="Times New Roman"/>
          <w:bCs/>
          <w:color w:val="auto"/>
          <w:kern w:val="2"/>
          <w:lang w:val="en-US" w:eastAsia="zh-CN"/>
        </w:rPr>
        <w:t>2.1.4.3天桥泉域</w:t>
      </w:r>
    </w:p>
    <w:p w14:paraId="7CD4B15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天桥泉域是岩溶水出露于黄河东岸，可见泉水主要有四处：天桥大坝南孙家沟至铁匠铺一带，泉水流量3.0m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/s；铺沟泉，流量0.5m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/s；龙口地区，泉水流量0.52m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/s；老牛湾地区，流量2.49m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/s。泉水出露总量为6.51m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/s，大部分于黄河水下溢出。</w:t>
      </w:r>
    </w:p>
    <w:p w14:paraId="17FEE1F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岩溶水水质类型为HCO</w:t>
      </w:r>
      <w:r>
        <w:rPr>
          <w:rFonts w:hint="default" w:ascii="Times New Roman" w:hAnsi="Times New Roman" w:eastAsia="仿宋" w:cs="Times New Roman"/>
          <w:bCs/>
          <w:color w:val="auto"/>
          <w:sz w:val="28"/>
          <w:szCs w:val="28"/>
          <w:vertAlign w:val="subscript"/>
          <w:lang w:val="en-US" w:eastAsia="zh-CN"/>
        </w:rPr>
        <w:t>3</w:t>
      </w:r>
      <w:r>
        <w:rPr>
          <w:rFonts w:hint="default" w:ascii="Times New Roman" w:hAnsi="Times New Roman" w:eastAsia="仿宋" w:cs="Times New Roman"/>
          <w:bCs/>
          <w:color w:val="auto"/>
          <w:sz w:val="28"/>
          <w:szCs w:val="28"/>
          <w:lang w:val="en-US" w:eastAsia="zh-CN"/>
        </w:rPr>
        <w:t>-Ca</w:t>
      </w:r>
      <w:r>
        <w:rPr>
          <w:rFonts w:hint="default" w:ascii="Times New Roman" w:hAnsi="Times New Roman" w:eastAsia="微软雅黑" w:cs="Times New Roman"/>
          <w:bCs/>
          <w:color w:val="auto"/>
          <w:sz w:val="28"/>
          <w:szCs w:val="28"/>
          <w:lang w:val="en-US" w:eastAsia="zh-CN"/>
        </w:rPr>
        <w:t>·</w:t>
      </w:r>
      <w:r>
        <w:rPr>
          <w:rFonts w:hint="default" w:ascii="Times New Roman" w:hAnsi="Times New Roman" w:eastAsia="仿宋" w:cs="Times New Roman"/>
          <w:bCs/>
          <w:color w:val="auto"/>
          <w:sz w:val="28"/>
          <w:szCs w:val="28"/>
          <w:lang w:val="en-US" w:eastAsia="zh-CN"/>
        </w:rPr>
        <w:t>Mg型水，总硬度小于270mg/l，矿化度小于500mg/l，pH值7.3～8.0。按国家生活饮用水（GB5749-85）标准和工业用水标准，分别进行评价，属水质较好的地下水，符合生活饮用水标准。属锅垢少、软硬垢、不起泡或半起泡、非腐蚀性淡水，符合锅炉用水标准。加之温度较低，是良好的冷却用水。</w:t>
      </w:r>
    </w:p>
    <w:p w14:paraId="61E3AA5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分布于晋、陕、蒙接壤地区黄河谷地两岸，南北长200km，东西宽100km，辖山西省河曲县、偏关县、保德县、神池县、五寨县、岢岚县、兴县；内蒙古自治区准格尔旗、清水河县；陕西省府谷县、神木县。跨三省（区）11个县（旗）。</w:t>
      </w:r>
    </w:p>
    <w:p w14:paraId="2E47572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位于吕梁山西侧晋陕黄土高原背部，地势东高西低，南北高中间低，东部管岑山和芦芽山，海拔1500-2000m，最高点荷叶坪2783.8m，中西部以中低山和丘陵为主，沟谷纵横，地形破碎，地势由东向西缓倾。黄河流经岩溶地层的河谷多为峡谷，两岸地表多被覆盖，受侵蚀切割，形成北西或东西向沟壑，地表黄土为梁峁地形，西侧冲沟呈树枝状，切入基岩，沟深、床窄、坡陡。洪水泄流湍急，植被稀少，水土流失严重。</w:t>
      </w:r>
    </w:p>
    <w:p w14:paraId="5A491BF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泉域属黄河水系。黄河自内蒙古喇嘛湾（海拔983m）流入泉域区内，自北而南纵贯中西部，于府谷县林泉峪（海拔780m）流出区外，流长190km，多年平均流量787～823m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/s。黄河是区内地表水、地下水的排泄基准面，严格控制了区内水文网的分布。</w:t>
      </w:r>
    </w:p>
    <w:p w14:paraId="3B7EDDE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泉域属半干旱大陆性气候，干旱、少雨、多风沙，年平均降水量394.9mm。</w:t>
      </w:r>
    </w:p>
    <w:p w14:paraId="7B41344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地层出露较全。由老到新均有出露，与岩溶直接相关的寒武、奥陶系地层，以灰岩、白云质灰岩、白云岩、竹叶状灰岩、泥质灰岩组成。为一套巨厚的多层复合的含水结构体，总厚728～923m。以裂隙和溶蚀裂隙为主，局部溶洞发育，白云岩类以溶孔、孔洞为主，形成一套以构造裂隙、溶蚀裂隙、溶孔、溶洞组成的含水系统。其富水性单井涌水量北部及补给区500～1000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/d，龙口地区1000～5000m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/d，天桥地区大于5000m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/d。岩溶水主要接受降水入渗补给，由北、东、南三面向黄河谷地汇流，于灰岩河段排泄。</w:t>
      </w:r>
    </w:p>
    <w:p w14:paraId="2B55273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泉域范围</w:t>
      </w:r>
    </w:p>
    <w:p w14:paraId="579FA62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北部边界：中西段以寒武、奥陶系碳酸盐岩地层剥蚀尖灭带为界。东段和东北部以太古界花岗岩隆起区为界。在我省部分则以与内蒙古自治区行政边界为界。自西向东由老牛湾-水泉-杨家窑。</w:t>
      </w:r>
    </w:p>
    <w:p w14:paraId="5C5C1A5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东部边界：北段以断层及黑驼山地表分水岭为界，中段以地下分水岭与神头泉域为界，自北向南由杨家窑-刘家窑-下水头-暖崖东-大严备-义井镇-油梁沟。南段以地表分水岭与雷鸣寺泉域为界，自北向南由大东沟-黄草梁。</w:t>
      </w:r>
    </w:p>
    <w:p w14:paraId="11E7F4A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东南及南部边界：以芦芽山背斜轴部，地表分水岭为界，自北向南由芦芽山（2722m）-和尚泉-野鸡山-板楞山（2206m）-黑茶山（2203m）。</w:t>
      </w:r>
    </w:p>
    <w:p w14:paraId="7F97204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西部边界：南段以奥陶系灰岩顶板埋深800m（标高200m）线为阻水边界。中段以黄莆-高石崖挠曲和田家石板张扭性断裂作为阻水边界。北段以奥陶系灰岩顶板埋深800m（标高400m）线为阻水边界。在我省部分自老牛湾-保德则以黄河与内蒙、陕西为界；南段自北向南由保德城西-白家沟东-兴县城-黑茶山西一线为界。</w:t>
      </w:r>
    </w:p>
    <w:p w14:paraId="4681E37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泉域总面积13974km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，其中可溶岩裸露面积为4404km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，主要分布在泉域的东北部与南部地区，占泉域面积的31.52%。山西省泉域面积10192km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，裸露可溶岩面积3422km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，忻州地区分别为8620km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和3228km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。陕西省、内蒙古自治区泉域面积共为3782km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3E181E0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重点保护区范围</w:t>
      </w:r>
    </w:p>
    <w:p w14:paraId="3AE4D9D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河曲龙口（电厂）水源地：位于龙口梁家碛-马连口村之间黄河南岸河漫滩地带。距河曲县城14km，距即将兴建的河曲电厂厂址大东滩10km。东自龙口东院村以东500m，西至马连口村西500m，北以黄河现代河床为界，南以二叠系地层出露边界为界，面积约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61A3453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保德铁匠铺（电厂）水源地：位于铁匠铺村西北黄河滩上，南距保德县城6km，东以二叠系地层出露边界为界，西以黄河现代河床为界，北距天桥大坝250m为界，南至天桥地堑为界，面积约1km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58F33B4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兴县县域东北部位于天桥泉域范围内，但不涉及重点保护区。天桥泉域图见图2.1-7所示。</w:t>
      </w:r>
    </w:p>
    <w:p w14:paraId="17141B02">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4624" behindDoc="0" locked="0" layoutInCell="1" allowOverlap="1">
                <wp:simplePos x="0" y="0"/>
                <wp:positionH relativeFrom="column">
                  <wp:posOffset>1064895</wp:posOffset>
                </wp:positionH>
                <wp:positionV relativeFrom="paragraph">
                  <wp:posOffset>8551545</wp:posOffset>
                </wp:positionV>
                <wp:extent cx="3347085" cy="32829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34708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B2EFE">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7</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sz w:val="24"/>
                                <w:szCs w:val="24"/>
                                <w:lang w:val="en-US" w:eastAsia="zh-CN"/>
                              </w:rPr>
                              <w:t>天桥泉域图</w:t>
                            </w:r>
                          </w:p>
                          <w:p w14:paraId="5B6BBDA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5pt;margin-top:673.35pt;height:25.85pt;width:263.55pt;z-index:251674624;mso-width-relative:page;mso-height-relative:page;" filled="f" stroked="f" coordsize="21600,21600" o:gfxdata="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&#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tv7n9sAAAANAQAADwAAAAAAAAABACAAAAAiAAAA&#10;ZHJzL2Rvd25yZXYueG1sUEsBAhQAFAAAAAgAh07iQBqUQc89AgAAaAQAAA4AAAAAAAAAAQAgAAAA&#10;KgEAAGRycy9lMm9Eb2MueG1sUEsFBgAAAAAGAAYAWQEAANkFAAAAAA==&#10;">
                <v:fill on="f" focussize="0,0"/>
                <v:stroke on="f" weight="0.5pt"/>
                <v:imagedata o:title=""/>
                <o:lock v:ext="edit" aspectratio="f"/>
                <v:textbox>
                  <w:txbxContent>
                    <w:p w14:paraId="4AAB2EFE">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7</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sz w:val="24"/>
                          <w:szCs w:val="24"/>
                          <w:lang w:val="en-US" w:eastAsia="zh-CN"/>
                        </w:rPr>
                        <w:t>天桥泉域图</w:t>
                      </w:r>
                    </w:p>
                    <w:p w14:paraId="5B6BBDAE"/>
                  </w:txbxContent>
                </v:textbox>
              </v:shape>
            </w:pict>
          </mc:Fallback>
        </mc:AlternateContent>
      </w:r>
      <w:r>
        <w:rPr>
          <w:rFonts w:hint="default" w:ascii="Times New Roman" w:hAnsi="Times New Roman" w:cs="Times New Roman"/>
        </w:rPr>
        <w:drawing>
          <wp:anchor distT="0" distB="0" distL="114300" distR="114300" simplePos="0" relativeHeight="251671552" behindDoc="0" locked="0" layoutInCell="1" allowOverlap="1">
            <wp:simplePos x="0" y="0"/>
            <wp:positionH relativeFrom="column">
              <wp:posOffset>-514350</wp:posOffset>
            </wp:positionH>
            <wp:positionV relativeFrom="paragraph">
              <wp:posOffset>-196215</wp:posOffset>
            </wp:positionV>
            <wp:extent cx="6296660" cy="8846820"/>
            <wp:effectExtent l="0" t="0" r="8890" b="11430"/>
            <wp:wrapNone/>
            <wp:docPr id="14" name="图片 9" descr="图2-6 天桥泉域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图2-6 天桥泉域副本"/>
                    <pic:cNvPicPr>
                      <a:picLocks noChangeAspect="1"/>
                    </pic:cNvPicPr>
                  </pic:nvPicPr>
                  <pic:blipFill>
                    <a:blip r:embed="rId21"/>
                    <a:srcRect b="6993"/>
                    <a:stretch>
                      <a:fillRect/>
                    </a:stretch>
                  </pic:blipFill>
                  <pic:spPr>
                    <a:xfrm>
                      <a:off x="0" y="0"/>
                      <a:ext cx="6296660" cy="8846820"/>
                    </a:xfrm>
                    <a:prstGeom prst="rect">
                      <a:avLst/>
                    </a:prstGeom>
                    <a:noFill/>
                    <a:ln>
                      <a:noFill/>
                    </a:ln>
                  </pic:spPr>
                </pic:pic>
              </a:graphicData>
            </a:graphic>
          </wp:anchor>
        </w:drawing>
      </w:r>
    </w:p>
    <w:p w14:paraId="6010EE6B">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2.1.4.4水资源</w:t>
      </w:r>
    </w:p>
    <w:p w14:paraId="77F37C1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地表水和地下浅层水总量为1.6亿立方米，黄河流经兴县82公里，年径流量293亿立方米。主要河流：岚漪河，流经兴县28.5公里；蔚汾河，流经兴县55公里；湫水河，流经兴县26公里。上述三条河流均属于黄河一级支流。南川河，流经兴县56.3公里，属于黄河二级支流。小型以上水库三座：天古崖水库，总库容2309万立方米；明通沟水库，总库容954万立方米；阁老湾水库，总库容1060万立方米。共有淤地坝268座，其中：骨干坝32座，中坝19座。共有水地6.5万亩。人畜安全饮水工程建设情况，截止2011年12月底，累计完成687处，其中提水工程506处、引水工程160处、蓄水工程21处；总投资9175万元，为715个自然村的24.016万人和3.13头大畜解决了饮水困难。</w:t>
      </w:r>
    </w:p>
    <w:p w14:paraId="1F2DE03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兴县地下水资源图见图2.1-8。</w:t>
      </w:r>
    </w:p>
    <w:p w14:paraId="735D44B3">
      <w:pPr>
        <w:pStyle w:val="27"/>
        <w:tabs>
          <w:tab w:val="right" w:leader="dot" w:pos="8313"/>
        </w:tabs>
        <w:adjustRightInd w:val="0"/>
        <w:snapToGrid w:val="0"/>
        <w:spacing w:line="560" w:lineRule="exact"/>
        <w:ind w:firstLine="600" w:firstLineChars="200"/>
        <w:rPr>
          <w:rFonts w:hint="default" w:ascii="Times New Roman" w:hAnsi="Times New Roman" w:eastAsia="仿宋" w:cs="Times New Roman"/>
          <w:bCs w:val="0"/>
          <w:color w:val="auto"/>
          <w:kern w:val="0"/>
          <w:sz w:val="30"/>
          <w:szCs w:val="30"/>
          <w:lang w:val="en-US" w:eastAsia="zh-CN"/>
        </w:rPr>
        <w:sectPr>
          <w:pgSz w:w="11906" w:h="16838"/>
          <w:pgMar w:top="1440" w:right="1800" w:bottom="1440" w:left="1800" w:header="851" w:footer="992" w:gutter="0"/>
          <w:pgNumType w:fmt="numberInDash"/>
          <w:cols w:space="425" w:num="1"/>
          <w:docGrid w:type="lines" w:linePitch="312" w:charSpace="0"/>
        </w:sectPr>
      </w:pPr>
    </w:p>
    <w:p w14:paraId="4EEC1764">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val="0"/>
          <w:color w:val="auto"/>
          <w:kern w:val="0"/>
          <w:sz w:val="30"/>
          <w:szCs w:val="30"/>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5648" behindDoc="0" locked="0" layoutInCell="1" allowOverlap="1">
                <wp:simplePos x="0" y="0"/>
                <wp:positionH relativeFrom="column">
                  <wp:posOffset>2764155</wp:posOffset>
                </wp:positionH>
                <wp:positionV relativeFrom="paragraph">
                  <wp:posOffset>5260340</wp:posOffset>
                </wp:positionV>
                <wp:extent cx="3347085" cy="32829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34708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534C92">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8</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sz w:val="24"/>
                                <w:szCs w:val="24"/>
                                <w:lang w:val="en-US" w:eastAsia="zh-CN"/>
                              </w:rPr>
                              <w:t>兴县地下水资源图</w:t>
                            </w:r>
                          </w:p>
                          <w:p w14:paraId="6490F21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65pt;margin-top:414.2pt;height:25.85pt;width:263.55pt;z-index:251675648;mso-width-relative:page;mso-height-relative:page;" filled="f" stroked="f" coordsize="21600,21600" o:gfxdata="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UyTbdsAAAALAQAADwAAAAAAAAABACAAAAAiAAAA&#10;ZHJzL2Rvd25yZXYueG1sUEsBAhQAFAAAAAgAh07iQF0zlUg9AgAAaAQAAA4AAAAAAAAAAQAgAAAA&#10;KgEAAGRycy9lMm9Eb2MueG1sUEsFBgAAAAAGAAYAWQEAANkFAAAAAA==&#10;">
                <v:fill on="f" focussize="0,0"/>
                <v:stroke on="f" weight="0.5pt"/>
                <v:imagedata o:title=""/>
                <o:lock v:ext="edit" aspectratio="f"/>
                <v:textbox>
                  <w:txbxContent>
                    <w:p w14:paraId="0A534C92">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8</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sz w:val="24"/>
                          <w:szCs w:val="24"/>
                          <w:lang w:val="en-US" w:eastAsia="zh-CN"/>
                        </w:rPr>
                        <w:t>兴县地下水资源图</w:t>
                      </w:r>
                    </w:p>
                    <w:p w14:paraId="6490F21A"/>
                  </w:txbxContent>
                </v:textbox>
              </v:shape>
            </w:pict>
          </mc:Fallback>
        </mc:AlternateContent>
      </w:r>
      <w:r>
        <w:rPr>
          <w:rFonts w:hint="default" w:ascii="Times New Roman" w:hAnsi="Times New Roman" w:cs="Times New Roman"/>
        </w:rPr>
        <w:drawing>
          <wp:anchor distT="0" distB="0" distL="114300" distR="114300" simplePos="0" relativeHeight="251672576" behindDoc="0" locked="0" layoutInCell="1" allowOverlap="1">
            <wp:simplePos x="0" y="0"/>
            <wp:positionH relativeFrom="column">
              <wp:posOffset>612775</wp:posOffset>
            </wp:positionH>
            <wp:positionV relativeFrom="paragraph">
              <wp:posOffset>-640715</wp:posOffset>
            </wp:positionV>
            <wp:extent cx="7763510" cy="5895975"/>
            <wp:effectExtent l="0" t="0" r="8890" b="9525"/>
            <wp:wrapNone/>
            <wp:docPr id="15" name="图片 10" descr="图2-5 地下水资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图2-5 地下水资源图"/>
                    <pic:cNvPicPr>
                      <a:picLocks noChangeAspect="1"/>
                    </pic:cNvPicPr>
                  </pic:nvPicPr>
                  <pic:blipFill>
                    <a:blip r:embed="rId22"/>
                    <a:srcRect l="11037" t="8775" r="11743" b="8133"/>
                    <a:stretch>
                      <a:fillRect/>
                    </a:stretch>
                  </pic:blipFill>
                  <pic:spPr>
                    <a:xfrm>
                      <a:off x="0" y="0"/>
                      <a:ext cx="7763510" cy="5895975"/>
                    </a:xfrm>
                    <a:prstGeom prst="rect">
                      <a:avLst/>
                    </a:prstGeom>
                    <a:noFill/>
                    <a:ln>
                      <a:noFill/>
                    </a:ln>
                  </pic:spPr>
                </pic:pic>
              </a:graphicData>
            </a:graphic>
          </wp:anchor>
        </w:drawing>
      </w:r>
    </w:p>
    <w:p w14:paraId="226E9A76">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2.1.4.5</w:t>
      </w:r>
      <w:bookmarkEnd w:id="39"/>
      <w:r>
        <w:rPr>
          <w:rFonts w:hint="default" w:ascii="Times New Roman" w:hAnsi="Times New Roman" w:eastAsia="仿宋" w:cs="Times New Roman"/>
          <w:bCs/>
          <w:color w:val="auto"/>
          <w:kern w:val="2"/>
          <w:lang w:val="en-US" w:eastAsia="zh-CN"/>
        </w:rPr>
        <w:t>水源地</w:t>
      </w:r>
    </w:p>
    <w:p w14:paraId="598684C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（1）县级以上城镇集中式饮用水水源地</w:t>
      </w:r>
    </w:p>
    <w:p w14:paraId="7693598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兴县县级以上城镇集中式饮用水水源地有兴县乔家沟水源地、兴县原家坪水源地、兴县河校水源地。</w:t>
      </w:r>
    </w:p>
    <w:p w14:paraId="57ACAFE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兴县乔家沟水源地位于蔚汾镇，设有一个取水口，东经111.162°，北纬38.560°，一级保护区范围为0.15km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，未设置二级保护区。</w:t>
      </w:r>
    </w:p>
    <w:p w14:paraId="0186DA7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兴县原家坪水源地位于蔚汾镇，设有一个取水口，东经111.149°，北纬38.556°，一级保护区范围为0.15km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，未设置二级保护区。</w:t>
      </w:r>
    </w:p>
    <w:p w14:paraId="2A2E773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兴县河校水源地位于蔚汾镇，设有一个取水口，东经111.157°，北纬38.558°，一级保护区范围为0.15km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，未设置二级保护区。</w:t>
      </w:r>
    </w:p>
    <w:p w14:paraId="05D083D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（2）乡镇饮用水源地</w:t>
      </w:r>
    </w:p>
    <w:p w14:paraId="78EAF60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全县采用集中供水的16个乡镇均设有1处集中供水工程，均为地下水型水源地。其中魏家滩镇、瓦塘镇、罗峪口镇恶虎滩镇、东会乡、奥家湾乡、蔡家崖乡各有供水井1眼；康宁镇、孟家坪乡、圪垯上乡为引水集中供水工程；蔡家会镇、贺家会乡各有供水井2眼；高家村镇、交楼申乡、赵家坪乡各有1眼供水井，同时还有引泉水集中供水工程；固贤乡为截浅流工程。</w:t>
      </w:r>
    </w:p>
    <w:p w14:paraId="7923F89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1）魏家滩镇集中供水水源</w:t>
      </w:r>
    </w:p>
    <w:p w14:paraId="6B545B9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魏家滩镇水源地位于斜沟村斜沟煤矿东边，坐标为东经110°08'21.80"，北纬38°40'27.79"，地面标高973m，井深117.97m，静水位=62m，动水位=64m，涌水量470m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/d。一级保护区半径R为69m的圆形区域，保护区周长为0.4333km，面积为0.0149km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3454206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2）瓦塘镇集中供水水源</w:t>
      </w:r>
    </w:p>
    <w:p w14:paraId="1D97978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瓦塘镇水源地位于乡政府大门外，坐标为东经110°59'32.1"，北纬38°38'31.2"，井口标高871m，井深13m，静水位=8.5m，动水位=9.2m，涌水量30m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/d。一级保护区半径R为100m的圆形区域，保护区周长为0.62831km，面积为0.03141km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。二级保护区以供水井为中心，上游1500m，下游500m，保护区周长为4.62km，面积为0.593km</w:t>
      </w:r>
      <w:r>
        <w:rPr>
          <w:rFonts w:hint="default" w:ascii="Times New Roman" w:hAnsi="Times New Roman" w:eastAsia="仿宋" w:cs="Times New Roman"/>
          <w:bCs/>
          <w:color w:val="auto"/>
          <w:sz w:val="28"/>
          <w:szCs w:val="28"/>
          <w:vertAlign w:val="superscript"/>
          <w:lang w:val="en-US" w:eastAsia="zh-CN"/>
        </w:rPr>
        <w:t>2</w:t>
      </w:r>
    </w:p>
    <w:p w14:paraId="32FAC99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3）康宁镇集中供水水源</w:t>
      </w:r>
    </w:p>
    <w:p w14:paraId="1C69CF0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康宁镇水源地位于南川河上游支沟中，坐标为东经111°4'19.55"，北纬38°18'40.76"，涌水量7-15m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/d。一级保护区半径R为50m的圆形区域，保护区周长为0.314km，面积为0.00785km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4F50D71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4）高家镇集中供水水源</w:t>
      </w:r>
    </w:p>
    <w:p w14:paraId="2D3A827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高家镇水源地位于寨子沟忻黑公路旁边，坐标为东经110°59'33.54"、110°58'59.47"，北纬38°29'16.92"、38°29'16.54"，井口标高871m，静水位=7m，动水位=8m，涌水量20-40m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/d。一级保护区半径R为50、100m的圆形区域，保护区周长为0.31415、0.62831km，面积为0.00785、0.03141km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。二级保护区以供水井为中心，上游1500m，下游500m，保护区周长为4.8km，面积为0.8km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1B9E35C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5）罗峪口镇集中供水水源</w:t>
      </w:r>
    </w:p>
    <w:p w14:paraId="325B89C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罗峪口镇水源地位于罗峪河河口，黄河旁，坐标为东经110°45'13.20"，北纬38°23'11.04"，井深12m，井口标高774m，静水位=7m，动水位=9m，涌水量50m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/d。一级保护区半径R为100m的圆形区域，保护区周长为0.62831km，面积为0.03141km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。二级保护区以供水井为中心，上游1500m，下游500m，保护区周长为4.8km，面积为0.8km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537B863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6）蔡家会镇集中供水水源</w:t>
      </w:r>
    </w:p>
    <w:p w14:paraId="405B5C5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蔡家会镇水源地位于乡政府东南面的芦山偃沟，坐标为东经110°43'34.08"、110°44'1.03"，北纬38°11'33.90"、38°11'29.86"，井深15、6m，井口标高1000、1022m，静水位=13、4m，动水位=14、5m，涌水量40、20m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/d。一级保护区保护区周长为0.62831、0.31415km，面积为0.03141、0.00785km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。二级保护区以供水井为中心，上游1500m，下游500m，垂直水流方向左右两侧各200m，垂直水流方向以供水井为中心的不规则多边形为二级保护区边界，保护区周长为4.8、2.4km，面积为0.8、0.2km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126C8FF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7）交楼申乡集中供水水源</w:t>
      </w:r>
    </w:p>
    <w:p w14:paraId="26F0170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交楼申乡水源地位于交楼申河上游乡政府西北，坐标为东经110°18'16.67"、110°17'27.74"，北纬38°21'11.77"、38°22'24.85"，井深8m，井口标高1302m，静水位=5m，动水位=7m，涌水量90、20m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/d。一级保护区半径R为50、100m的圆形区域，保护区周长为0.31415、0.62831km，面积为0.00785、0.03141km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。二级保护区以供水井为中心，上游1500m，下游500m，垂直水流方向左右两侧各200m不规则多边形为二级保护区边界，保护区周长为4.8km，面积为0.8km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10798D2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8）恶虎滩乡集中供水水源</w:t>
      </w:r>
    </w:p>
    <w:p w14:paraId="30E99AD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恶虎滩乡水源地位于忻黑公路北侧，坐标为东经111°19'14.52"，北纬38°32'15.96"，井深8m，井口标高1279m，静水位=2m，动水位=3m，涌水量20m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/d。一级保护区半径R为100m的圆形区域，保护区周长为0.62831km，面积为0.03141km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。二级保护区以供水井为中心，上游1500m，下游500m，垂直水流方向左右两侧各200m，垂直水流方向以供水井为中心的不规则多边形为二级保护区边界，保护区周长为4.8km，面积为0.8km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7A274AF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9）东会乡集中供水水源</w:t>
      </w:r>
    </w:p>
    <w:p w14:paraId="2748866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东会乡水源地位于二青山山脚，坐标为东经111°17'12.18"，北纬38°12'13.32"，井深9m，井口标高1382m，静水位=1m，动水位=2.5m，涌水量75m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/d。一级保护区半径R为100m的圆形区域，保护区周长为0.62831km，面积为0.03141km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。二级保护区以供水井为中心，上游1500m，下游500m，垂直水流方向左右两侧各200m，垂直水流方向以供水井为中心的不规则多边形为二级保护区边界，保护区周长为4.8km，面积为0.8km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420769F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10）固贤乡集中供水水源</w:t>
      </w:r>
    </w:p>
    <w:p w14:paraId="4FA71B9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固贤乡水源地位于南川河上游，坐标为东经111°10'33.36"，北纬38°17'0.18"，涌水量70m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/d。一级保护区半径R为风水岭边界，保护区周长为2.191km，面积为0.318km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2F40AF0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11）奥家湾乡集中供水水源</w:t>
      </w:r>
    </w:p>
    <w:p w14:paraId="4ED9F54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奥家湾乡水源地位于忻黑公路，坐标为东经111°13'26.43"，北纬38°28'16.42"，井深260.01m，井口标高1090m，静水位=142m，动水位=141.4m，涌水量165m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/d。一级保护区半径R为40m的圆形区域，保护区周长为0.25132km，面积为0.00502km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5CB4BE6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12）蔡家崖乡集中供水水源</w:t>
      </w:r>
    </w:p>
    <w:p w14:paraId="3CE4CD5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蔡家崖乡水源地位于蔚汾河岸边，坐标为东经110°1'35.86"，北纬38°28'13.84"，井深12m，井口标高916m，静水位=10m，动水位=11m，涌水量70m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/d。一级保护区半径R为100m的圆形区域，保护区周长为0.62831km，面积为0.03141km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。二级保护区以供水井为中心，上游1500m，下游500m，垂直水流方向左右两侧各500m的不规则多边形为二级保护区边界，保护区周长为6km，面积为2km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510C745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13）贺家会乡集中供水水源</w:t>
      </w:r>
    </w:p>
    <w:p w14:paraId="4C40481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贺家会乡水源地位于罗峪口河上游，坐标为东经110°55'5.64"、110°55'14.93"，北纬38°13'28.86"、38°13'56.41"，井深5m，井口标高1062、1062m，静水位=4、4m，动水位=5、5m，涌水量40、40m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/d。一级保护区半径R为100、100m的圆形区域，保护区周长为0.62831、0.62831km，面积为0.03141、0.03141km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。二级保护区以供水井为中心，上游1500m，下游500m，垂直水流方向左右两侧各100m，垂直水流方向以供水井为中心的不规则多边形为二级保护区边界，保护区周长为3.126、1.695km，面积为0.27、0.12km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7509E71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14）孟家坪乡集中供水水源</w:t>
      </w:r>
    </w:p>
    <w:p w14:paraId="72DF7CD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孟家坪乡水源地位于孟家坪沟上游，坐标为东经110°59'21.06"，北纬38°20'0.42"，涌水量15-30m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/d。一级保护区半径R为50m的圆形区域，保护区周长为0.31415km，面积为0.00785km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05FC30E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15）赵家坪乡集中供水水源</w:t>
      </w:r>
    </w:p>
    <w:p w14:paraId="62CFCD1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赵家坪乡水源地位于臭水沟下游，坐标为东经110°52'4.62"、110°51'35.82"，北纬38°21'18.84"、38°21'12.48"，井深6.0m，井口标高877m，静水位=5m，动水位=6m，涌水量30、20m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/d。一级保护区半径R为50、100m的圆形区域，保护区周长为0.31415、0.62831km，面积为0.00785、0.03141km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。二级保护区以供水井的风水岭边界为二级保护区边界，保护区周长为2.583km，面积为0.37km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114ADE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16）圪垯乡集中供水水源</w:t>
      </w:r>
    </w:p>
    <w:p w14:paraId="606F4F8C">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圪垯乡水源地位于芦山偃沟中下游，坐标为东经110°39'34.08"，北纬38°13'30.84"，涌水量20-30m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/d。一级保护区半径R为50m的圆形区域，保护区周长为0.31415km，面积为0.00785km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04B762A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兴县饮用水源地分布图见图2.1-9。</w:t>
      </w:r>
    </w:p>
    <w:p w14:paraId="62FDD3D2">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6672" behindDoc="0" locked="0" layoutInCell="1" allowOverlap="1">
                <wp:simplePos x="0" y="0"/>
                <wp:positionH relativeFrom="column">
                  <wp:posOffset>2764155</wp:posOffset>
                </wp:positionH>
                <wp:positionV relativeFrom="paragraph">
                  <wp:posOffset>5260340</wp:posOffset>
                </wp:positionV>
                <wp:extent cx="3347085" cy="32829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34708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906B1">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9</w:t>
                            </w:r>
                            <w:r>
                              <w:rPr>
                                <w:rFonts w:hint="default" w:ascii="Times New Roman" w:hAnsi="Times New Roman" w:cs="Times New Roman"/>
                                <w:b/>
                                <w:sz w:val="24"/>
                                <w:szCs w:val="24"/>
                                <w:lang w:val="en-US" w:eastAsia="zh-CN"/>
                              </w:rPr>
                              <w:t xml:space="preserve">  兴县饮用水源地分布图</w:t>
                            </w:r>
                          </w:p>
                          <w:p w14:paraId="51588A9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65pt;margin-top:414.2pt;height:25.85pt;width:263.55pt;z-index:251676672;mso-width-relative:page;mso-height-relative:page;" filled="f" stroked="f" coordsize="21600,21600" o:gfxdata="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VMk23bAAAACwEAAA8AAAAAAAAAAQAgAAAAIgAA&#10;AGRycy9kb3ducmV2LnhtbFBLAQIUABQAAAAIAIdO4kB31RUYPgIAAGgEAAAOAAAAAAAAAAEAIAAA&#10;ACoBAABkcnMvZTJvRG9jLnhtbFBLBQYAAAAABgAGAFkBAADaBQAAAAA=&#10;">
                <v:fill on="f" focussize="0,0"/>
                <v:stroke on="f" weight="0.5pt"/>
                <v:imagedata o:title=""/>
                <o:lock v:ext="edit" aspectratio="f"/>
                <v:textbox>
                  <w:txbxContent>
                    <w:p w14:paraId="164906B1">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9</w:t>
                      </w:r>
                      <w:r>
                        <w:rPr>
                          <w:rFonts w:hint="default" w:ascii="Times New Roman" w:hAnsi="Times New Roman" w:cs="Times New Roman"/>
                          <w:b/>
                          <w:sz w:val="24"/>
                          <w:szCs w:val="24"/>
                          <w:lang w:val="en-US" w:eastAsia="zh-CN"/>
                        </w:rPr>
                        <w:t xml:space="preserve">  兴县饮用水源地分布图</w:t>
                      </w:r>
                    </w:p>
                    <w:p w14:paraId="51588A97"/>
                  </w:txbxContent>
                </v:textbox>
              </v:shape>
            </w:pict>
          </mc:Fallback>
        </mc:AlternateContent>
      </w:r>
      <w:r>
        <w:rPr>
          <w:rFonts w:hint="default" w:ascii="Times New Roman" w:hAnsi="Times New Roman" w:cs="Times New Roman"/>
        </w:rPr>
        <w:drawing>
          <wp:anchor distT="0" distB="0" distL="114300" distR="114300" simplePos="0" relativeHeight="251673600" behindDoc="0" locked="0" layoutInCell="1" allowOverlap="1">
            <wp:simplePos x="0" y="0"/>
            <wp:positionH relativeFrom="column">
              <wp:posOffset>374015</wp:posOffset>
            </wp:positionH>
            <wp:positionV relativeFrom="paragraph">
              <wp:posOffset>-758190</wp:posOffset>
            </wp:positionV>
            <wp:extent cx="8046720" cy="6071870"/>
            <wp:effectExtent l="0" t="0" r="11430" b="5080"/>
            <wp:wrapNone/>
            <wp:docPr id="16" name="图片 11" descr="图2-6  水源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图2-6  水源地分布图"/>
                    <pic:cNvPicPr>
                      <a:picLocks noChangeAspect="1"/>
                    </pic:cNvPicPr>
                  </pic:nvPicPr>
                  <pic:blipFill>
                    <a:blip r:embed="rId23"/>
                    <a:srcRect l="11108" t="10487" r="11412" b="6676"/>
                    <a:stretch>
                      <a:fillRect/>
                    </a:stretch>
                  </pic:blipFill>
                  <pic:spPr>
                    <a:xfrm>
                      <a:off x="0" y="0"/>
                      <a:ext cx="8046720" cy="6071870"/>
                    </a:xfrm>
                    <a:prstGeom prst="rect">
                      <a:avLst/>
                    </a:prstGeom>
                    <a:noFill/>
                    <a:ln>
                      <a:noFill/>
                    </a:ln>
                  </pic:spPr>
                </pic:pic>
              </a:graphicData>
            </a:graphic>
          </wp:anchor>
        </w:drawing>
      </w:r>
    </w:p>
    <w:p w14:paraId="27E2BFE7">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40" w:name="_Toc153"/>
      <w:r>
        <w:rPr>
          <w:rFonts w:hint="default" w:ascii="Times New Roman" w:hAnsi="Times New Roman" w:eastAsia="仿宋" w:cs="Times New Roman"/>
          <w:bCs w:val="0"/>
          <w:color w:val="auto"/>
          <w:kern w:val="0"/>
          <w:sz w:val="30"/>
          <w:szCs w:val="30"/>
          <w:lang w:val="en-US" w:eastAsia="zh-CN"/>
        </w:rPr>
        <w:t>2.1.</w:t>
      </w:r>
      <w:r>
        <w:rPr>
          <w:rFonts w:hint="default" w:ascii="Times New Roman" w:hAnsi="Times New Roman" w:cs="Times New Roman"/>
          <w:bCs w:val="0"/>
          <w:color w:val="auto"/>
          <w:kern w:val="0"/>
          <w:sz w:val="30"/>
          <w:szCs w:val="30"/>
          <w:lang w:val="en-US" w:eastAsia="zh-CN"/>
        </w:rPr>
        <w:t>5</w:t>
      </w:r>
      <w:r>
        <w:rPr>
          <w:rFonts w:hint="default" w:ascii="Times New Roman" w:hAnsi="Times New Roman" w:eastAsia="仿宋" w:cs="Times New Roman"/>
          <w:bCs w:val="0"/>
          <w:color w:val="auto"/>
          <w:kern w:val="0"/>
          <w:sz w:val="30"/>
          <w:szCs w:val="30"/>
          <w:lang w:val="en-US" w:eastAsia="zh-CN"/>
        </w:rPr>
        <w:t>土壤环境</w:t>
      </w:r>
      <w:bookmarkEnd w:id="40"/>
    </w:p>
    <w:p w14:paraId="1CD7252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全县土壤共分8个土类、9个亚类、24个土属、39个土种，8个土类分别为棕壤、褐土、栗褐土、粗骨土、黄绵土、红粘土、新积土、潮土。</w:t>
      </w:r>
    </w:p>
    <w:p w14:paraId="5FEF99A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棕壤：分1个亚类、1个土属、1个土种，主要分布在海拔1900米以上的白龙山和黑茶山林草灌地带，占土壤总面积的5.5%。棕壤表层有0～2cm的枯枝落叶，呈棕色，腐殖质层为团粒结构，心底土层为碎块状，土深在30cm以下，淋溶淀积现象不明显，土壤呈微酸性至中性反应。</w:t>
      </w:r>
    </w:p>
    <w:p w14:paraId="38C8DB7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褐土：分1个亚类、3个土属、4个土种，主要分布在海拔1500～2000米的山区，占土壤总面积的3.6%。褐土的腐殖质化作用较低，粘化作用不明显，母质为各种岩石风化物，土层较薄，质地较粗，土壤中好气微生物较旺盛，腐殖质层多在5cm左右，心底土层为碎块状结构，淋溶现象不明显，土体中有不同程度的盐酸反应。</w:t>
      </w:r>
    </w:p>
    <w:p w14:paraId="0D6FE007">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540" w:lineRule="exact"/>
        <w:ind w:firstLine="560" w:firstLineChars="200"/>
        <w:textAlignment w:val="auto"/>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栗褐土：分1个亚类、11个土属、19个土种，主要分布在海拔1500米以下地区，占土壤总面积的24.65%。栗褐土是发育在富含石灰的黄土母质的地带性土壤，结构层次不明显，耕作层疏松多孔，心底土层以下大多为紧实的块状结构，植被稀疏，水土流失比较严重，养分含量较低，全剖面盐酸反映强烈。</w:t>
      </w:r>
    </w:p>
    <w:p w14:paraId="3736E4A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粗骨土：分1个亚类、3个土属、3个土种，主要零星分布于坡度较陡、植被不良、水分状况较差和水土流失极为严重的低山丘陵沟壑区，占土壤总面积的5.03%。粗骨土保留了原母岩的特性，理化性状相似，表层有1cm左右的枯枝落叶，全剖面质地为轻壤－砂壤，结构为碎块状，土体稍润，盐酸反应强烈，通体有数量不等的岩石碎块。</w:t>
      </w:r>
    </w:p>
    <w:p w14:paraId="0E79C9F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黄绵土：分1个亚类、2个土属、2个土种，广泛分布于丘陵地区的梁峁沟壑上，耕作历史悠久，为黄土母质上直接受人为影响和熟化的土壤，占土壤总面积的59.73%，是兴县分布最广，面积最大的农业土壤。但由于水土侵蚀强烈，致土壤发育处于幼年阶段。黄绵土土层深厚，土性较绵，土体干燥，垂直节理为本土类的基本特点，颜色以灰棕色为主，层次之间的过滤极不清晰，母质特征十分明显，全剖面碳酸钙含量多在10%左右，呈丝状或点状沉积于土体中。红粘土：分1个亚类、1个土属、2个土种，主要分布于罗峪口、康宁、肖家洼、杨家坡和白家沟等乡镇侵蚀严重的沟坡及黄土剥蚀净光的沟壑地区，占总土壤面积的0.39%。红粘土发育于黄土沉积底部，是上部黄土冲刷后裸露地表形成的。表层有5cm左右的风化层，呈碎片或粘粒状结构，盐酸反应极微弱，质地为重壤一粘土，心底土层颜色暗红，结构呈碎块状，棱角明显。</w:t>
      </w:r>
    </w:p>
    <w:p w14:paraId="09F7EF6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新积土：分1个亚类、1个土属、1个土种，主要分布于兴县黄河二级阶地，占土壤总面积的0.2%。新积土母质系洪积一冲击物，土体松散，质地粗糙，通体为砂壤一砂土。土体浅灰褐棕色，多为羊粒一碎块状结构。质地为砂壤一砂土，保水保肥性差，养分含量较低，酸碱度为8。</w:t>
      </w:r>
    </w:p>
    <w:p w14:paraId="7A18C424">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540" w:lineRule="exact"/>
        <w:ind w:firstLine="560" w:firstLineChars="200"/>
        <w:textAlignment w:val="auto"/>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潮土：分2个亚类、2个土属、7个土种，主要分布于蔚汾河、岚漪河、南川河两岸的河谷阶地上，占土壤面积的0.9%。潮土成土母质为河流洪积一冲击物，它的特征是，地下水位小于4米，受生物气候影响较小，在季节性干旱过程中地下水位上下移动。</w:t>
      </w:r>
    </w:p>
    <w:p w14:paraId="5ECF807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兴县土壤类型图见图2.1-10。</w:t>
      </w:r>
    </w:p>
    <w:p w14:paraId="7BBBAB45">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7696" behindDoc="0" locked="0" layoutInCell="1" allowOverlap="1">
                <wp:simplePos x="0" y="0"/>
                <wp:positionH relativeFrom="column">
                  <wp:posOffset>2764155</wp:posOffset>
                </wp:positionH>
                <wp:positionV relativeFrom="paragraph">
                  <wp:posOffset>5260340</wp:posOffset>
                </wp:positionV>
                <wp:extent cx="3347085" cy="32829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34708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6D850">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10</w:t>
                            </w:r>
                            <w:r>
                              <w:rPr>
                                <w:rFonts w:hint="default" w:ascii="Times New Roman" w:hAnsi="Times New Roman" w:cs="Times New Roman"/>
                                <w:b/>
                                <w:sz w:val="24"/>
                                <w:szCs w:val="24"/>
                                <w:lang w:val="en-US" w:eastAsia="zh-CN"/>
                              </w:rPr>
                              <w:t xml:space="preserve">  兴县土壤类型图</w:t>
                            </w:r>
                          </w:p>
                          <w:p w14:paraId="56FA086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65pt;margin-top:414.2pt;height:25.85pt;width:263.55pt;z-index:251677696;mso-width-relative:page;mso-height-relative:page;" filled="f" stroked="f" coordsize="21600,21600" o:gfxdata="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VMk23bAAAACwEAAA8AAAAAAAAAAQAgAAAAIgAA&#10;AGRycy9kb3ducmV2LnhtbFBLAQIUABQAAAAIAIdO4kAcJMjVPgIAAGgEAAAOAAAAAAAAAAEAIAAA&#10;ACoBAABkcnMvZTJvRG9jLnhtbFBLBQYAAAAABgAGAFkBAADaBQAAAAA=&#10;">
                <v:fill on="f" focussize="0,0"/>
                <v:stroke on="f" weight="0.5pt"/>
                <v:imagedata o:title=""/>
                <o:lock v:ext="edit" aspectratio="f"/>
                <v:textbox>
                  <w:txbxContent>
                    <w:p w14:paraId="18A6D850">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10</w:t>
                      </w:r>
                      <w:r>
                        <w:rPr>
                          <w:rFonts w:hint="default" w:ascii="Times New Roman" w:hAnsi="Times New Roman" w:cs="Times New Roman"/>
                          <w:b/>
                          <w:sz w:val="24"/>
                          <w:szCs w:val="24"/>
                          <w:lang w:val="en-US" w:eastAsia="zh-CN"/>
                        </w:rPr>
                        <w:t xml:space="preserve">  兴县土壤类型图</w:t>
                      </w:r>
                    </w:p>
                    <w:p w14:paraId="56FA0863"/>
                  </w:txbxContent>
                </v:textbox>
              </v:shape>
            </w:pict>
          </mc:Fallback>
        </mc:AlternateContent>
      </w: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654685</wp:posOffset>
            </wp:positionH>
            <wp:positionV relativeFrom="paragraph">
              <wp:posOffset>-381000</wp:posOffset>
            </wp:positionV>
            <wp:extent cx="7524750" cy="5708015"/>
            <wp:effectExtent l="0" t="0" r="0" b="6985"/>
            <wp:wrapNone/>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4"/>
                    <a:stretch>
                      <a:fillRect/>
                    </a:stretch>
                  </pic:blipFill>
                  <pic:spPr>
                    <a:xfrm>
                      <a:off x="0" y="0"/>
                      <a:ext cx="7524750" cy="5708015"/>
                    </a:xfrm>
                    <a:prstGeom prst="rect">
                      <a:avLst/>
                    </a:prstGeom>
                    <a:noFill/>
                    <a:ln>
                      <a:noFill/>
                    </a:ln>
                  </pic:spPr>
                </pic:pic>
              </a:graphicData>
            </a:graphic>
          </wp:anchor>
        </w:drawing>
      </w:r>
    </w:p>
    <w:p w14:paraId="30FE5238">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41" w:name="_Toc6381"/>
      <w:r>
        <w:rPr>
          <w:rFonts w:hint="default" w:ascii="Times New Roman" w:hAnsi="Times New Roman" w:eastAsia="仿宋" w:cs="Times New Roman"/>
          <w:bCs w:val="0"/>
          <w:color w:val="auto"/>
          <w:kern w:val="0"/>
          <w:sz w:val="30"/>
          <w:szCs w:val="30"/>
          <w:lang w:val="en-US" w:eastAsia="zh-CN"/>
        </w:rPr>
        <w:t>2.1.</w:t>
      </w:r>
      <w:r>
        <w:rPr>
          <w:rFonts w:hint="default" w:ascii="Times New Roman" w:hAnsi="Times New Roman" w:cs="Times New Roman"/>
          <w:bCs w:val="0"/>
          <w:color w:val="auto"/>
          <w:kern w:val="0"/>
          <w:sz w:val="30"/>
          <w:szCs w:val="30"/>
          <w:lang w:val="en-US" w:eastAsia="zh-CN"/>
        </w:rPr>
        <w:t>6</w:t>
      </w:r>
      <w:r>
        <w:rPr>
          <w:rFonts w:hint="default" w:ascii="Times New Roman" w:hAnsi="Times New Roman" w:eastAsia="仿宋" w:cs="Times New Roman"/>
          <w:bCs w:val="0"/>
          <w:color w:val="auto"/>
          <w:kern w:val="0"/>
          <w:sz w:val="30"/>
          <w:szCs w:val="30"/>
          <w:lang w:val="en-US" w:eastAsia="zh-CN"/>
        </w:rPr>
        <w:t>植被概况</w:t>
      </w:r>
      <w:bookmarkEnd w:id="41"/>
    </w:p>
    <w:p w14:paraId="234B83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bookmarkStart w:id="42" w:name="_Toc22211"/>
      <w:r>
        <w:rPr>
          <w:rFonts w:hint="default" w:ascii="Times New Roman" w:hAnsi="Times New Roman" w:eastAsia="仿宋" w:cs="Times New Roman"/>
          <w:bCs/>
          <w:color w:val="auto"/>
          <w:sz w:val="28"/>
          <w:szCs w:val="28"/>
          <w:lang w:val="en-US" w:eastAsia="zh-CN"/>
        </w:rPr>
        <w:t>兴县境内原属森林草原灌丛植被区。经历代毁林开荒和战争砍伐，植被惨遭破坏。中华人民共和国建立以来，经过大力种草造林，使林草总面积达228.96（包括未利用荒草地）万亩，占全县国土面积的48%。其中天然林草面积为157.1万亩，人工林草面积为71.86万亩，分别占林草面积的68.6%和31.4%。据土壤成因主要分三大植被群落。</w:t>
      </w:r>
    </w:p>
    <w:p w14:paraId="5A88FB0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木本植物群落：主要分布在海拔1300米以上的中山地区，面积45万亩，占全县国土面积9.5%，以针叶林和阔叶林两类为主，植被有油松、侧柏、山杨、青杨、柞树和白桦等，许多林间草地上，生长着山桃、山杏、沙棘、针茅、黄刺梅、铁杆蒿和野蔷薇。</w:t>
      </w:r>
    </w:p>
    <w:p w14:paraId="53132C9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草灌植物群落：主要分布在海拔1200～1400米的中低山和低山丘陵区沟坡上，面积56.3万亩，占全县国土面积的11.9%。主要有沙棘、黄刺梅、山桃、山杏、刺槐、柠条、虎榛子、胡枝子和山荆子等丛林与狗尾草、黄背草、苦荬菜、蒲公英、土麻黄、败酱草、茵陈蒿、小根蒜、白羊草、铁杆蒿等草类伴生。东山盖度较高，越往西越低。草被分布在海拔较低的地方，主要生长着甘草、狗尾草、败酱草、小跟蒜、蒲公英、土麻黄和蒿类等。</w:t>
      </w:r>
    </w:p>
    <w:p w14:paraId="7614CA5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草甸植物群落：主要分布在河谷地带，面积87.4万亩，占全县国土面积的18.4%，生长着青蒿、披碱草、三棱草、艾蒿、沙打旺、草木犀、苜蓿、野菊花、猪毛菜等喜湿植物。</w:t>
      </w:r>
    </w:p>
    <w:p w14:paraId="6198611A">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2.1.</w:t>
      </w:r>
      <w:bookmarkEnd w:id="42"/>
      <w:r>
        <w:rPr>
          <w:rFonts w:hint="default" w:ascii="Times New Roman" w:hAnsi="Times New Roman" w:cs="Times New Roman"/>
          <w:bCs w:val="0"/>
          <w:color w:val="auto"/>
          <w:kern w:val="0"/>
          <w:sz w:val="30"/>
          <w:szCs w:val="30"/>
          <w:lang w:val="en-US" w:eastAsia="zh-CN"/>
        </w:rPr>
        <w:t>7</w:t>
      </w:r>
      <w:r>
        <w:rPr>
          <w:rFonts w:hint="default" w:ascii="Times New Roman" w:hAnsi="Times New Roman" w:eastAsia="仿宋" w:cs="Times New Roman"/>
          <w:bCs w:val="0"/>
          <w:color w:val="auto"/>
          <w:kern w:val="0"/>
          <w:sz w:val="30"/>
          <w:szCs w:val="30"/>
          <w:lang w:val="en-US" w:eastAsia="zh-CN"/>
        </w:rPr>
        <w:t>生物资源</w:t>
      </w:r>
    </w:p>
    <w:p w14:paraId="52BC117D">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2.1.7.1植物资源</w:t>
      </w:r>
    </w:p>
    <w:p w14:paraId="29EC11B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木本植物主要有油松、侧柏、山杨、青杨、柞树和白桦等，许多林间草地上，生长着山桃、山杏、沙棘、针茅、黄刺梅、铁杆蒿和野蔷薇。</w:t>
      </w:r>
    </w:p>
    <w:p w14:paraId="5FDFBFD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草灌植物：主要有沙棘、黄刺梅、山桃、山杏、刺槐、柠条、虎榛子、胡枝子和山荆子等丛林与狗尾草、黄背草、苦荬菜、蒲公英、土麻黄、败酱草、茵陈蒿、小根蒜、白羊草、铁杆蒿等草类伴生。</w:t>
      </w:r>
    </w:p>
    <w:p w14:paraId="1DC6A44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草甸植物：青蒿、披碱草、三棱草、艾蒿、沙打旺、草木犀、苜蓿、野菊花、猪毛菜等喜湿植物。</w:t>
      </w:r>
    </w:p>
    <w:p w14:paraId="4F640BFF">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2.1.7.2动物资源</w:t>
      </w:r>
    </w:p>
    <w:p w14:paraId="7AB623C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境内动物资源丰富。主要有哺乳兽类：金钱豹、猫豹子、青鼬、草兔、狼、狐、狗獾、野猪等；鸟类：云雀、大鸨灰鹤、褐马鸡、白冠长尾雉、绿啄木鸟、三道眉、岩鸽、黄眉柳莺、麻雀、家燕、岩燕、喜鹊、红嘴山鸦、龙鹰等；两栖与爬行类：蟾蜍、青蛙、壁虎、蜥蜴、蝮蛇、虎斑游蛇等。这些动物主要分布在东部林区、中西部较少，东部和中西部以海拔1200－1300米为分界线，自然形成了两个野生动物区。除此之外，饲养动物主要有哺乳类的牛、驴、骡子、猪、羊、狗、猫、兔等，并有驯养的梅花鹿、马鹿；家禽主要有鸡、鸭、鹅、鸽子等。</w:t>
      </w:r>
    </w:p>
    <w:p w14:paraId="7ADCA160">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43" w:name="_Toc26687"/>
      <w:r>
        <w:rPr>
          <w:rFonts w:hint="default" w:ascii="Times New Roman" w:hAnsi="Times New Roman" w:eastAsia="仿宋" w:cs="Times New Roman"/>
          <w:bCs w:val="0"/>
          <w:color w:val="auto"/>
          <w:kern w:val="0"/>
          <w:sz w:val="30"/>
          <w:szCs w:val="30"/>
          <w:lang w:val="en-US" w:eastAsia="zh-CN"/>
        </w:rPr>
        <w:t>2.1.</w:t>
      </w:r>
      <w:r>
        <w:rPr>
          <w:rFonts w:hint="default" w:ascii="Times New Roman" w:hAnsi="Times New Roman" w:cs="Times New Roman"/>
          <w:bCs w:val="0"/>
          <w:color w:val="auto"/>
          <w:kern w:val="0"/>
          <w:sz w:val="30"/>
          <w:szCs w:val="30"/>
          <w:lang w:val="en-US" w:eastAsia="zh-CN"/>
        </w:rPr>
        <w:t>8</w:t>
      </w:r>
      <w:r>
        <w:rPr>
          <w:rFonts w:hint="default" w:ascii="Times New Roman" w:hAnsi="Times New Roman" w:eastAsia="仿宋" w:cs="Times New Roman"/>
          <w:bCs w:val="0"/>
          <w:color w:val="auto"/>
          <w:kern w:val="0"/>
          <w:sz w:val="30"/>
          <w:szCs w:val="30"/>
          <w:lang w:val="en-US" w:eastAsia="zh-CN"/>
        </w:rPr>
        <w:t>地震</w:t>
      </w:r>
      <w:bookmarkEnd w:id="43"/>
    </w:p>
    <w:p w14:paraId="6FE91A3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bookmarkStart w:id="44" w:name="_Toc29828"/>
      <w:bookmarkStart w:id="45" w:name="_Toc28237"/>
      <w:r>
        <w:rPr>
          <w:rFonts w:hint="default" w:ascii="Times New Roman" w:hAnsi="Times New Roman" w:eastAsia="仿宋" w:cs="Times New Roman"/>
          <w:bCs/>
          <w:color w:val="auto"/>
          <w:sz w:val="28"/>
          <w:szCs w:val="28"/>
          <w:lang w:val="en-US" w:eastAsia="zh-CN"/>
        </w:rPr>
        <w:t>根据《中国地震动参数区划图》（GB18306-2015），评价区地震动峰值加速度为0.05g，地震反应谱特征周期为0.45s，地震设防裂度为Ⅵ度。</w:t>
      </w:r>
    </w:p>
    <w:p w14:paraId="44523F23">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46" w:name="_Toc217735063"/>
      <w:r>
        <w:rPr>
          <w:rFonts w:hint="default" w:ascii="Times New Roman" w:hAnsi="Times New Roman" w:eastAsia="仿宋" w:cs="Times New Roman"/>
          <w:bCs w:val="0"/>
          <w:color w:val="auto"/>
          <w:kern w:val="0"/>
          <w:sz w:val="30"/>
          <w:szCs w:val="30"/>
          <w:lang w:val="en-US" w:eastAsia="zh-CN"/>
        </w:rPr>
        <w:t>2.1.</w:t>
      </w:r>
      <w:r>
        <w:rPr>
          <w:rFonts w:hint="default" w:ascii="Times New Roman" w:hAnsi="Times New Roman" w:cs="Times New Roman"/>
          <w:bCs w:val="0"/>
          <w:color w:val="auto"/>
          <w:kern w:val="0"/>
          <w:sz w:val="30"/>
          <w:szCs w:val="30"/>
          <w:lang w:val="en-US" w:eastAsia="zh-CN"/>
        </w:rPr>
        <w:t>9</w:t>
      </w:r>
      <w:r>
        <w:rPr>
          <w:rFonts w:hint="default" w:ascii="Times New Roman" w:hAnsi="Times New Roman" w:eastAsia="仿宋" w:cs="Times New Roman"/>
          <w:bCs w:val="0"/>
          <w:color w:val="auto"/>
          <w:kern w:val="0"/>
          <w:sz w:val="30"/>
          <w:szCs w:val="30"/>
          <w:lang w:val="en-US" w:eastAsia="zh-CN"/>
        </w:rPr>
        <w:t>矿产资源</w:t>
      </w:r>
      <w:bookmarkEnd w:id="46"/>
    </w:p>
    <w:p w14:paraId="30821E73">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全县已探明的矿种有煤炭、铝土矿、铁矿、硅、煤层气、石墨等23种，多数矿种品质优良，易于开采，其中煤铝属优势矿种。全县储煤面积约2000平方公里，占国土总面积的63%，是河东煤田的重要组成部分，总储量461.54亿吨，已探明储量136亿吨，其中埋藏在1000米以内的储量为71亿多吨，平均发热量7874千卡/千克，属优质动力煤和配焦煤。铝土矿探明储量1.86亿吨，远景储量大于5亿吨，分布面积254平方公里，是全省五大铝土矿区之一，三氧化二铝、二氧化硅的平均含量分别为64.61%和7.78%，铝硅比值介于5.81----11.52：1之间，品位居全省各铝土矿区之首。煤层气预测储量达2000亿立方米。</w:t>
      </w:r>
    </w:p>
    <w:p w14:paraId="0D59E9F3">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2.1.</w:t>
      </w:r>
      <w:r>
        <w:rPr>
          <w:rFonts w:hint="default" w:ascii="Times New Roman" w:hAnsi="Times New Roman" w:cs="Times New Roman"/>
          <w:bCs w:val="0"/>
          <w:color w:val="auto"/>
          <w:kern w:val="0"/>
          <w:sz w:val="30"/>
          <w:szCs w:val="30"/>
          <w:lang w:val="en-US" w:eastAsia="zh-CN"/>
        </w:rPr>
        <w:t>10</w:t>
      </w:r>
      <w:r>
        <w:rPr>
          <w:rFonts w:hint="default" w:ascii="Times New Roman" w:hAnsi="Times New Roman" w:eastAsia="仿宋" w:cs="Times New Roman"/>
          <w:bCs w:val="0"/>
          <w:color w:val="auto"/>
          <w:kern w:val="0"/>
          <w:sz w:val="30"/>
          <w:szCs w:val="30"/>
          <w:lang w:val="en-US" w:eastAsia="zh-CN"/>
        </w:rPr>
        <w:t>省级及以上文物保护单位</w:t>
      </w:r>
    </w:p>
    <w:p w14:paraId="66DD244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共有文物保护单位27处，其中国家级重点文物保护单位2处（晋绥革命纪念馆、晋绥解放区烈士陵园）、省级重点文物保护单位6处（兴县“四八”烈士纪念馆、胡家沟明代砖塔、饮马会哺乳动物化石遗址、魏家滩葛家里哺乳动物化石遗址、白家沟哺乳动物化石遗址、石愣子仰韶文化遗址），市级重点文物保护单位4处（石猴山道观、一二○师师部暨晋西北司令部旧址、晋绥边区政府所属机关暨军区机关旧址、中共中央晋绥分局旧址），县级重点文物保护单位15处。</w:t>
      </w:r>
    </w:p>
    <w:p w14:paraId="17DD5F2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各文物保护单位基本情况见表2.1-1。</w:t>
      </w:r>
    </w:p>
    <w:p w14:paraId="2BD29112">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sectPr>
          <w:pgSz w:w="11906" w:h="16838"/>
          <w:pgMar w:top="1440" w:right="1800" w:bottom="1440" w:left="1800" w:header="851" w:footer="992" w:gutter="0"/>
          <w:pgNumType w:fmt="numberInDash"/>
          <w:cols w:space="425" w:num="1"/>
          <w:docGrid w:type="lines" w:linePitch="312" w:charSpace="0"/>
        </w:sectPr>
      </w:pPr>
    </w:p>
    <w:p w14:paraId="0B5D7023">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表2.1-1  兴县境内省级及以上文物保护单位基本情况表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356"/>
        <w:gridCol w:w="889"/>
        <w:gridCol w:w="983"/>
        <w:gridCol w:w="1104"/>
        <w:gridCol w:w="2120"/>
        <w:gridCol w:w="1261"/>
      </w:tblGrid>
      <w:tr w14:paraId="2447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113DFBA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序号</w:t>
            </w:r>
          </w:p>
        </w:tc>
        <w:tc>
          <w:tcPr>
            <w:tcW w:w="795" w:type="pct"/>
            <w:vAlign w:val="center"/>
          </w:tcPr>
          <w:p w14:paraId="017CDBC6">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单位名称</w:t>
            </w:r>
          </w:p>
        </w:tc>
        <w:tc>
          <w:tcPr>
            <w:tcW w:w="521" w:type="pct"/>
            <w:vAlign w:val="center"/>
          </w:tcPr>
          <w:p w14:paraId="646F9D9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级别</w:t>
            </w:r>
          </w:p>
        </w:tc>
        <w:tc>
          <w:tcPr>
            <w:tcW w:w="576" w:type="pct"/>
            <w:vAlign w:val="center"/>
          </w:tcPr>
          <w:p w14:paraId="2CC3CE5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时代</w:t>
            </w:r>
          </w:p>
        </w:tc>
        <w:tc>
          <w:tcPr>
            <w:tcW w:w="647" w:type="pct"/>
            <w:vAlign w:val="center"/>
          </w:tcPr>
          <w:p w14:paraId="2074665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类别</w:t>
            </w:r>
          </w:p>
        </w:tc>
        <w:tc>
          <w:tcPr>
            <w:tcW w:w="1243" w:type="pct"/>
            <w:vAlign w:val="center"/>
          </w:tcPr>
          <w:p w14:paraId="0E0D4F1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详细地址</w:t>
            </w:r>
          </w:p>
        </w:tc>
        <w:tc>
          <w:tcPr>
            <w:tcW w:w="739" w:type="pct"/>
            <w:vAlign w:val="center"/>
          </w:tcPr>
          <w:p w14:paraId="0CAF722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占地面积</w:t>
            </w:r>
          </w:p>
        </w:tc>
      </w:tr>
      <w:tr w14:paraId="4C9E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554F95A2">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p>
        </w:tc>
        <w:tc>
          <w:tcPr>
            <w:tcW w:w="795" w:type="pct"/>
            <w:vAlign w:val="center"/>
          </w:tcPr>
          <w:p w14:paraId="3F016B1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晋绥革命纪念馆</w:t>
            </w:r>
          </w:p>
        </w:tc>
        <w:tc>
          <w:tcPr>
            <w:tcW w:w="521" w:type="pct"/>
            <w:vAlign w:val="center"/>
          </w:tcPr>
          <w:p w14:paraId="0BF9AC02">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国家级</w:t>
            </w:r>
          </w:p>
        </w:tc>
        <w:tc>
          <w:tcPr>
            <w:tcW w:w="576" w:type="pct"/>
            <w:vAlign w:val="center"/>
          </w:tcPr>
          <w:p w14:paraId="3181D17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647" w:type="pct"/>
            <w:vAlign w:val="center"/>
          </w:tcPr>
          <w:p w14:paraId="67540EB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纪念馆</w:t>
            </w:r>
          </w:p>
        </w:tc>
        <w:tc>
          <w:tcPr>
            <w:tcW w:w="1243" w:type="pct"/>
            <w:vAlign w:val="center"/>
          </w:tcPr>
          <w:p w14:paraId="44748D2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兴县城西17华里的蔡家崖村</w:t>
            </w:r>
          </w:p>
        </w:tc>
        <w:tc>
          <w:tcPr>
            <w:tcW w:w="739" w:type="pct"/>
            <w:vAlign w:val="center"/>
          </w:tcPr>
          <w:p w14:paraId="2BF7BFB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8500m</w:t>
            </w:r>
            <w:r>
              <w:rPr>
                <w:rFonts w:hint="default" w:ascii="Times New Roman" w:hAnsi="Times New Roman" w:eastAsia="仿宋" w:cs="Times New Roman"/>
                <w:color w:val="auto"/>
                <w:kern w:val="0"/>
                <w:sz w:val="21"/>
                <w:szCs w:val="21"/>
                <w:vertAlign w:val="superscript"/>
              </w:rPr>
              <w:t>2</w:t>
            </w:r>
          </w:p>
        </w:tc>
      </w:tr>
      <w:tr w14:paraId="72FA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18F9F9D7">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p>
        </w:tc>
        <w:tc>
          <w:tcPr>
            <w:tcW w:w="795" w:type="pct"/>
            <w:vAlign w:val="center"/>
          </w:tcPr>
          <w:p w14:paraId="7E9E5D72">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晋绥解放区烈士陵园</w:t>
            </w:r>
          </w:p>
        </w:tc>
        <w:tc>
          <w:tcPr>
            <w:tcW w:w="521" w:type="pct"/>
            <w:vAlign w:val="center"/>
          </w:tcPr>
          <w:p w14:paraId="11E794E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国家级</w:t>
            </w:r>
          </w:p>
        </w:tc>
        <w:tc>
          <w:tcPr>
            <w:tcW w:w="576" w:type="pct"/>
            <w:vAlign w:val="center"/>
          </w:tcPr>
          <w:p w14:paraId="6042F36D">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647" w:type="pct"/>
            <w:vAlign w:val="center"/>
          </w:tcPr>
          <w:p w14:paraId="0C1C9F8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烈士陵园</w:t>
            </w:r>
          </w:p>
        </w:tc>
        <w:tc>
          <w:tcPr>
            <w:tcW w:w="1243" w:type="pct"/>
            <w:vAlign w:val="center"/>
          </w:tcPr>
          <w:p w14:paraId="61244DD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兴县城区北侧</w:t>
            </w:r>
          </w:p>
        </w:tc>
        <w:tc>
          <w:tcPr>
            <w:tcW w:w="739" w:type="pct"/>
            <w:vAlign w:val="center"/>
          </w:tcPr>
          <w:p w14:paraId="59E1975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8000m</w:t>
            </w:r>
            <w:r>
              <w:rPr>
                <w:rFonts w:hint="default" w:ascii="Times New Roman" w:hAnsi="Times New Roman" w:eastAsia="仿宋" w:cs="Times New Roman"/>
                <w:color w:val="auto"/>
                <w:kern w:val="0"/>
                <w:sz w:val="21"/>
                <w:szCs w:val="21"/>
                <w:vertAlign w:val="superscript"/>
              </w:rPr>
              <w:t>2</w:t>
            </w:r>
          </w:p>
        </w:tc>
      </w:tr>
      <w:tr w14:paraId="3976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0A15C15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w:t>
            </w:r>
          </w:p>
        </w:tc>
        <w:tc>
          <w:tcPr>
            <w:tcW w:w="795" w:type="pct"/>
            <w:vAlign w:val="center"/>
          </w:tcPr>
          <w:p w14:paraId="3ABD096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兴县“四八”烈士纪念馆</w:t>
            </w:r>
          </w:p>
        </w:tc>
        <w:tc>
          <w:tcPr>
            <w:tcW w:w="521" w:type="pct"/>
            <w:vAlign w:val="center"/>
          </w:tcPr>
          <w:p w14:paraId="064A567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3582482B">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647" w:type="pct"/>
            <w:vAlign w:val="center"/>
          </w:tcPr>
          <w:p w14:paraId="1F4BB56B">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纪念馆</w:t>
            </w:r>
          </w:p>
        </w:tc>
        <w:tc>
          <w:tcPr>
            <w:tcW w:w="1243" w:type="pct"/>
            <w:vAlign w:val="center"/>
          </w:tcPr>
          <w:p w14:paraId="3985732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东会乡庄上村</w:t>
            </w:r>
          </w:p>
        </w:tc>
        <w:tc>
          <w:tcPr>
            <w:tcW w:w="739" w:type="pct"/>
            <w:vAlign w:val="center"/>
          </w:tcPr>
          <w:p w14:paraId="3C941DBD">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1730m</w:t>
            </w:r>
            <w:r>
              <w:rPr>
                <w:rFonts w:hint="default" w:ascii="Times New Roman" w:hAnsi="Times New Roman" w:eastAsia="仿宋" w:cs="Times New Roman"/>
                <w:color w:val="auto"/>
                <w:kern w:val="0"/>
                <w:sz w:val="21"/>
                <w:szCs w:val="21"/>
                <w:vertAlign w:val="superscript"/>
              </w:rPr>
              <w:t>2</w:t>
            </w:r>
          </w:p>
        </w:tc>
      </w:tr>
      <w:tr w14:paraId="1618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28C70BD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w:t>
            </w:r>
          </w:p>
        </w:tc>
        <w:tc>
          <w:tcPr>
            <w:tcW w:w="795" w:type="pct"/>
            <w:vAlign w:val="center"/>
          </w:tcPr>
          <w:p w14:paraId="33C8A4B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胡家沟明代砖塔</w:t>
            </w:r>
          </w:p>
        </w:tc>
        <w:tc>
          <w:tcPr>
            <w:tcW w:w="521" w:type="pct"/>
            <w:vAlign w:val="center"/>
          </w:tcPr>
          <w:p w14:paraId="4F39DA5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6F545BD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明代</w:t>
            </w:r>
          </w:p>
        </w:tc>
        <w:tc>
          <w:tcPr>
            <w:tcW w:w="647" w:type="pct"/>
            <w:vAlign w:val="center"/>
          </w:tcPr>
          <w:p w14:paraId="6159AA0B">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古遗址</w:t>
            </w:r>
          </w:p>
        </w:tc>
        <w:tc>
          <w:tcPr>
            <w:tcW w:w="1243" w:type="pct"/>
            <w:vAlign w:val="center"/>
          </w:tcPr>
          <w:p w14:paraId="4A5D5B08">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兴县蔡家崖乡胡家沟村</w:t>
            </w:r>
          </w:p>
        </w:tc>
        <w:tc>
          <w:tcPr>
            <w:tcW w:w="739" w:type="pct"/>
            <w:vAlign w:val="center"/>
          </w:tcPr>
          <w:p w14:paraId="0242C73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总高12米</w:t>
            </w:r>
          </w:p>
        </w:tc>
      </w:tr>
      <w:tr w14:paraId="324F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3ED9B6F7">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5</w:t>
            </w:r>
          </w:p>
        </w:tc>
        <w:tc>
          <w:tcPr>
            <w:tcW w:w="795" w:type="pct"/>
            <w:vAlign w:val="center"/>
          </w:tcPr>
          <w:p w14:paraId="6D2148AC">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饮马会哺乳动物化石遗址</w:t>
            </w:r>
          </w:p>
        </w:tc>
        <w:tc>
          <w:tcPr>
            <w:tcW w:w="521" w:type="pct"/>
            <w:vAlign w:val="center"/>
          </w:tcPr>
          <w:p w14:paraId="4C471B1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64DBFEA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647" w:type="pct"/>
            <w:vAlign w:val="center"/>
          </w:tcPr>
          <w:p w14:paraId="2FEC657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遗址</w:t>
            </w:r>
          </w:p>
        </w:tc>
        <w:tc>
          <w:tcPr>
            <w:tcW w:w="1243" w:type="pct"/>
            <w:vAlign w:val="center"/>
          </w:tcPr>
          <w:p w14:paraId="0038343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739" w:type="pct"/>
            <w:vAlign w:val="center"/>
          </w:tcPr>
          <w:p w14:paraId="70C362A2">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r>
      <w:tr w14:paraId="3888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55BC0C0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6</w:t>
            </w:r>
          </w:p>
        </w:tc>
        <w:tc>
          <w:tcPr>
            <w:tcW w:w="795" w:type="pct"/>
            <w:vAlign w:val="center"/>
          </w:tcPr>
          <w:p w14:paraId="15E1155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魏家滩葛家里哺乳动物化石遗址</w:t>
            </w:r>
          </w:p>
        </w:tc>
        <w:tc>
          <w:tcPr>
            <w:tcW w:w="521" w:type="pct"/>
            <w:vAlign w:val="center"/>
          </w:tcPr>
          <w:p w14:paraId="1243E37C">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4F830A7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647" w:type="pct"/>
            <w:vAlign w:val="center"/>
          </w:tcPr>
          <w:p w14:paraId="50C9F3E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遗址</w:t>
            </w:r>
          </w:p>
        </w:tc>
        <w:tc>
          <w:tcPr>
            <w:tcW w:w="1243" w:type="pct"/>
            <w:vAlign w:val="center"/>
          </w:tcPr>
          <w:p w14:paraId="44D9CB66">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魏家滩</w:t>
            </w:r>
          </w:p>
        </w:tc>
        <w:tc>
          <w:tcPr>
            <w:tcW w:w="739" w:type="pct"/>
            <w:vAlign w:val="center"/>
          </w:tcPr>
          <w:p w14:paraId="4B1D529E">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r>
      <w:tr w14:paraId="7DCA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723D6ED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7</w:t>
            </w:r>
          </w:p>
        </w:tc>
        <w:tc>
          <w:tcPr>
            <w:tcW w:w="795" w:type="pct"/>
            <w:vAlign w:val="center"/>
          </w:tcPr>
          <w:p w14:paraId="21FD2F07">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白家沟哺乳动物化石遗址</w:t>
            </w:r>
          </w:p>
        </w:tc>
        <w:tc>
          <w:tcPr>
            <w:tcW w:w="521" w:type="pct"/>
            <w:vAlign w:val="center"/>
          </w:tcPr>
          <w:p w14:paraId="234BD9D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12CED65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龙山文化晚期</w:t>
            </w:r>
          </w:p>
        </w:tc>
        <w:tc>
          <w:tcPr>
            <w:tcW w:w="647" w:type="pct"/>
            <w:vAlign w:val="center"/>
          </w:tcPr>
          <w:p w14:paraId="27679BAE">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遗址</w:t>
            </w:r>
          </w:p>
        </w:tc>
        <w:tc>
          <w:tcPr>
            <w:tcW w:w="1243" w:type="pct"/>
            <w:vAlign w:val="center"/>
          </w:tcPr>
          <w:p w14:paraId="689AFA1C">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白家沟</w:t>
            </w:r>
          </w:p>
        </w:tc>
        <w:tc>
          <w:tcPr>
            <w:tcW w:w="739" w:type="pct"/>
            <w:vAlign w:val="center"/>
          </w:tcPr>
          <w:p w14:paraId="358ACAA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r>
      <w:tr w14:paraId="445A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6C0FB2F2">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w:t>
            </w:r>
          </w:p>
        </w:tc>
        <w:tc>
          <w:tcPr>
            <w:tcW w:w="795" w:type="pct"/>
            <w:vAlign w:val="center"/>
          </w:tcPr>
          <w:p w14:paraId="75878DD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石愣子仰韶文化遗址</w:t>
            </w:r>
          </w:p>
        </w:tc>
        <w:tc>
          <w:tcPr>
            <w:tcW w:w="521" w:type="pct"/>
            <w:vAlign w:val="center"/>
          </w:tcPr>
          <w:p w14:paraId="72F92FD8">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59605D1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龙山文化晚期</w:t>
            </w:r>
          </w:p>
        </w:tc>
        <w:tc>
          <w:tcPr>
            <w:tcW w:w="647" w:type="pct"/>
            <w:vAlign w:val="center"/>
          </w:tcPr>
          <w:p w14:paraId="61E4EB7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遗址</w:t>
            </w:r>
          </w:p>
        </w:tc>
        <w:tc>
          <w:tcPr>
            <w:tcW w:w="1243" w:type="pct"/>
            <w:vAlign w:val="center"/>
          </w:tcPr>
          <w:p w14:paraId="25424B1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县城西面8〜9公里处的蔡家崖和石楞则村</w:t>
            </w:r>
          </w:p>
        </w:tc>
        <w:tc>
          <w:tcPr>
            <w:tcW w:w="739" w:type="pct"/>
            <w:vAlign w:val="center"/>
          </w:tcPr>
          <w:p w14:paraId="0DA3677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r>
    </w:tbl>
    <w:p w14:paraId="749683BB">
      <w:pPr>
        <w:pStyle w:val="3"/>
        <w:spacing w:line="560" w:lineRule="exact"/>
        <w:ind w:firstLine="0" w:firstLineChars="0"/>
        <w:rPr>
          <w:rFonts w:hint="default" w:ascii="Times New Roman" w:hAnsi="Times New Roman" w:eastAsia="仿宋" w:cs="Times New Roman"/>
          <w:color w:val="auto"/>
          <w:kern w:val="0"/>
          <w:sz w:val="32"/>
          <w:lang w:eastAsia="zh-CN"/>
        </w:rPr>
      </w:pPr>
      <w:bookmarkStart w:id="47" w:name="_Toc13544"/>
      <w:r>
        <w:rPr>
          <w:rFonts w:hint="default" w:ascii="Times New Roman" w:hAnsi="Times New Roman" w:eastAsia="仿宋" w:cs="Times New Roman"/>
          <w:color w:val="auto"/>
          <w:kern w:val="0"/>
          <w:sz w:val="32"/>
          <w:lang w:val="en-US" w:eastAsia="zh-CN"/>
        </w:rPr>
        <w:t>2.2社会经济概况</w:t>
      </w:r>
      <w:bookmarkEnd w:id="44"/>
      <w:bookmarkEnd w:id="45"/>
      <w:bookmarkEnd w:id="47"/>
      <w:bookmarkStart w:id="48" w:name="_Toc18238"/>
      <w:bookmarkStart w:id="49" w:name="_Toc1037666"/>
      <w:bookmarkStart w:id="50" w:name="_Toc1314124"/>
    </w:p>
    <w:p w14:paraId="2C72EFF7">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51" w:name="_Toc26745"/>
      <w:r>
        <w:rPr>
          <w:rFonts w:hint="default" w:ascii="Times New Roman" w:hAnsi="Times New Roman" w:eastAsia="仿宋" w:cs="Times New Roman"/>
          <w:bCs w:val="0"/>
          <w:color w:val="auto"/>
          <w:kern w:val="0"/>
          <w:sz w:val="30"/>
          <w:szCs w:val="30"/>
          <w:lang w:val="en-US" w:eastAsia="zh-CN"/>
        </w:rPr>
        <w:t>2.2.1行政区划</w:t>
      </w:r>
      <w:bookmarkEnd w:id="48"/>
      <w:bookmarkEnd w:id="49"/>
      <w:bookmarkEnd w:id="50"/>
      <w:r>
        <w:rPr>
          <w:rFonts w:hint="default" w:ascii="Times New Roman" w:hAnsi="Times New Roman" w:eastAsia="仿宋" w:cs="Times New Roman"/>
          <w:bCs w:val="0"/>
          <w:color w:val="auto"/>
          <w:kern w:val="0"/>
          <w:sz w:val="30"/>
          <w:szCs w:val="30"/>
          <w:lang w:val="en-US" w:eastAsia="zh-CN"/>
        </w:rPr>
        <w:t>与人口</w:t>
      </w:r>
      <w:bookmarkEnd w:id="51"/>
    </w:p>
    <w:p w14:paraId="0DE46D6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2021年5月，吕梁市人民政府发布《关于吕梁市乡级行政区划调整公告》，其中涉及兴县2个乡镇的整体划转。调整后，兴县全县辖7镇（蔚汾镇、魏家滩镇、瓦塘镇、康宁镇、高家村镇、罗峪口镇、蔡家会镇）、8乡（交楼申乡、东会乡、固贤乡、奥家湾乡、蔡家崖乡、孟家坪乡、赵家坪乡、圪达上乡）。</w:t>
      </w:r>
    </w:p>
    <w:p w14:paraId="626BE433">
      <w:pPr>
        <w:pStyle w:val="27"/>
        <w:tabs>
          <w:tab w:val="right" w:leader="dot" w:pos="8313"/>
        </w:tabs>
        <w:adjustRightInd w:val="0"/>
        <w:snapToGrid w:val="0"/>
        <w:spacing w:line="560" w:lineRule="exact"/>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2020年第七次人口普查结果显示，全县常住人口183484人，比2010年第六次人口普查结果的279369人减少了34.32%，在全市人口比重从7.49%下降至5.39%。</w:t>
      </w:r>
    </w:p>
    <w:p w14:paraId="36087918">
      <w:pPr>
        <w:pStyle w:val="4"/>
        <w:numPr>
          <w:ilvl w:val="2"/>
          <w:numId w:val="0"/>
        </w:numPr>
        <w:spacing w:before="20" w:after="20" w:line="560" w:lineRule="exact"/>
        <w:ind w:leftChars="0"/>
        <w:jc w:val="both"/>
        <w:outlineLvl w:val="9"/>
        <w:rPr>
          <w:rFonts w:hint="default" w:ascii="Times New Roman" w:hAnsi="Times New Roman" w:eastAsia="仿宋" w:cs="Times New Roman"/>
          <w:bCs w:val="0"/>
          <w:color w:val="auto"/>
          <w:kern w:val="0"/>
          <w:sz w:val="30"/>
          <w:szCs w:val="30"/>
          <w:lang w:val="en-US" w:eastAsia="zh-CN"/>
        </w:rPr>
        <w:sectPr>
          <w:pgSz w:w="11906" w:h="16838"/>
          <w:pgMar w:top="1440" w:right="1800" w:bottom="1440" w:left="1800" w:header="851" w:footer="992" w:gutter="0"/>
          <w:pgNumType w:fmt="numberInDash"/>
          <w:cols w:space="425" w:num="1"/>
          <w:docGrid w:type="lines" w:linePitch="312" w:charSpace="0"/>
        </w:sectPr>
      </w:pPr>
      <w:bookmarkStart w:id="52" w:name="_Toc29059"/>
    </w:p>
    <w:p w14:paraId="3C00A90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2.2.2经济概况</w:t>
      </w:r>
      <w:bookmarkEnd w:id="52"/>
    </w:p>
    <w:p w14:paraId="5C7915B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（1）“十三五”主要经济指标完成情况</w:t>
      </w:r>
    </w:p>
    <w:p w14:paraId="1E13FFB1">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与“十二五”末相比，地区生产总值由58.72亿元增加到134.2亿元，年均增长7.82%；规模以上工业增加值由41.77亿元增加到103.4亿元，年均增长19.88%；一般公共预算收入由6.32亿元增加到14.3亿元，年均增长17.74%；城镇居民人均可支配收入由18119元增加到24727元，年均增长6.42%；农村居民人均可支配收入由3769元增加到6271元，年均增长8.95%。</w:t>
      </w:r>
    </w:p>
    <w:p w14:paraId="51F96F9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（2）社会发展</w:t>
      </w:r>
    </w:p>
    <w:p w14:paraId="64F9613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截止2020年底，28605户、79406名贫困人口全部脱贫，296个贫困村全部退出，“两不愁三保障”问题全面解决，健康扶贫、教育扶贫、易地扶贫搬迁、产业扶贫等做法受到中央领导的肯定，圆满实现了小康路上不落一户一人的目标；建成乡级产业园区11个、村级基地263个，绿色小杂粮、中药材、经济林分别达到26万亩、20万亩和59万亩；老年大学、公共实训基地、阳光小学、城南小学、阳光幼儿园、枣峁梁幼儿园相继建成投用，建成乡镇寄宿制学校4所，改扩建农村幼儿园19所，改造薄弱学校55所，义务教育均衡发展顺利通过国家验收。建成拥有600支床位的兴县人民医院，改扩建乡镇卫生院17所，建成标准化村卫生室332个；新建和改造城市道路35公里、水气热等各类市政管网77.3公里，全县城市人均道路面积达到14.59平方米，供水普及率达到98.5%，生活污水处理率达到91.2%，县城生活垃圾无害化处理率达到100%，城镇功能日益完善，承载能力持续提升。</w:t>
      </w:r>
    </w:p>
    <w:p w14:paraId="4C0AF4D8">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cs="Times New Roman"/>
          <w:bCs w:val="0"/>
          <w:color w:val="auto"/>
          <w:kern w:val="0"/>
          <w:sz w:val="30"/>
          <w:szCs w:val="30"/>
          <w:lang w:val="en-US" w:eastAsia="zh-CN"/>
        </w:rPr>
        <w:t>2</w:t>
      </w:r>
      <w:r>
        <w:rPr>
          <w:rFonts w:hint="default" w:ascii="Times New Roman" w:hAnsi="Times New Roman" w:eastAsia="仿宋" w:cs="Times New Roman"/>
          <w:bCs w:val="0"/>
          <w:color w:val="auto"/>
          <w:kern w:val="0"/>
          <w:sz w:val="30"/>
          <w:szCs w:val="30"/>
          <w:lang w:val="en-US" w:eastAsia="zh-CN"/>
        </w:rPr>
        <w:t>.2.3交通运输</w:t>
      </w:r>
    </w:p>
    <w:p w14:paraId="203EA0A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（1）全县交通概况</w:t>
      </w:r>
    </w:p>
    <w:p w14:paraId="2F21F73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近年来，兴县持续改善道路状况，全县现有公路总里程2158.381公里，其中：国家高速一条（岢临高速）64公里；省道2条134公里（其中：S313长51.2公里，S218长82.8公里）；县道11条402.511公里；乡道50条620.656公里；村道263条937.214公里。铁路总里程73.552公里，其中太兴铁路13.43公里，中南铁路60.122公里。公路密度达68%，全县376个行政村全部通水泥（油）路，形成了以县城为枢纽，以沿黄线、岢大线、交西线为三纵，以岢大线北段连接裴家川口线、忻黑线、曹罗线为三横的米字形立体交通网络。</w:t>
      </w:r>
    </w:p>
    <w:p w14:paraId="0179E315">
      <w:pPr>
        <w:pStyle w:val="27"/>
        <w:tabs>
          <w:tab w:val="right" w:leader="dot" w:pos="8313"/>
        </w:tabs>
        <w:adjustRightInd w:val="0"/>
        <w:snapToGrid w:val="0"/>
        <w:spacing w:line="560" w:lineRule="exact"/>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截止2021年底，静兴高速（静乐丰润—兴县张家湾高速公路）全线建成，待完成工程验收、运营手续办理等工作后，预计于2022年五一期间正式通车运营，将极大便利兴县人民的出行和经济社会的发展。</w:t>
      </w:r>
    </w:p>
    <w:p w14:paraId="474E73E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（2）瓦塘镇道路交通</w:t>
      </w:r>
    </w:p>
    <w:p w14:paraId="4AF78F4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①工业大道（魏家滩镇至蔡家崖乡）</w:t>
      </w:r>
    </w:p>
    <w:p w14:paraId="4AA45A4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工业大道（一级公路）涉及瓦塘段9.3公里，全部建成通车。</w:t>
      </w:r>
    </w:p>
    <w:p w14:paraId="3A3230B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②瓦日铁路和兴保铁路</w:t>
      </w:r>
    </w:p>
    <w:p w14:paraId="2592F51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瓦日铁路起点为瓦塘镇，终点为山东省日照市，目前已建成通车，并与岢瓦铁路并轨；兴县瓦塘至保德地方铁路接瓦日铁路瓦塘站，已建成通车。</w:t>
      </w:r>
    </w:p>
    <w:p w14:paraId="0AE883B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（3）魏家滩镇道路交通</w:t>
      </w:r>
    </w:p>
    <w:p w14:paraId="7507B4C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①工业大道（魏家滩镇至蔡家崖乡）</w:t>
      </w:r>
    </w:p>
    <w:p w14:paraId="58A8B78A">
      <w:pPr>
        <w:pStyle w:val="27"/>
        <w:tabs>
          <w:tab w:val="right" w:leader="dot" w:pos="8313"/>
        </w:tabs>
        <w:adjustRightInd w:val="0"/>
        <w:snapToGrid w:val="0"/>
        <w:spacing w:line="560" w:lineRule="exact"/>
        <w:ind w:left="557" w:leftChars="232" w:firstLine="0" w:firstLineChars="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工业大道（一级公路）涉及魏家滩段12.5公里，全部建成通车。②岢瓦铁路</w:t>
      </w:r>
    </w:p>
    <w:p w14:paraId="7976C7C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岢瓦铁路是斜沟煤矿改扩建项目的配套工程之一，该铁路专用线自岢岚站起始，向西经阳坪、吕家沟、魏家滩，至终点瓦塘，线路全长56公里，已建成投运并与瓦日铁路接轨。</w:t>
      </w:r>
    </w:p>
    <w:p w14:paraId="44A08400">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53" w:name="_Toc28149"/>
      <w:bookmarkStart w:id="54" w:name="_Toc15863"/>
      <w:r>
        <w:rPr>
          <w:rFonts w:hint="default" w:ascii="Times New Roman" w:hAnsi="Times New Roman" w:eastAsia="仿宋" w:cs="Times New Roman"/>
          <w:color w:val="auto"/>
          <w:kern w:val="0"/>
          <w:sz w:val="32"/>
          <w:lang w:val="en-US" w:eastAsia="zh-CN"/>
        </w:rPr>
        <w:t>2.3环境功能区划与空间分布情况</w:t>
      </w:r>
      <w:bookmarkEnd w:id="53"/>
      <w:bookmarkEnd w:id="54"/>
    </w:p>
    <w:p w14:paraId="171BF69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55" w:name="_Toc32635"/>
      <w:r>
        <w:rPr>
          <w:rFonts w:hint="default" w:ascii="Times New Roman" w:hAnsi="Times New Roman" w:eastAsia="仿宋" w:cs="Times New Roman"/>
          <w:bCs w:val="0"/>
          <w:color w:val="auto"/>
          <w:kern w:val="0"/>
          <w:sz w:val="30"/>
          <w:szCs w:val="30"/>
          <w:lang w:val="en-US" w:eastAsia="zh-CN"/>
        </w:rPr>
        <w:t>2.3.1环境功能区划</w:t>
      </w:r>
      <w:bookmarkEnd w:id="55"/>
    </w:p>
    <w:p w14:paraId="371D7C1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（1）区域环境空气功能</w:t>
      </w:r>
    </w:p>
    <w:p w14:paraId="57C9F7E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按照《环境空气质量标准》（GB3095-2012）规定，兴县所辖城镇和农村属环境空气二类区域。</w:t>
      </w:r>
    </w:p>
    <w:p w14:paraId="19165F1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（2）区域地表水环境功能</w:t>
      </w:r>
    </w:p>
    <w:p w14:paraId="7A3950B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兴县岚漪河、蔚汾河、湫水河三条河流，根据《山西省地表水环境功能区划》（DB14/67-2019）：</w:t>
      </w:r>
    </w:p>
    <w:p w14:paraId="611A1F3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岚漪河：根据《山西省地表水环境功能区划》（DB14/67-2019），评价范围内岚漪河水环境功能为“农业用水保护”，功能区水质要求为Ⅳ类，执行《地表水环境质量标准》（GB3838-2002）中Ⅳ类标准。地下水环境属于《地下水质量标准》（GB/T14848-2017）中Ⅲ类功能区，即“主要适用于集中式生活饮用水源及工业用水”，执行该标准中III类标准。</w:t>
      </w:r>
    </w:p>
    <w:p w14:paraId="3A0055C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蔚汾河：</w:t>
      </w:r>
      <w:r>
        <w:rPr>
          <w:rFonts w:hint="default" w:ascii="Times New Roman" w:hAnsi="Times New Roman" w:eastAsia="仿宋" w:cs="Times New Roman"/>
          <w:bCs/>
          <w:color w:val="auto"/>
          <w:sz w:val="28"/>
          <w:szCs w:val="28"/>
          <w:highlight w:val="none"/>
          <w:lang w:val="en-US" w:eastAsia="zh-CN"/>
        </w:rPr>
        <w:t>（源头－奥家湾），水环境功能区一般源头水保护，水质要求为《地表水环境质量标准》（GB3838-2002）规定的Ⅲ类水体；</w:t>
      </w:r>
      <w:r>
        <w:rPr>
          <w:rFonts w:hint="default" w:ascii="Times New Roman" w:hAnsi="Times New Roman" w:eastAsia="仿宋" w:cs="Times New Roman"/>
          <w:bCs/>
          <w:color w:val="auto"/>
          <w:sz w:val="28"/>
          <w:szCs w:val="28"/>
          <w:lang w:val="en-US" w:eastAsia="zh-CN"/>
        </w:rPr>
        <w:t>蔚汾河</w:t>
      </w:r>
      <w:r>
        <w:rPr>
          <w:rFonts w:hint="default" w:ascii="Times New Roman" w:hAnsi="Times New Roman" w:eastAsia="仿宋" w:cs="Times New Roman"/>
          <w:bCs/>
          <w:color w:val="auto"/>
          <w:sz w:val="28"/>
          <w:szCs w:val="28"/>
          <w:highlight w:val="none"/>
          <w:lang w:val="en-US" w:eastAsia="zh-CN"/>
        </w:rPr>
        <w:t>（奥家湾－入黄河）水环境功能区为“农业用水保护”，水质要求为《地表水环境质量标准》（GB3838-2002）规定的Ⅴ类水体；</w:t>
      </w:r>
    </w:p>
    <w:p w14:paraId="5BBC885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湫水河：</w:t>
      </w:r>
      <w:r>
        <w:rPr>
          <w:rFonts w:hint="default" w:ascii="Times New Roman" w:hAnsi="Times New Roman" w:eastAsia="仿宋" w:cs="Times New Roman"/>
          <w:bCs/>
          <w:color w:val="auto"/>
          <w:sz w:val="28"/>
          <w:szCs w:val="28"/>
          <w:highlight w:val="none"/>
          <w:lang w:val="en-US" w:eastAsia="zh-CN"/>
        </w:rPr>
        <w:t>（源头－东会），水环境功能区国家级自然保护区水源保护，水质要求为《地表水环境质量标准》（GB3838-2002）规定的I类水体。</w:t>
      </w:r>
    </w:p>
    <w:p w14:paraId="077D998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（3）区域地下水环境功能</w:t>
      </w:r>
    </w:p>
    <w:p w14:paraId="7D9EC7A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评价区地下水主要用于生活饮用及工业、农业用水，属于《地下水质量标准》（GB/T14848-2017）中的Ⅲ类地下水质量分类。</w:t>
      </w:r>
    </w:p>
    <w:p w14:paraId="0A453B5B">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56" w:name="_Toc25005"/>
      <w:r>
        <w:rPr>
          <w:rFonts w:hint="default" w:ascii="Times New Roman" w:hAnsi="Times New Roman" w:eastAsia="仿宋" w:cs="Times New Roman"/>
          <w:bCs w:val="0"/>
          <w:color w:val="auto"/>
          <w:kern w:val="0"/>
          <w:sz w:val="30"/>
          <w:szCs w:val="30"/>
          <w:lang w:val="en-US" w:eastAsia="zh-CN"/>
        </w:rPr>
        <w:t>2.3.2环境质量现状</w:t>
      </w:r>
      <w:bookmarkEnd w:id="56"/>
    </w:p>
    <w:p w14:paraId="5966757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（1）环境空气质量现状与评价</w:t>
      </w:r>
    </w:p>
    <w:p w14:paraId="50AAFA9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本次评价引用</w:t>
      </w:r>
      <w:r>
        <w:rPr>
          <w:rFonts w:hint="default" w:ascii="Times New Roman" w:hAnsi="Times New Roman" w:eastAsia="仿宋" w:cs="Times New Roman"/>
          <w:bCs/>
          <w:color w:val="auto"/>
          <w:sz w:val="28"/>
          <w:szCs w:val="28"/>
          <w:lang w:val="en-US" w:eastAsia="zh-CN"/>
        </w:rPr>
        <w:t>兴</w:t>
      </w:r>
      <w:r>
        <w:rPr>
          <w:rFonts w:hint="default" w:ascii="Times New Roman" w:hAnsi="Times New Roman" w:eastAsia="仿宋" w:cs="Times New Roman"/>
          <w:bCs/>
          <w:color w:val="auto"/>
          <w:sz w:val="28"/>
          <w:szCs w:val="28"/>
          <w:lang w:val="zh-CN" w:eastAsia="zh-CN"/>
        </w:rPr>
        <w:t>县（市、区）202</w:t>
      </w:r>
      <w:r>
        <w:rPr>
          <w:rFonts w:hint="default" w:ascii="Times New Roman" w:hAnsi="Times New Roman" w:eastAsia="仿宋" w:cs="Times New Roman"/>
          <w:bCs/>
          <w:color w:val="auto"/>
          <w:sz w:val="28"/>
          <w:szCs w:val="28"/>
          <w:lang w:val="en-US" w:eastAsia="zh-CN"/>
        </w:rPr>
        <w:t>3</w:t>
      </w:r>
      <w:r>
        <w:rPr>
          <w:rFonts w:hint="default" w:ascii="Times New Roman" w:hAnsi="Times New Roman" w:eastAsia="仿宋" w:cs="Times New Roman"/>
          <w:bCs/>
          <w:color w:val="auto"/>
          <w:sz w:val="28"/>
          <w:szCs w:val="28"/>
          <w:lang w:val="zh-CN" w:eastAsia="zh-CN"/>
        </w:rPr>
        <w:t>年环境空气质量状况统计资料，统计数据见表</w:t>
      </w:r>
      <w:r>
        <w:rPr>
          <w:rFonts w:hint="default" w:ascii="Times New Roman" w:hAnsi="Times New Roman" w:eastAsia="仿宋" w:cs="Times New Roman"/>
          <w:bCs/>
          <w:color w:val="auto"/>
          <w:sz w:val="28"/>
          <w:szCs w:val="28"/>
          <w:lang w:val="en-US" w:eastAsia="zh-CN"/>
        </w:rPr>
        <w:t>2.3-1</w:t>
      </w:r>
      <w:r>
        <w:rPr>
          <w:rFonts w:hint="default" w:ascii="Times New Roman" w:hAnsi="Times New Roman" w:eastAsia="仿宋" w:cs="Times New Roman"/>
          <w:bCs/>
          <w:color w:val="auto"/>
          <w:sz w:val="28"/>
          <w:szCs w:val="28"/>
          <w:lang w:val="zh-CN" w:eastAsia="zh-CN"/>
        </w:rPr>
        <w:t>，评价标准采用《环境空气质量标准》（GB3095-2012）中二级标准。</w:t>
      </w:r>
    </w:p>
    <w:p w14:paraId="25B0C16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highlight w:val="yellow"/>
          <w:lang w:val="en-US" w:eastAsia="zh-CN"/>
        </w:rPr>
      </w:pPr>
      <w:r>
        <w:rPr>
          <w:rFonts w:hint="default" w:ascii="Times New Roman" w:hAnsi="Times New Roman" w:eastAsia="仿宋" w:cs="Times New Roman"/>
          <w:b/>
          <w:bCs/>
          <w:color w:val="auto"/>
          <w:kern w:val="0"/>
          <w:sz w:val="24"/>
          <w:lang w:val="en-US" w:eastAsia="zh-CN"/>
        </w:rPr>
        <w:t>表2.</w:t>
      </w:r>
      <w:r>
        <w:rPr>
          <w:rFonts w:hint="default" w:ascii="Times New Roman" w:hAnsi="Times New Roman" w:cs="Times New Roman"/>
          <w:b/>
          <w:bCs/>
          <w:color w:val="auto"/>
          <w:kern w:val="0"/>
          <w:sz w:val="24"/>
          <w:lang w:val="en-US" w:eastAsia="zh-CN"/>
        </w:rPr>
        <w:t>3</w:t>
      </w:r>
      <w:r>
        <w:rPr>
          <w:rFonts w:hint="default" w:ascii="Times New Roman" w:hAnsi="Times New Roman" w:eastAsia="仿宋" w:cs="Times New Roman"/>
          <w:b/>
          <w:bCs/>
          <w:color w:val="auto"/>
          <w:kern w:val="0"/>
          <w:sz w:val="24"/>
          <w:lang w:val="en-US" w:eastAsia="zh-CN"/>
        </w:rPr>
        <w:t xml:space="preserve">-1  </w:t>
      </w:r>
      <w:r>
        <w:rPr>
          <w:rFonts w:hint="default" w:ascii="Times New Roman" w:hAnsi="Times New Roman" w:eastAsia="仿宋" w:cs="Times New Roman"/>
          <w:b/>
          <w:bCs/>
          <w:color w:val="000000"/>
          <w:kern w:val="0"/>
          <w:sz w:val="24"/>
          <w:highlight w:val="none"/>
          <w:lang w:val="en-US" w:eastAsia="zh-CN"/>
        </w:rPr>
        <w:t>2023年兴县区域空气质量现状评价表</w:t>
      </w:r>
    </w:p>
    <w:tbl>
      <w:tblPr>
        <w:tblStyle w:val="19"/>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18"/>
        <w:gridCol w:w="1833"/>
        <w:gridCol w:w="1891"/>
        <w:gridCol w:w="1811"/>
        <w:gridCol w:w="990"/>
        <w:gridCol w:w="1016"/>
      </w:tblGrid>
      <w:tr w14:paraId="0E911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39573D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污染物</w:t>
            </w:r>
          </w:p>
        </w:tc>
        <w:tc>
          <w:tcPr>
            <w:tcW w:w="1096" w:type="pct"/>
            <w:noWrap w:val="0"/>
            <w:vAlign w:val="center"/>
          </w:tcPr>
          <w:p w14:paraId="316BD8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年评价指标</w:t>
            </w:r>
          </w:p>
        </w:tc>
        <w:tc>
          <w:tcPr>
            <w:tcW w:w="1131" w:type="pct"/>
            <w:noWrap w:val="0"/>
            <w:vAlign w:val="center"/>
          </w:tcPr>
          <w:p w14:paraId="2F2D3A9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现状浓度/（μg/m</w:t>
            </w:r>
            <w:r>
              <w:rPr>
                <w:rFonts w:hint="default" w:ascii="Times New Roman" w:hAnsi="Times New Roman" w:cs="Times New Roman"/>
                <w:b w:val="0"/>
                <w:bCs/>
                <w:color w:val="auto"/>
                <w:sz w:val="21"/>
                <w:szCs w:val="21"/>
                <w:highlight w:val="none"/>
                <w:vertAlign w:val="superscript"/>
              </w:rPr>
              <w:t>3</w:t>
            </w:r>
            <w:r>
              <w:rPr>
                <w:rFonts w:hint="default" w:ascii="Times New Roman" w:hAnsi="Times New Roman" w:cs="Times New Roman"/>
                <w:b w:val="0"/>
                <w:bCs/>
                <w:color w:val="auto"/>
                <w:sz w:val="21"/>
                <w:szCs w:val="21"/>
                <w:highlight w:val="none"/>
              </w:rPr>
              <w:t>）</w:t>
            </w:r>
          </w:p>
        </w:tc>
        <w:tc>
          <w:tcPr>
            <w:tcW w:w="1083" w:type="pct"/>
            <w:noWrap w:val="0"/>
            <w:vAlign w:val="center"/>
          </w:tcPr>
          <w:p w14:paraId="1F6A962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标准值/（μg/m</w:t>
            </w:r>
            <w:r>
              <w:rPr>
                <w:rFonts w:hint="default" w:ascii="Times New Roman" w:hAnsi="Times New Roman" w:cs="Times New Roman"/>
                <w:b w:val="0"/>
                <w:bCs/>
                <w:color w:val="auto"/>
                <w:sz w:val="21"/>
                <w:szCs w:val="21"/>
                <w:highlight w:val="none"/>
                <w:vertAlign w:val="superscript"/>
              </w:rPr>
              <w:t>3</w:t>
            </w:r>
            <w:r>
              <w:rPr>
                <w:rFonts w:hint="default" w:ascii="Times New Roman" w:hAnsi="Times New Roman" w:cs="Times New Roman"/>
                <w:b w:val="0"/>
                <w:bCs/>
                <w:color w:val="auto"/>
                <w:sz w:val="21"/>
                <w:szCs w:val="21"/>
                <w:highlight w:val="none"/>
              </w:rPr>
              <w:t>）</w:t>
            </w:r>
          </w:p>
        </w:tc>
        <w:tc>
          <w:tcPr>
            <w:tcW w:w="592" w:type="pct"/>
            <w:noWrap w:val="0"/>
            <w:vAlign w:val="center"/>
          </w:tcPr>
          <w:p w14:paraId="2F41BD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占标率</w:t>
            </w:r>
            <w:r>
              <w:rPr>
                <w:rFonts w:hint="default" w:ascii="Times New Roman" w:hAnsi="Times New Roman"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rPr>
              <w:t>%</w:t>
            </w:r>
          </w:p>
        </w:tc>
        <w:tc>
          <w:tcPr>
            <w:tcW w:w="607" w:type="pct"/>
            <w:noWrap w:val="0"/>
            <w:vAlign w:val="center"/>
          </w:tcPr>
          <w:p w14:paraId="4733DF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达标情况</w:t>
            </w:r>
          </w:p>
        </w:tc>
      </w:tr>
      <w:tr w14:paraId="12805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0AA00E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SO</w:t>
            </w:r>
            <w:r>
              <w:rPr>
                <w:rFonts w:hint="default" w:ascii="Times New Roman" w:hAnsi="Times New Roman" w:cs="Times New Roman"/>
                <w:b w:val="0"/>
                <w:bCs/>
                <w:color w:val="auto"/>
                <w:sz w:val="21"/>
                <w:szCs w:val="21"/>
                <w:highlight w:val="none"/>
                <w:vertAlign w:val="subscript"/>
              </w:rPr>
              <w:t>2</w:t>
            </w:r>
          </w:p>
        </w:tc>
        <w:tc>
          <w:tcPr>
            <w:tcW w:w="1096" w:type="pct"/>
            <w:noWrap w:val="0"/>
            <w:vAlign w:val="center"/>
          </w:tcPr>
          <w:p w14:paraId="44B1C70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年</w:t>
            </w:r>
            <w:r>
              <w:rPr>
                <w:rFonts w:hint="default" w:ascii="Times New Roman" w:hAnsi="Times New Roman" w:cs="Times New Roman"/>
                <w:b w:val="0"/>
                <w:bCs/>
                <w:color w:val="auto"/>
                <w:sz w:val="21"/>
                <w:szCs w:val="21"/>
                <w:highlight w:val="none"/>
                <w:lang w:val="en-US" w:eastAsia="zh-CN"/>
              </w:rPr>
              <w:t>平</w:t>
            </w:r>
            <w:r>
              <w:rPr>
                <w:rFonts w:hint="default" w:ascii="Times New Roman" w:hAnsi="Times New Roman" w:cs="Times New Roman"/>
                <w:b w:val="0"/>
                <w:bCs/>
                <w:color w:val="auto"/>
                <w:sz w:val="21"/>
                <w:szCs w:val="21"/>
                <w:highlight w:val="none"/>
              </w:rPr>
              <w:t>均</w:t>
            </w:r>
          </w:p>
        </w:tc>
        <w:tc>
          <w:tcPr>
            <w:tcW w:w="1131" w:type="pct"/>
            <w:noWrap w:val="0"/>
            <w:vAlign w:val="center"/>
          </w:tcPr>
          <w:p w14:paraId="6FC9A27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14</w:t>
            </w:r>
          </w:p>
        </w:tc>
        <w:tc>
          <w:tcPr>
            <w:tcW w:w="1083" w:type="pct"/>
            <w:noWrap w:val="0"/>
            <w:vAlign w:val="center"/>
          </w:tcPr>
          <w:p w14:paraId="070966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60</w:t>
            </w:r>
          </w:p>
        </w:tc>
        <w:tc>
          <w:tcPr>
            <w:tcW w:w="592" w:type="pct"/>
            <w:noWrap w:val="0"/>
            <w:vAlign w:val="center"/>
          </w:tcPr>
          <w:p w14:paraId="0C9FEC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23.3</w:t>
            </w:r>
          </w:p>
        </w:tc>
        <w:tc>
          <w:tcPr>
            <w:tcW w:w="607" w:type="pct"/>
            <w:noWrap w:val="0"/>
            <w:vAlign w:val="center"/>
          </w:tcPr>
          <w:p w14:paraId="4FB6B68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达标</w:t>
            </w:r>
          </w:p>
        </w:tc>
      </w:tr>
      <w:tr w14:paraId="7806A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36940B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NO</w:t>
            </w:r>
            <w:r>
              <w:rPr>
                <w:rFonts w:hint="default" w:ascii="Times New Roman" w:hAnsi="Times New Roman" w:cs="Times New Roman"/>
                <w:b w:val="0"/>
                <w:bCs/>
                <w:color w:val="auto"/>
                <w:sz w:val="21"/>
                <w:szCs w:val="21"/>
                <w:highlight w:val="none"/>
                <w:vertAlign w:val="subscript"/>
              </w:rPr>
              <w:t>2</w:t>
            </w:r>
          </w:p>
        </w:tc>
        <w:tc>
          <w:tcPr>
            <w:tcW w:w="1096" w:type="pct"/>
            <w:noWrap w:val="0"/>
            <w:vAlign w:val="center"/>
          </w:tcPr>
          <w:p w14:paraId="7B83A1C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年</w:t>
            </w:r>
            <w:r>
              <w:rPr>
                <w:rFonts w:hint="default" w:ascii="Times New Roman" w:hAnsi="Times New Roman" w:cs="Times New Roman"/>
                <w:b w:val="0"/>
                <w:bCs/>
                <w:color w:val="auto"/>
                <w:sz w:val="21"/>
                <w:szCs w:val="21"/>
                <w:highlight w:val="none"/>
                <w:lang w:val="en-US" w:eastAsia="zh-CN"/>
              </w:rPr>
              <w:t>平</w:t>
            </w:r>
            <w:r>
              <w:rPr>
                <w:rFonts w:hint="default" w:ascii="Times New Roman" w:hAnsi="Times New Roman" w:cs="Times New Roman"/>
                <w:b w:val="0"/>
                <w:bCs/>
                <w:color w:val="auto"/>
                <w:sz w:val="21"/>
                <w:szCs w:val="21"/>
                <w:highlight w:val="none"/>
              </w:rPr>
              <w:t>均</w:t>
            </w:r>
          </w:p>
        </w:tc>
        <w:tc>
          <w:tcPr>
            <w:tcW w:w="1131" w:type="pct"/>
            <w:noWrap w:val="0"/>
            <w:vAlign w:val="center"/>
          </w:tcPr>
          <w:p w14:paraId="031FB72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27</w:t>
            </w:r>
          </w:p>
        </w:tc>
        <w:tc>
          <w:tcPr>
            <w:tcW w:w="1083" w:type="pct"/>
            <w:noWrap w:val="0"/>
            <w:vAlign w:val="center"/>
          </w:tcPr>
          <w:p w14:paraId="237C192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40</w:t>
            </w:r>
          </w:p>
        </w:tc>
        <w:tc>
          <w:tcPr>
            <w:tcW w:w="592" w:type="pct"/>
            <w:noWrap w:val="0"/>
            <w:vAlign w:val="center"/>
          </w:tcPr>
          <w:p w14:paraId="5AA2F32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67.5</w:t>
            </w:r>
          </w:p>
        </w:tc>
        <w:tc>
          <w:tcPr>
            <w:tcW w:w="607" w:type="pct"/>
            <w:noWrap w:val="0"/>
            <w:vAlign w:val="center"/>
          </w:tcPr>
          <w:p w14:paraId="610F5B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rPr>
              <w:t>达标</w:t>
            </w:r>
          </w:p>
        </w:tc>
      </w:tr>
      <w:tr w14:paraId="19D56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4549F25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PM</w:t>
            </w:r>
            <w:r>
              <w:rPr>
                <w:rFonts w:hint="default" w:ascii="Times New Roman" w:hAnsi="Times New Roman" w:cs="Times New Roman"/>
                <w:b w:val="0"/>
                <w:bCs/>
                <w:color w:val="auto"/>
                <w:sz w:val="21"/>
                <w:szCs w:val="21"/>
                <w:highlight w:val="none"/>
                <w:vertAlign w:val="subscript"/>
              </w:rPr>
              <w:t>10</w:t>
            </w:r>
          </w:p>
        </w:tc>
        <w:tc>
          <w:tcPr>
            <w:tcW w:w="1096" w:type="pct"/>
            <w:noWrap w:val="0"/>
            <w:vAlign w:val="center"/>
          </w:tcPr>
          <w:p w14:paraId="0F1A49E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年</w:t>
            </w:r>
            <w:r>
              <w:rPr>
                <w:rFonts w:hint="default" w:ascii="Times New Roman" w:hAnsi="Times New Roman" w:cs="Times New Roman"/>
                <w:b w:val="0"/>
                <w:bCs/>
                <w:color w:val="auto"/>
                <w:sz w:val="21"/>
                <w:szCs w:val="21"/>
                <w:highlight w:val="none"/>
                <w:lang w:val="en-US" w:eastAsia="zh-CN"/>
              </w:rPr>
              <w:t>平</w:t>
            </w:r>
            <w:r>
              <w:rPr>
                <w:rFonts w:hint="default" w:ascii="Times New Roman" w:hAnsi="Times New Roman" w:cs="Times New Roman"/>
                <w:b w:val="0"/>
                <w:bCs/>
                <w:color w:val="auto"/>
                <w:sz w:val="21"/>
                <w:szCs w:val="21"/>
                <w:highlight w:val="none"/>
              </w:rPr>
              <w:t>均</w:t>
            </w:r>
          </w:p>
        </w:tc>
        <w:tc>
          <w:tcPr>
            <w:tcW w:w="1131" w:type="pct"/>
            <w:noWrap w:val="0"/>
            <w:vAlign w:val="center"/>
          </w:tcPr>
          <w:p w14:paraId="6210AC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62</w:t>
            </w:r>
          </w:p>
        </w:tc>
        <w:tc>
          <w:tcPr>
            <w:tcW w:w="1083" w:type="pct"/>
            <w:noWrap w:val="0"/>
            <w:vAlign w:val="center"/>
          </w:tcPr>
          <w:p w14:paraId="258001D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70</w:t>
            </w:r>
          </w:p>
        </w:tc>
        <w:tc>
          <w:tcPr>
            <w:tcW w:w="592" w:type="pct"/>
            <w:noWrap w:val="0"/>
            <w:vAlign w:val="center"/>
          </w:tcPr>
          <w:p w14:paraId="61E273C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88.6</w:t>
            </w:r>
          </w:p>
        </w:tc>
        <w:tc>
          <w:tcPr>
            <w:tcW w:w="607" w:type="pct"/>
            <w:noWrap w:val="0"/>
            <w:vAlign w:val="center"/>
          </w:tcPr>
          <w:p w14:paraId="00A51F5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达</w:t>
            </w:r>
            <w:r>
              <w:rPr>
                <w:rFonts w:hint="default" w:ascii="Times New Roman" w:hAnsi="Times New Roman" w:cs="Times New Roman"/>
                <w:b w:val="0"/>
                <w:bCs/>
                <w:color w:val="auto"/>
                <w:sz w:val="21"/>
                <w:szCs w:val="21"/>
                <w:highlight w:val="none"/>
              </w:rPr>
              <w:t>标</w:t>
            </w:r>
          </w:p>
        </w:tc>
      </w:tr>
      <w:tr w14:paraId="46F75A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41E52CD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PM</w:t>
            </w:r>
            <w:r>
              <w:rPr>
                <w:rFonts w:hint="default" w:ascii="Times New Roman" w:hAnsi="Times New Roman" w:cs="Times New Roman"/>
                <w:b w:val="0"/>
                <w:bCs/>
                <w:color w:val="auto"/>
                <w:sz w:val="21"/>
                <w:szCs w:val="21"/>
                <w:highlight w:val="none"/>
                <w:vertAlign w:val="subscript"/>
              </w:rPr>
              <w:t>2.5</w:t>
            </w:r>
          </w:p>
        </w:tc>
        <w:tc>
          <w:tcPr>
            <w:tcW w:w="1096" w:type="pct"/>
            <w:noWrap w:val="0"/>
            <w:vAlign w:val="center"/>
          </w:tcPr>
          <w:p w14:paraId="3C179E6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年</w:t>
            </w:r>
            <w:r>
              <w:rPr>
                <w:rFonts w:hint="default" w:ascii="Times New Roman" w:hAnsi="Times New Roman" w:cs="Times New Roman"/>
                <w:b w:val="0"/>
                <w:bCs/>
                <w:color w:val="auto"/>
                <w:sz w:val="21"/>
                <w:szCs w:val="21"/>
                <w:highlight w:val="none"/>
                <w:lang w:val="en-US" w:eastAsia="zh-CN"/>
              </w:rPr>
              <w:t>平</w:t>
            </w:r>
            <w:r>
              <w:rPr>
                <w:rFonts w:hint="default" w:ascii="Times New Roman" w:hAnsi="Times New Roman" w:cs="Times New Roman"/>
                <w:b w:val="0"/>
                <w:bCs/>
                <w:color w:val="auto"/>
                <w:sz w:val="21"/>
                <w:szCs w:val="21"/>
                <w:highlight w:val="none"/>
              </w:rPr>
              <w:t>均</w:t>
            </w:r>
          </w:p>
        </w:tc>
        <w:tc>
          <w:tcPr>
            <w:tcW w:w="1131" w:type="pct"/>
            <w:noWrap w:val="0"/>
            <w:vAlign w:val="center"/>
          </w:tcPr>
          <w:p w14:paraId="450AE7C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26</w:t>
            </w:r>
          </w:p>
        </w:tc>
        <w:tc>
          <w:tcPr>
            <w:tcW w:w="1083" w:type="pct"/>
            <w:noWrap w:val="0"/>
            <w:vAlign w:val="center"/>
          </w:tcPr>
          <w:p w14:paraId="4C6DEEB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35</w:t>
            </w:r>
          </w:p>
        </w:tc>
        <w:tc>
          <w:tcPr>
            <w:tcW w:w="592" w:type="pct"/>
            <w:noWrap w:val="0"/>
            <w:vAlign w:val="center"/>
          </w:tcPr>
          <w:p w14:paraId="63ABB0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74.3</w:t>
            </w:r>
          </w:p>
        </w:tc>
        <w:tc>
          <w:tcPr>
            <w:tcW w:w="607" w:type="pct"/>
            <w:noWrap w:val="0"/>
            <w:vAlign w:val="center"/>
          </w:tcPr>
          <w:p w14:paraId="59D8632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达</w:t>
            </w:r>
            <w:r>
              <w:rPr>
                <w:rFonts w:hint="default" w:ascii="Times New Roman" w:hAnsi="Times New Roman" w:cs="Times New Roman"/>
                <w:b w:val="0"/>
                <w:bCs/>
                <w:color w:val="auto"/>
                <w:sz w:val="21"/>
                <w:szCs w:val="21"/>
                <w:highlight w:val="none"/>
              </w:rPr>
              <w:t>标</w:t>
            </w:r>
          </w:p>
        </w:tc>
      </w:tr>
      <w:tr w14:paraId="1B8D5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58174A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rPr>
              <w:t>O</w:t>
            </w:r>
            <w:r>
              <w:rPr>
                <w:rFonts w:hint="default" w:ascii="Times New Roman" w:hAnsi="Times New Roman" w:cs="Times New Roman"/>
                <w:b w:val="0"/>
                <w:bCs/>
                <w:color w:val="auto"/>
                <w:sz w:val="21"/>
                <w:szCs w:val="21"/>
                <w:highlight w:val="none"/>
                <w:vertAlign w:val="subscript"/>
              </w:rPr>
              <w:t>3</w:t>
            </w:r>
          </w:p>
        </w:tc>
        <w:tc>
          <w:tcPr>
            <w:tcW w:w="1096" w:type="pct"/>
            <w:noWrap w:val="0"/>
            <w:vAlign w:val="center"/>
          </w:tcPr>
          <w:p w14:paraId="0F04C90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日最大</w:t>
            </w:r>
            <w:r>
              <w:rPr>
                <w:rFonts w:hint="default" w:ascii="Times New Roman" w:hAnsi="Times New Roman" w:cs="Times New Roman"/>
                <w:b w:val="0"/>
                <w:bCs/>
                <w:color w:val="auto"/>
                <w:sz w:val="21"/>
                <w:szCs w:val="21"/>
                <w:highlight w:val="none"/>
              </w:rPr>
              <w:t>8</w:t>
            </w:r>
            <w:r>
              <w:rPr>
                <w:rFonts w:hint="default" w:ascii="Times New Roman" w:hAnsi="Times New Roman" w:cs="Times New Roman"/>
                <w:b w:val="0"/>
                <w:bCs/>
                <w:color w:val="auto"/>
                <w:sz w:val="21"/>
                <w:szCs w:val="21"/>
                <w:highlight w:val="none"/>
                <w:lang w:val="en-US" w:eastAsia="zh-CN"/>
              </w:rPr>
              <w:t>小时滑动</w:t>
            </w:r>
            <w:r>
              <w:rPr>
                <w:rFonts w:hint="default" w:ascii="Times New Roman" w:hAnsi="Times New Roman" w:cs="Times New Roman"/>
                <w:b w:val="0"/>
                <w:bCs/>
                <w:color w:val="auto"/>
                <w:sz w:val="21"/>
                <w:szCs w:val="21"/>
                <w:highlight w:val="none"/>
              </w:rPr>
              <w:t>平均值的第90百分位</w:t>
            </w:r>
            <w:r>
              <w:rPr>
                <w:rFonts w:hint="default" w:ascii="Times New Roman" w:hAnsi="Times New Roman" w:cs="Times New Roman"/>
                <w:b w:val="0"/>
                <w:bCs/>
                <w:color w:val="auto"/>
                <w:sz w:val="21"/>
                <w:szCs w:val="21"/>
                <w:highlight w:val="none"/>
                <w:lang w:val="en-US" w:eastAsia="zh-CN"/>
              </w:rPr>
              <w:t>数</w:t>
            </w:r>
          </w:p>
        </w:tc>
        <w:tc>
          <w:tcPr>
            <w:tcW w:w="1131" w:type="pct"/>
            <w:noWrap w:val="0"/>
            <w:vAlign w:val="center"/>
          </w:tcPr>
          <w:p w14:paraId="51F8C4C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152</w:t>
            </w:r>
          </w:p>
        </w:tc>
        <w:tc>
          <w:tcPr>
            <w:tcW w:w="1083" w:type="pct"/>
            <w:noWrap w:val="0"/>
            <w:vAlign w:val="center"/>
          </w:tcPr>
          <w:p w14:paraId="36913D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rPr>
              <w:t>160</w:t>
            </w:r>
          </w:p>
        </w:tc>
        <w:tc>
          <w:tcPr>
            <w:tcW w:w="592" w:type="pct"/>
            <w:noWrap w:val="0"/>
            <w:vAlign w:val="center"/>
          </w:tcPr>
          <w:p w14:paraId="14ABF53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95.0</w:t>
            </w:r>
          </w:p>
        </w:tc>
        <w:tc>
          <w:tcPr>
            <w:tcW w:w="607" w:type="pct"/>
            <w:noWrap w:val="0"/>
            <w:vAlign w:val="center"/>
          </w:tcPr>
          <w:p w14:paraId="1FF8F2F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达标</w:t>
            </w:r>
          </w:p>
        </w:tc>
      </w:tr>
      <w:tr w14:paraId="31F62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30D740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CO</w:t>
            </w:r>
          </w:p>
        </w:tc>
        <w:tc>
          <w:tcPr>
            <w:tcW w:w="1096" w:type="pct"/>
            <w:noWrap w:val="0"/>
            <w:vAlign w:val="center"/>
          </w:tcPr>
          <w:p w14:paraId="0C92CCD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第95百分位24h平均</w:t>
            </w:r>
            <w:r>
              <w:rPr>
                <w:rFonts w:hint="default" w:ascii="Times New Roman" w:hAnsi="Times New Roman" w:cs="Times New Roman"/>
                <w:b w:val="0"/>
                <w:bCs/>
                <w:color w:val="auto"/>
                <w:sz w:val="21"/>
                <w:szCs w:val="21"/>
                <w:highlight w:val="none"/>
                <w:lang w:val="en-US" w:eastAsia="zh-CN"/>
              </w:rPr>
              <w:t>质量</w:t>
            </w:r>
            <w:r>
              <w:rPr>
                <w:rFonts w:hint="default" w:ascii="Times New Roman" w:hAnsi="Times New Roman" w:cs="Times New Roman"/>
                <w:b w:val="0"/>
                <w:bCs/>
                <w:color w:val="auto"/>
                <w:sz w:val="21"/>
                <w:szCs w:val="21"/>
                <w:highlight w:val="none"/>
              </w:rPr>
              <w:t>浓度</w:t>
            </w:r>
          </w:p>
        </w:tc>
        <w:tc>
          <w:tcPr>
            <w:tcW w:w="1131" w:type="pct"/>
            <w:noWrap w:val="0"/>
            <w:vAlign w:val="center"/>
          </w:tcPr>
          <w:p w14:paraId="1021D81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b w:val="0"/>
                <w:bCs/>
                <w:color w:val="auto"/>
                <w:sz w:val="21"/>
                <w:szCs w:val="21"/>
                <w:highlight w:val="none"/>
                <w:lang w:val="en-US" w:eastAsia="zh-CN"/>
              </w:rPr>
              <w:t>1200</w:t>
            </w:r>
          </w:p>
        </w:tc>
        <w:tc>
          <w:tcPr>
            <w:tcW w:w="1083" w:type="pct"/>
            <w:noWrap w:val="0"/>
            <w:vAlign w:val="center"/>
          </w:tcPr>
          <w:p w14:paraId="6023CF9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4000</w:t>
            </w:r>
          </w:p>
        </w:tc>
        <w:tc>
          <w:tcPr>
            <w:tcW w:w="592" w:type="pct"/>
            <w:noWrap w:val="0"/>
            <w:vAlign w:val="center"/>
          </w:tcPr>
          <w:p w14:paraId="4429796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b w:val="0"/>
                <w:bCs/>
                <w:color w:val="auto"/>
                <w:sz w:val="21"/>
                <w:szCs w:val="21"/>
                <w:highlight w:val="none"/>
                <w:lang w:val="en-US" w:eastAsia="zh-CN"/>
              </w:rPr>
              <w:t>30.0</w:t>
            </w:r>
          </w:p>
        </w:tc>
        <w:tc>
          <w:tcPr>
            <w:tcW w:w="607" w:type="pct"/>
            <w:noWrap w:val="0"/>
            <w:vAlign w:val="center"/>
          </w:tcPr>
          <w:p w14:paraId="4097142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达标</w:t>
            </w:r>
          </w:p>
        </w:tc>
      </w:tr>
    </w:tbl>
    <w:p w14:paraId="68C079A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en-US" w:eastAsia="zh-CN"/>
        </w:rPr>
        <w:t>由表2.3-1可知，2023年兴县全年例行监测中例行监测因子SO</w:t>
      </w:r>
      <w:r>
        <w:rPr>
          <w:rFonts w:hint="default" w:ascii="Times New Roman" w:hAnsi="Times New Roman" w:eastAsia="仿宋" w:cs="Times New Roman"/>
          <w:bCs/>
          <w:color w:val="auto"/>
          <w:sz w:val="28"/>
          <w:szCs w:val="28"/>
          <w:vertAlign w:val="subscript"/>
          <w:lang w:val="en-US" w:eastAsia="zh-CN"/>
        </w:rPr>
        <w:t>2</w:t>
      </w:r>
      <w:r>
        <w:rPr>
          <w:rFonts w:hint="default" w:ascii="Times New Roman" w:hAnsi="Times New Roman" w:eastAsia="仿宋" w:cs="Times New Roman"/>
          <w:bCs/>
          <w:color w:val="auto"/>
          <w:sz w:val="28"/>
          <w:szCs w:val="28"/>
          <w:lang w:val="en-US" w:eastAsia="zh-CN"/>
        </w:rPr>
        <w:t>、NO</w:t>
      </w:r>
      <w:r>
        <w:rPr>
          <w:rFonts w:hint="default" w:ascii="Times New Roman" w:hAnsi="Times New Roman" w:eastAsia="仿宋" w:cs="Times New Roman"/>
          <w:bCs/>
          <w:color w:val="auto"/>
          <w:sz w:val="28"/>
          <w:szCs w:val="28"/>
          <w:vertAlign w:val="subscript"/>
          <w:lang w:val="en-US" w:eastAsia="zh-CN"/>
        </w:rPr>
        <w:t>2</w:t>
      </w:r>
      <w:r>
        <w:rPr>
          <w:rFonts w:hint="default" w:ascii="Times New Roman" w:hAnsi="Times New Roman" w:eastAsia="仿宋" w:cs="Times New Roman"/>
          <w:bCs/>
          <w:color w:val="auto"/>
          <w:sz w:val="28"/>
          <w:szCs w:val="28"/>
          <w:lang w:val="en-US" w:eastAsia="zh-CN"/>
        </w:rPr>
        <w:t>、PM</w:t>
      </w:r>
      <w:r>
        <w:rPr>
          <w:rFonts w:hint="default" w:ascii="Times New Roman" w:hAnsi="Times New Roman" w:eastAsia="仿宋" w:cs="Times New Roman"/>
          <w:bCs/>
          <w:color w:val="auto"/>
          <w:sz w:val="28"/>
          <w:szCs w:val="28"/>
          <w:vertAlign w:val="subscript"/>
          <w:lang w:val="en-US" w:eastAsia="zh-CN"/>
        </w:rPr>
        <w:t>10</w:t>
      </w:r>
      <w:r>
        <w:rPr>
          <w:rFonts w:hint="default" w:ascii="Times New Roman" w:hAnsi="Times New Roman" w:eastAsia="仿宋" w:cs="Times New Roman"/>
          <w:bCs/>
          <w:color w:val="auto"/>
          <w:sz w:val="28"/>
          <w:szCs w:val="28"/>
          <w:lang w:val="en-US" w:eastAsia="zh-CN"/>
        </w:rPr>
        <w:t>、PM</w:t>
      </w:r>
      <w:r>
        <w:rPr>
          <w:rFonts w:hint="default" w:ascii="Times New Roman" w:hAnsi="Times New Roman" w:eastAsia="仿宋" w:cs="Times New Roman"/>
          <w:bCs/>
          <w:color w:val="auto"/>
          <w:sz w:val="28"/>
          <w:szCs w:val="28"/>
          <w:vertAlign w:val="subscript"/>
          <w:lang w:val="en-US" w:eastAsia="zh-CN"/>
        </w:rPr>
        <w:t>2.5</w:t>
      </w:r>
      <w:r>
        <w:rPr>
          <w:rFonts w:hint="default" w:ascii="Times New Roman" w:hAnsi="Times New Roman" w:eastAsia="仿宋" w:cs="Times New Roman"/>
          <w:bCs/>
          <w:color w:val="auto"/>
          <w:sz w:val="28"/>
          <w:szCs w:val="28"/>
          <w:lang w:val="en-US" w:eastAsia="zh-CN"/>
        </w:rPr>
        <w:t>年平均质量浓度、O</w:t>
      </w:r>
      <w:r>
        <w:rPr>
          <w:rFonts w:hint="default" w:ascii="Times New Roman" w:hAnsi="Times New Roman" w:eastAsia="仿宋" w:cs="Times New Roman"/>
          <w:bCs/>
          <w:color w:val="auto"/>
          <w:sz w:val="28"/>
          <w:szCs w:val="28"/>
          <w:vertAlign w:val="subscript"/>
          <w:lang w:val="en-US" w:eastAsia="zh-CN"/>
        </w:rPr>
        <w:t>3</w:t>
      </w:r>
      <w:r>
        <w:rPr>
          <w:rFonts w:hint="default" w:ascii="Times New Roman" w:hAnsi="Times New Roman" w:eastAsia="仿宋" w:cs="Times New Roman"/>
          <w:bCs/>
          <w:color w:val="auto"/>
          <w:sz w:val="28"/>
          <w:szCs w:val="28"/>
          <w:lang w:val="en-US" w:eastAsia="zh-CN"/>
        </w:rPr>
        <w:t>、CO百分位日平均质量浓度满足《环境空气质量标准》中的二级标准。项目所在区域为达标区。</w:t>
      </w:r>
    </w:p>
    <w:p w14:paraId="6187EDF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（2）地表水环境质量现状</w:t>
      </w:r>
    </w:p>
    <w:p w14:paraId="07E05638">
      <w:pPr>
        <w:pStyle w:val="27"/>
        <w:tabs>
          <w:tab w:val="right" w:leader="dot" w:pos="8313"/>
        </w:tabs>
        <w:adjustRightInd w:val="0"/>
        <w:snapToGrid w:val="0"/>
        <w:spacing w:line="560" w:lineRule="exact"/>
        <w:ind w:firstLine="560" w:firstLineChars="200"/>
        <w:rPr>
          <w:rFonts w:hint="default" w:ascii="Times New Roman" w:hAnsi="Times New Roman" w:cs="Times New Roman"/>
          <w:sz w:val="28"/>
          <w:szCs w:val="28"/>
          <w:highlight w:val="none"/>
          <w:lang w:val="zh-CN" w:eastAsia="zh-CN"/>
        </w:rPr>
      </w:pPr>
      <w:r>
        <w:rPr>
          <w:rFonts w:hint="default" w:ascii="Times New Roman" w:hAnsi="Times New Roman" w:eastAsia="仿宋" w:cs="Times New Roman"/>
          <w:bCs/>
          <w:color w:val="auto"/>
          <w:sz w:val="28"/>
          <w:szCs w:val="28"/>
          <w:highlight w:val="none"/>
          <w:lang w:val="en-US" w:eastAsia="zh-CN"/>
        </w:rPr>
        <w:t>本次</w:t>
      </w:r>
      <w:r>
        <w:rPr>
          <w:rFonts w:hint="default" w:ascii="Times New Roman" w:hAnsi="Times New Roman" w:eastAsia="仿宋" w:cs="Times New Roman"/>
          <w:bCs/>
          <w:color w:val="auto"/>
          <w:sz w:val="28"/>
          <w:szCs w:val="28"/>
          <w:highlight w:val="none"/>
          <w:lang w:val="zh-CN" w:eastAsia="zh-CN"/>
        </w:rPr>
        <w:t>地表水环境质量引用山西省生态环境</w:t>
      </w:r>
      <w:r>
        <w:rPr>
          <w:rFonts w:hint="default" w:ascii="Times New Roman" w:hAnsi="Times New Roman" w:eastAsia="仿宋" w:cs="Times New Roman"/>
          <w:bCs/>
          <w:color w:val="auto"/>
          <w:sz w:val="28"/>
          <w:szCs w:val="28"/>
          <w:highlight w:val="none"/>
          <w:lang w:val="en-US" w:eastAsia="zh-CN"/>
        </w:rPr>
        <w:t>厅</w:t>
      </w:r>
      <w:r>
        <w:rPr>
          <w:rFonts w:hint="default" w:ascii="Times New Roman" w:hAnsi="Times New Roman" w:eastAsia="仿宋" w:cs="Times New Roman"/>
          <w:bCs/>
          <w:color w:val="auto"/>
          <w:sz w:val="28"/>
          <w:szCs w:val="28"/>
          <w:highlight w:val="none"/>
          <w:lang w:val="zh-CN" w:eastAsia="zh-CN"/>
        </w:rPr>
        <w:t>地表水水质月报中202</w:t>
      </w:r>
      <w:r>
        <w:rPr>
          <w:rFonts w:hint="default" w:ascii="Times New Roman" w:hAnsi="Times New Roman" w:eastAsia="仿宋" w:cs="Times New Roman"/>
          <w:bCs/>
          <w:color w:val="auto"/>
          <w:sz w:val="28"/>
          <w:szCs w:val="28"/>
          <w:highlight w:val="none"/>
          <w:lang w:val="en-US" w:eastAsia="zh-CN"/>
        </w:rPr>
        <w:t>3</w:t>
      </w:r>
      <w:r>
        <w:rPr>
          <w:rFonts w:hint="default" w:ascii="Times New Roman" w:hAnsi="Times New Roman" w:eastAsia="仿宋" w:cs="Times New Roman"/>
          <w:bCs/>
          <w:color w:val="auto"/>
          <w:sz w:val="28"/>
          <w:szCs w:val="28"/>
          <w:highlight w:val="none"/>
          <w:lang w:val="zh-CN" w:eastAsia="zh-CN"/>
        </w:rPr>
        <w:t>年</w:t>
      </w:r>
      <w:r>
        <w:rPr>
          <w:rFonts w:hint="default" w:ascii="Times New Roman" w:hAnsi="Times New Roman" w:eastAsia="仿宋" w:cs="Times New Roman"/>
          <w:bCs/>
          <w:color w:val="auto"/>
          <w:sz w:val="28"/>
          <w:szCs w:val="28"/>
          <w:highlight w:val="none"/>
          <w:lang w:val="en-US" w:eastAsia="zh-CN"/>
        </w:rPr>
        <w:t>1月-12月岚漪河、蔚汾河水系水质状况</w:t>
      </w:r>
      <w:r>
        <w:rPr>
          <w:rFonts w:hint="default" w:ascii="Times New Roman" w:hAnsi="Times New Roman" w:eastAsia="仿宋" w:cs="Times New Roman"/>
          <w:bCs/>
          <w:color w:val="auto"/>
          <w:sz w:val="28"/>
          <w:szCs w:val="28"/>
          <w:highlight w:val="none"/>
          <w:lang w:val="zh-CN" w:eastAsia="zh-CN"/>
        </w:rPr>
        <w:t>，见表</w:t>
      </w:r>
      <w:r>
        <w:rPr>
          <w:rFonts w:hint="default" w:ascii="Times New Roman" w:hAnsi="Times New Roman" w:eastAsia="仿宋" w:cs="Times New Roman"/>
          <w:bCs/>
          <w:color w:val="auto"/>
          <w:sz w:val="28"/>
          <w:szCs w:val="28"/>
          <w:highlight w:val="none"/>
          <w:lang w:val="en-US" w:eastAsia="zh-CN"/>
        </w:rPr>
        <w:t>2.3-2、2.3-3</w:t>
      </w:r>
      <w:r>
        <w:rPr>
          <w:rFonts w:hint="default" w:ascii="Times New Roman" w:hAnsi="Times New Roman" w:eastAsia="仿宋" w:cs="Times New Roman"/>
          <w:bCs/>
          <w:color w:val="auto"/>
          <w:sz w:val="28"/>
          <w:szCs w:val="28"/>
          <w:highlight w:val="none"/>
          <w:lang w:val="zh-CN" w:eastAsia="zh-CN"/>
        </w:rPr>
        <w:t>。</w:t>
      </w:r>
    </w:p>
    <w:p w14:paraId="102C6F4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highlight w:val="yellow"/>
          <w:lang w:val="zh-CN"/>
        </w:rPr>
        <w:sectPr>
          <w:pgSz w:w="11906" w:h="16838"/>
          <w:pgMar w:top="1440" w:right="1800" w:bottom="1440" w:left="1800" w:header="851" w:footer="992" w:gutter="0"/>
          <w:pgNumType w:fmt="numberInDash"/>
          <w:cols w:space="425" w:num="1"/>
          <w:docGrid w:type="lines" w:linePitch="312" w:charSpace="0"/>
        </w:sectPr>
      </w:pPr>
    </w:p>
    <w:p w14:paraId="4FE6371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2.3-2  2023年1-12月岚漪河裴家川口断面地表水环境质量状况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9"/>
        <w:gridCol w:w="1296"/>
        <w:gridCol w:w="1348"/>
        <w:gridCol w:w="1728"/>
        <w:gridCol w:w="1787"/>
        <w:gridCol w:w="1155"/>
      </w:tblGrid>
      <w:tr w14:paraId="7114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31DF159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时间</w:t>
            </w:r>
          </w:p>
        </w:tc>
        <w:tc>
          <w:tcPr>
            <w:tcW w:w="1589" w:type="pct"/>
            <w:gridSpan w:val="2"/>
            <w:noWrap w:val="0"/>
            <w:tcMar>
              <w:left w:w="0" w:type="dxa"/>
              <w:right w:w="0" w:type="dxa"/>
            </w:tcMar>
            <w:vAlign w:val="center"/>
          </w:tcPr>
          <w:p w14:paraId="1F4D8F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水体或断面名称</w:t>
            </w:r>
          </w:p>
        </w:tc>
        <w:tc>
          <w:tcPr>
            <w:tcW w:w="1039" w:type="pct"/>
            <w:noWrap/>
            <w:tcMar>
              <w:left w:w="0" w:type="dxa"/>
              <w:right w:w="0" w:type="dxa"/>
            </w:tcMar>
            <w:vAlign w:val="center"/>
          </w:tcPr>
          <w:p w14:paraId="321B31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水质目标</w:t>
            </w:r>
          </w:p>
        </w:tc>
        <w:tc>
          <w:tcPr>
            <w:tcW w:w="1074" w:type="pct"/>
            <w:noWrap/>
            <w:tcMar>
              <w:left w:w="0" w:type="dxa"/>
              <w:right w:w="0" w:type="dxa"/>
            </w:tcMar>
            <w:vAlign w:val="center"/>
          </w:tcPr>
          <w:p w14:paraId="35AE937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本月水质状况</w:t>
            </w:r>
          </w:p>
        </w:tc>
        <w:tc>
          <w:tcPr>
            <w:tcW w:w="694" w:type="pct"/>
            <w:noWrap/>
            <w:tcMar>
              <w:left w:w="0" w:type="dxa"/>
              <w:right w:w="0" w:type="dxa"/>
            </w:tcMar>
            <w:vAlign w:val="center"/>
          </w:tcPr>
          <w:p w14:paraId="7402CC7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断面性质</w:t>
            </w:r>
          </w:p>
        </w:tc>
      </w:tr>
      <w:tr w14:paraId="7F4E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14F962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1月</w:t>
            </w:r>
          </w:p>
        </w:tc>
        <w:tc>
          <w:tcPr>
            <w:tcW w:w="779" w:type="pct"/>
            <w:vMerge w:val="restart"/>
            <w:noWrap w:val="0"/>
            <w:tcMar>
              <w:left w:w="0" w:type="dxa"/>
              <w:right w:w="0" w:type="dxa"/>
            </w:tcMar>
            <w:vAlign w:val="center"/>
          </w:tcPr>
          <w:p w14:paraId="0F4F802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岚漪河</w:t>
            </w:r>
          </w:p>
        </w:tc>
        <w:tc>
          <w:tcPr>
            <w:tcW w:w="810" w:type="pct"/>
            <w:vMerge w:val="restart"/>
            <w:noWrap/>
            <w:tcMar>
              <w:left w:w="0" w:type="dxa"/>
              <w:right w:w="0" w:type="dxa"/>
            </w:tcMar>
            <w:vAlign w:val="center"/>
          </w:tcPr>
          <w:p w14:paraId="785B82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裴家川口</w:t>
            </w:r>
          </w:p>
        </w:tc>
        <w:tc>
          <w:tcPr>
            <w:tcW w:w="1039" w:type="pct"/>
            <w:vMerge w:val="restart"/>
            <w:noWrap/>
            <w:tcMar>
              <w:left w:w="0" w:type="dxa"/>
              <w:right w:w="0" w:type="dxa"/>
            </w:tcMar>
            <w:vAlign w:val="center"/>
          </w:tcPr>
          <w:p w14:paraId="4419F9A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Ⅳ类</w:t>
            </w:r>
          </w:p>
        </w:tc>
        <w:tc>
          <w:tcPr>
            <w:tcW w:w="1074" w:type="pct"/>
            <w:noWrap/>
            <w:tcMar>
              <w:left w:w="0" w:type="dxa"/>
              <w:right w:w="0" w:type="dxa"/>
            </w:tcMar>
            <w:vAlign w:val="center"/>
          </w:tcPr>
          <w:p w14:paraId="36E8FC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restart"/>
            <w:noWrap/>
            <w:tcMar>
              <w:left w:w="0" w:type="dxa"/>
              <w:right w:w="0" w:type="dxa"/>
            </w:tcMar>
            <w:vAlign w:val="center"/>
          </w:tcPr>
          <w:p w14:paraId="555F1F8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国控</w:t>
            </w:r>
          </w:p>
        </w:tc>
      </w:tr>
      <w:tr w14:paraId="63EF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6F5E9A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2月</w:t>
            </w:r>
          </w:p>
        </w:tc>
        <w:tc>
          <w:tcPr>
            <w:tcW w:w="779" w:type="pct"/>
            <w:vMerge w:val="continue"/>
            <w:noWrap w:val="0"/>
            <w:tcMar>
              <w:left w:w="0" w:type="dxa"/>
              <w:right w:w="0" w:type="dxa"/>
            </w:tcMar>
            <w:vAlign w:val="center"/>
          </w:tcPr>
          <w:p w14:paraId="1B8229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1896AE1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3C4EBA2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151A597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5CE5934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ABC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48D78F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3月</w:t>
            </w:r>
          </w:p>
        </w:tc>
        <w:tc>
          <w:tcPr>
            <w:tcW w:w="779" w:type="pct"/>
            <w:vMerge w:val="continue"/>
            <w:noWrap w:val="0"/>
            <w:tcMar>
              <w:left w:w="0" w:type="dxa"/>
              <w:right w:w="0" w:type="dxa"/>
            </w:tcMar>
            <w:vAlign w:val="center"/>
          </w:tcPr>
          <w:p w14:paraId="5631CA3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17D03E9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375F440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4818A70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345E807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0842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8FEF0D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4月</w:t>
            </w:r>
          </w:p>
        </w:tc>
        <w:tc>
          <w:tcPr>
            <w:tcW w:w="779" w:type="pct"/>
            <w:vMerge w:val="continue"/>
            <w:noWrap w:val="0"/>
            <w:tcMar>
              <w:left w:w="0" w:type="dxa"/>
              <w:right w:w="0" w:type="dxa"/>
            </w:tcMar>
            <w:vAlign w:val="center"/>
          </w:tcPr>
          <w:p w14:paraId="4FC96BF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5395292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0BFA7EC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71690F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3A90165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F1E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1527D00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5月</w:t>
            </w:r>
          </w:p>
        </w:tc>
        <w:tc>
          <w:tcPr>
            <w:tcW w:w="779" w:type="pct"/>
            <w:vMerge w:val="continue"/>
            <w:noWrap w:val="0"/>
            <w:tcMar>
              <w:left w:w="0" w:type="dxa"/>
              <w:right w:w="0" w:type="dxa"/>
            </w:tcMar>
            <w:vAlign w:val="center"/>
          </w:tcPr>
          <w:p w14:paraId="500CF80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A698B4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17AF89C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63D66ED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15B0FB3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675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3B74083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6月</w:t>
            </w:r>
          </w:p>
        </w:tc>
        <w:tc>
          <w:tcPr>
            <w:tcW w:w="779" w:type="pct"/>
            <w:vMerge w:val="continue"/>
            <w:noWrap w:val="0"/>
            <w:tcMar>
              <w:left w:w="0" w:type="dxa"/>
              <w:right w:w="0" w:type="dxa"/>
            </w:tcMar>
            <w:vAlign w:val="center"/>
          </w:tcPr>
          <w:p w14:paraId="109FAE9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4D1DD0A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22145E7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291BBD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333FE0E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FB7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73D2816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7月</w:t>
            </w:r>
          </w:p>
        </w:tc>
        <w:tc>
          <w:tcPr>
            <w:tcW w:w="779" w:type="pct"/>
            <w:vMerge w:val="continue"/>
            <w:noWrap w:val="0"/>
            <w:tcMar>
              <w:left w:w="0" w:type="dxa"/>
              <w:right w:w="0" w:type="dxa"/>
            </w:tcMar>
            <w:vAlign w:val="center"/>
          </w:tcPr>
          <w:p w14:paraId="5C7DD43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2A3211B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5816090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7B14971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530596D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7A30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FFA9F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8月</w:t>
            </w:r>
          </w:p>
        </w:tc>
        <w:tc>
          <w:tcPr>
            <w:tcW w:w="779" w:type="pct"/>
            <w:vMerge w:val="continue"/>
            <w:noWrap w:val="0"/>
            <w:tcMar>
              <w:left w:w="0" w:type="dxa"/>
              <w:right w:w="0" w:type="dxa"/>
            </w:tcMar>
            <w:vAlign w:val="center"/>
          </w:tcPr>
          <w:p w14:paraId="28A81D0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A1511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3660797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7FFB245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27E4E9D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0AD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983E80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9月</w:t>
            </w:r>
          </w:p>
        </w:tc>
        <w:tc>
          <w:tcPr>
            <w:tcW w:w="779" w:type="pct"/>
            <w:vMerge w:val="continue"/>
            <w:noWrap w:val="0"/>
            <w:tcMar>
              <w:left w:w="0" w:type="dxa"/>
              <w:right w:w="0" w:type="dxa"/>
            </w:tcMar>
            <w:vAlign w:val="center"/>
          </w:tcPr>
          <w:p w14:paraId="3D8EF0C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6F887BD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2EC4BF9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04FA5E3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6A013CF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534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05706E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10月</w:t>
            </w:r>
          </w:p>
        </w:tc>
        <w:tc>
          <w:tcPr>
            <w:tcW w:w="779" w:type="pct"/>
            <w:vMerge w:val="continue"/>
            <w:noWrap w:val="0"/>
            <w:tcMar>
              <w:left w:w="0" w:type="dxa"/>
              <w:right w:w="0" w:type="dxa"/>
            </w:tcMar>
            <w:vAlign w:val="center"/>
          </w:tcPr>
          <w:p w14:paraId="51FB348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5AEDC3A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636EFE4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5D39C44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34134F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7518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05052BB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11月</w:t>
            </w:r>
          </w:p>
        </w:tc>
        <w:tc>
          <w:tcPr>
            <w:tcW w:w="779" w:type="pct"/>
            <w:vMerge w:val="continue"/>
            <w:noWrap w:val="0"/>
            <w:tcMar>
              <w:left w:w="0" w:type="dxa"/>
              <w:right w:w="0" w:type="dxa"/>
            </w:tcMar>
            <w:vAlign w:val="center"/>
          </w:tcPr>
          <w:p w14:paraId="018170E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12C0966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70EF493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0E107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Ⅰ类</w:t>
            </w:r>
          </w:p>
        </w:tc>
        <w:tc>
          <w:tcPr>
            <w:tcW w:w="694" w:type="pct"/>
            <w:vMerge w:val="continue"/>
            <w:noWrap/>
            <w:tcMar>
              <w:left w:w="0" w:type="dxa"/>
              <w:right w:w="0" w:type="dxa"/>
            </w:tcMar>
            <w:vAlign w:val="center"/>
          </w:tcPr>
          <w:p w14:paraId="575B496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7EFF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5FA98A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12月</w:t>
            </w:r>
          </w:p>
        </w:tc>
        <w:tc>
          <w:tcPr>
            <w:tcW w:w="779" w:type="pct"/>
            <w:vMerge w:val="continue"/>
            <w:noWrap w:val="0"/>
            <w:tcMar>
              <w:left w:w="0" w:type="dxa"/>
              <w:right w:w="0" w:type="dxa"/>
            </w:tcMar>
            <w:vAlign w:val="center"/>
          </w:tcPr>
          <w:p w14:paraId="708B065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1D48790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64429C1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A3FD52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Ⅰ类</w:t>
            </w:r>
          </w:p>
        </w:tc>
        <w:tc>
          <w:tcPr>
            <w:tcW w:w="694" w:type="pct"/>
            <w:vMerge w:val="continue"/>
            <w:noWrap/>
            <w:tcMar>
              <w:left w:w="0" w:type="dxa"/>
              <w:right w:w="0" w:type="dxa"/>
            </w:tcMar>
            <w:vAlign w:val="center"/>
          </w:tcPr>
          <w:p w14:paraId="3AFC077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bl>
    <w:p w14:paraId="79AC2BF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2.3-</w:t>
      </w:r>
      <w:r>
        <w:rPr>
          <w:rFonts w:hint="default" w:ascii="Times New Roman" w:hAnsi="Times New Roman" w:cs="Times New Roman"/>
          <w:b/>
          <w:bCs/>
          <w:color w:val="auto"/>
          <w:kern w:val="0"/>
          <w:sz w:val="24"/>
          <w:lang w:val="en-US" w:eastAsia="zh-CN"/>
        </w:rPr>
        <w:t>3</w:t>
      </w:r>
      <w:r>
        <w:rPr>
          <w:rFonts w:hint="default" w:ascii="Times New Roman" w:hAnsi="Times New Roman" w:eastAsia="仿宋" w:cs="Times New Roman"/>
          <w:b/>
          <w:bCs/>
          <w:color w:val="auto"/>
          <w:kern w:val="0"/>
          <w:sz w:val="24"/>
          <w:lang w:val="en-US" w:eastAsia="zh-CN"/>
        </w:rPr>
        <w:t xml:space="preserve">  2023年1-12月蔚汾河碧村断面地表水环境质量状况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9"/>
        <w:gridCol w:w="1296"/>
        <w:gridCol w:w="1348"/>
        <w:gridCol w:w="1728"/>
        <w:gridCol w:w="1787"/>
        <w:gridCol w:w="1155"/>
      </w:tblGrid>
      <w:tr w14:paraId="5FEE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BC7CB7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时间</w:t>
            </w:r>
          </w:p>
        </w:tc>
        <w:tc>
          <w:tcPr>
            <w:tcW w:w="1589" w:type="pct"/>
            <w:gridSpan w:val="2"/>
            <w:noWrap w:val="0"/>
            <w:tcMar>
              <w:left w:w="0" w:type="dxa"/>
              <w:right w:w="0" w:type="dxa"/>
            </w:tcMar>
            <w:vAlign w:val="center"/>
          </w:tcPr>
          <w:p w14:paraId="68066A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水体或断面名称</w:t>
            </w:r>
          </w:p>
        </w:tc>
        <w:tc>
          <w:tcPr>
            <w:tcW w:w="1039" w:type="pct"/>
            <w:noWrap/>
            <w:tcMar>
              <w:left w:w="0" w:type="dxa"/>
              <w:right w:w="0" w:type="dxa"/>
            </w:tcMar>
            <w:vAlign w:val="center"/>
          </w:tcPr>
          <w:p w14:paraId="39118A6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水质目标</w:t>
            </w:r>
          </w:p>
        </w:tc>
        <w:tc>
          <w:tcPr>
            <w:tcW w:w="1074" w:type="pct"/>
            <w:noWrap/>
            <w:tcMar>
              <w:left w:w="0" w:type="dxa"/>
              <w:right w:w="0" w:type="dxa"/>
            </w:tcMar>
            <w:vAlign w:val="center"/>
          </w:tcPr>
          <w:p w14:paraId="1588A09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本月水质状况</w:t>
            </w:r>
          </w:p>
        </w:tc>
        <w:tc>
          <w:tcPr>
            <w:tcW w:w="694" w:type="pct"/>
            <w:noWrap/>
            <w:tcMar>
              <w:left w:w="0" w:type="dxa"/>
              <w:right w:w="0" w:type="dxa"/>
            </w:tcMar>
            <w:vAlign w:val="center"/>
          </w:tcPr>
          <w:p w14:paraId="31AF91E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断面性质</w:t>
            </w:r>
          </w:p>
        </w:tc>
      </w:tr>
      <w:tr w14:paraId="0486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6604AA0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1月</w:t>
            </w:r>
          </w:p>
        </w:tc>
        <w:tc>
          <w:tcPr>
            <w:tcW w:w="779" w:type="pct"/>
            <w:vMerge w:val="restart"/>
            <w:noWrap w:val="0"/>
            <w:tcMar>
              <w:left w:w="0" w:type="dxa"/>
              <w:right w:w="0" w:type="dxa"/>
            </w:tcMar>
            <w:vAlign w:val="center"/>
          </w:tcPr>
          <w:p w14:paraId="37EFFDC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val="en-US" w:eastAsia="zh-CN"/>
              </w:rPr>
              <w:t>蔚汾河</w:t>
            </w:r>
          </w:p>
        </w:tc>
        <w:tc>
          <w:tcPr>
            <w:tcW w:w="810" w:type="pct"/>
            <w:vMerge w:val="restart"/>
            <w:noWrap/>
            <w:tcMar>
              <w:left w:w="0" w:type="dxa"/>
              <w:right w:w="0" w:type="dxa"/>
            </w:tcMar>
            <w:vAlign w:val="center"/>
          </w:tcPr>
          <w:p w14:paraId="50A4C40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碧村</w:t>
            </w:r>
          </w:p>
        </w:tc>
        <w:tc>
          <w:tcPr>
            <w:tcW w:w="1039" w:type="pct"/>
            <w:vMerge w:val="restart"/>
            <w:noWrap/>
            <w:tcMar>
              <w:left w:w="0" w:type="dxa"/>
              <w:right w:w="0" w:type="dxa"/>
            </w:tcMar>
            <w:vAlign w:val="center"/>
          </w:tcPr>
          <w:p w14:paraId="6EF1A99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Ⅴ类</w:t>
            </w:r>
          </w:p>
        </w:tc>
        <w:tc>
          <w:tcPr>
            <w:tcW w:w="1074" w:type="pct"/>
            <w:noWrap/>
            <w:tcMar>
              <w:left w:w="0" w:type="dxa"/>
              <w:right w:w="0" w:type="dxa"/>
            </w:tcMar>
            <w:vAlign w:val="center"/>
          </w:tcPr>
          <w:p w14:paraId="76CCAB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restart"/>
            <w:noWrap/>
            <w:tcMar>
              <w:left w:w="0" w:type="dxa"/>
              <w:right w:w="0" w:type="dxa"/>
            </w:tcMar>
            <w:vAlign w:val="center"/>
          </w:tcPr>
          <w:p w14:paraId="1FF18DC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国控</w:t>
            </w:r>
          </w:p>
        </w:tc>
      </w:tr>
      <w:tr w14:paraId="5D3B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48099AE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2月</w:t>
            </w:r>
          </w:p>
        </w:tc>
        <w:tc>
          <w:tcPr>
            <w:tcW w:w="779" w:type="pct"/>
            <w:vMerge w:val="continue"/>
            <w:noWrap w:val="0"/>
            <w:tcMar>
              <w:left w:w="0" w:type="dxa"/>
              <w:right w:w="0" w:type="dxa"/>
            </w:tcMar>
            <w:vAlign w:val="center"/>
          </w:tcPr>
          <w:p w14:paraId="57CA67E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44D9D9D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59716BD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4350C29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1988397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7B4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3FCF9F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3月</w:t>
            </w:r>
          </w:p>
        </w:tc>
        <w:tc>
          <w:tcPr>
            <w:tcW w:w="779" w:type="pct"/>
            <w:vMerge w:val="continue"/>
            <w:noWrap w:val="0"/>
            <w:tcMar>
              <w:left w:w="0" w:type="dxa"/>
              <w:right w:w="0" w:type="dxa"/>
            </w:tcMar>
            <w:vAlign w:val="center"/>
          </w:tcPr>
          <w:p w14:paraId="471FD9B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6E9F2E4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0A0F24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CAD1BA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29E16D8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3F75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1AD77CE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4月</w:t>
            </w:r>
          </w:p>
        </w:tc>
        <w:tc>
          <w:tcPr>
            <w:tcW w:w="779" w:type="pct"/>
            <w:vMerge w:val="continue"/>
            <w:noWrap w:val="0"/>
            <w:tcMar>
              <w:left w:w="0" w:type="dxa"/>
              <w:right w:w="0" w:type="dxa"/>
            </w:tcMar>
            <w:vAlign w:val="center"/>
          </w:tcPr>
          <w:p w14:paraId="787CA5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73863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08BFDB8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2513B45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0DE1451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EC5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6F405D6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5月</w:t>
            </w:r>
          </w:p>
        </w:tc>
        <w:tc>
          <w:tcPr>
            <w:tcW w:w="779" w:type="pct"/>
            <w:vMerge w:val="continue"/>
            <w:noWrap w:val="0"/>
            <w:tcMar>
              <w:left w:w="0" w:type="dxa"/>
              <w:right w:w="0" w:type="dxa"/>
            </w:tcMar>
            <w:vAlign w:val="center"/>
          </w:tcPr>
          <w:p w14:paraId="320ADB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290552C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653A5B2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EA8D77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53A7FDF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7AF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855A51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6月</w:t>
            </w:r>
          </w:p>
        </w:tc>
        <w:tc>
          <w:tcPr>
            <w:tcW w:w="779" w:type="pct"/>
            <w:vMerge w:val="continue"/>
            <w:noWrap w:val="0"/>
            <w:tcMar>
              <w:left w:w="0" w:type="dxa"/>
              <w:right w:w="0" w:type="dxa"/>
            </w:tcMar>
            <w:vAlign w:val="center"/>
          </w:tcPr>
          <w:p w14:paraId="09E6DC0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46E935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7700561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492AA3E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579886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006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45BADEC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7月</w:t>
            </w:r>
          </w:p>
        </w:tc>
        <w:tc>
          <w:tcPr>
            <w:tcW w:w="779" w:type="pct"/>
            <w:vMerge w:val="continue"/>
            <w:noWrap w:val="0"/>
            <w:tcMar>
              <w:left w:w="0" w:type="dxa"/>
              <w:right w:w="0" w:type="dxa"/>
            </w:tcMar>
            <w:vAlign w:val="center"/>
          </w:tcPr>
          <w:p w14:paraId="5EB1245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125D961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363F9E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AD949B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385B82C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0A73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79CF95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8月</w:t>
            </w:r>
          </w:p>
        </w:tc>
        <w:tc>
          <w:tcPr>
            <w:tcW w:w="779" w:type="pct"/>
            <w:vMerge w:val="continue"/>
            <w:noWrap w:val="0"/>
            <w:tcMar>
              <w:left w:w="0" w:type="dxa"/>
              <w:right w:w="0" w:type="dxa"/>
            </w:tcMar>
            <w:vAlign w:val="center"/>
          </w:tcPr>
          <w:p w14:paraId="063EC4F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BB9D6B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56178E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194BA1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166708D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352A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64DFEAF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9月</w:t>
            </w:r>
          </w:p>
        </w:tc>
        <w:tc>
          <w:tcPr>
            <w:tcW w:w="779" w:type="pct"/>
            <w:vMerge w:val="continue"/>
            <w:noWrap w:val="0"/>
            <w:tcMar>
              <w:left w:w="0" w:type="dxa"/>
              <w:right w:w="0" w:type="dxa"/>
            </w:tcMar>
            <w:vAlign w:val="center"/>
          </w:tcPr>
          <w:p w14:paraId="2A43F4B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544832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38A1368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053C054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4321EFE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1D8F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3911683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10月</w:t>
            </w:r>
          </w:p>
        </w:tc>
        <w:tc>
          <w:tcPr>
            <w:tcW w:w="779" w:type="pct"/>
            <w:vMerge w:val="continue"/>
            <w:noWrap w:val="0"/>
            <w:tcMar>
              <w:left w:w="0" w:type="dxa"/>
              <w:right w:w="0" w:type="dxa"/>
            </w:tcMar>
            <w:vAlign w:val="center"/>
          </w:tcPr>
          <w:p w14:paraId="4DA0322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57BCFA1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1753EB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6C05661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1D8E80B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3904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B70E8D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11月</w:t>
            </w:r>
          </w:p>
        </w:tc>
        <w:tc>
          <w:tcPr>
            <w:tcW w:w="779" w:type="pct"/>
            <w:vMerge w:val="continue"/>
            <w:noWrap w:val="0"/>
            <w:tcMar>
              <w:left w:w="0" w:type="dxa"/>
              <w:right w:w="0" w:type="dxa"/>
            </w:tcMar>
            <w:vAlign w:val="center"/>
          </w:tcPr>
          <w:p w14:paraId="7F3C297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134DB2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1A4A7BF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7E3289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6925F69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2F01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3D46E9E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12月</w:t>
            </w:r>
          </w:p>
        </w:tc>
        <w:tc>
          <w:tcPr>
            <w:tcW w:w="779" w:type="pct"/>
            <w:vMerge w:val="continue"/>
            <w:noWrap w:val="0"/>
            <w:tcMar>
              <w:left w:w="0" w:type="dxa"/>
              <w:right w:w="0" w:type="dxa"/>
            </w:tcMar>
            <w:vAlign w:val="center"/>
          </w:tcPr>
          <w:p w14:paraId="785F9B0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4586048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04AA1CB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059CCD4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508CD0E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bl>
    <w:p w14:paraId="4614A0A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由表中结果可知：岚漪河和蔚汾河各监测断面的各监测项目均满足《地表水环境质量标准》(GB3838-2002)中的相应断面的水质标准。</w:t>
      </w:r>
    </w:p>
    <w:p w14:paraId="298F528A">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57" w:name="_Toc14926"/>
      <w:r>
        <w:rPr>
          <w:rFonts w:hint="default" w:ascii="Times New Roman" w:hAnsi="Times New Roman" w:eastAsia="仿宋" w:cs="Times New Roman"/>
          <w:color w:val="auto"/>
          <w:kern w:val="0"/>
          <w:sz w:val="32"/>
          <w:lang w:val="en-US" w:eastAsia="zh-CN"/>
        </w:rPr>
        <w:t>2.4兴县环境风险受体</w:t>
      </w:r>
      <w:bookmarkEnd w:id="57"/>
    </w:p>
    <w:p w14:paraId="17FA7E8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2.4.1水环境风险受体</w:t>
      </w:r>
    </w:p>
    <w:p w14:paraId="7244BA1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本次兴县风险评估中的水环境风险受体主要是地表河流、饮用水源区。兴县人民政府对县境内县城饮用水水源地和乡镇饮用水水源地，共16处水源地进行了保护区划定，兴县境内已划定保护区水源地相关情况见下表。</w:t>
      </w:r>
    </w:p>
    <w:p w14:paraId="5C301B4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1EFD330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 xml:space="preserve">2.4-1  </w:t>
      </w:r>
      <w:r>
        <w:rPr>
          <w:rFonts w:hint="default" w:ascii="Times New Roman" w:hAnsi="Times New Roman" w:cs="Times New Roman"/>
          <w:b/>
          <w:bCs/>
          <w:color w:val="auto"/>
          <w:kern w:val="0"/>
          <w:sz w:val="24"/>
          <w:lang w:val="en-US" w:eastAsia="zh-CN"/>
        </w:rPr>
        <w:t>兴</w:t>
      </w:r>
      <w:r>
        <w:rPr>
          <w:rFonts w:hint="default" w:ascii="Times New Roman" w:hAnsi="Times New Roman" w:eastAsia="仿宋" w:cs="Times New Roman"/>
          <w:b/>
          <w:bCs/>
          <w:color w:val="auto"/>
          <w:kern w:val="0"/>
          <w:sz w:val="24"/>
          <w:lang w:val="en-US" w:eastAsia="zh-CN"/>
        </w:rPr>
        <w:t>县境内已划定保护区水源地相关情况一览表</w:t>
      </w:r>
    </w:p>
    <w:tbl>
      <w:tblPr>
        <w:tblStyle w:val="19"/>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8"/>
        <w:gridCol w:w="870"/>
        <w:gridCol w:w="1422"/>
        <w:gridCol w:w="1317"/>
        <w:gridCol w:w="1197"/>
        <w:gridCol w:w="1197"/>
        <w:gridCol w:w="1764"/>
        <w:gridCol w:w="1939"/>
        <w:gridCol w:w="1780"/>
      </w:tblGrid>
      <w:tr w14:paraId="6DB8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3C3746F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水源地名称</w:t>
            </w:r>
          </w:p>
        </w:tc>
        <w:tc>
          <w:tcPr>
            <w:tcW w:w="870" w:type="dxa"/>
            <w:vMerge w:val="restart"/>
            <w:vAlign w:val="center"/>
          </w:tcPr>
          <w:p w14:paraId="4410EDE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水源井编号</w:t>
            </w:r>
          </w:p>
        </w:tc>
        <w:tc>
          <w:tcPr>
            <w:tcW w:w="2739" w:type="dxa"/>
            <w:gridSpan w:val="2"/>
            <w:vAlign w:val="center"/>
          </w:tcPr>
          <w:p w14:paraId="67B082A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水源井位置</w:t>
            </w:r>
          </w:p>
        </w:tc>
        <w:tc>
          <w:tcPr>
            <w:tcW w:w="1197" w:type="dxa"/>
            <w:vMerge w:val="restart"/>
            <w:vAlign w:val="center"/>
          </w:tcPr>
          <w:p w14:paraId="49E15C6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含水层类型</w:t>
            </w:r>
          </w:p>
        </w:tc>
        <w:tc>
          <w:tcPr>
            <w:tcW w:w="1197" w:type="dxa"/>
            <w:vMerge w:val="restart"/>
            <w:vAlign w:val="center"/>
          </w:tcPr>
          <w:p w14:paraId="63532DA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保护区级别</w:t>
            </w:r>
          </w:p>
        </w:tc>
        <w:tc>
          <w:tcPr>
            <w:tcW w:w="1764" w:type="dxa"/>
            <w:vMerge w:val="restart"/>
            <w:vAlign w:val="center"/>
          </w:tcPr>
          <w:p w14:paraId="00AF864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保护区半径（m）</w:t>
            </w:r>
          </w:p>
        </w:tc>
        <w:tc>
          <w:tcPr>
            <w:tcW w:w="1939" w:type="dxa"/>
            <w:vMerge w:val="restart"/>
            <w:vAlign w:val="center"/>
          </w:tcPr>
          <w:p w14:paraId="71D5C20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保护区面积（km</w:t>
            </w:r>
            <w:r>
              <w:rPr>
                <w:rFonts w:hint="default" w:ascii="Times New Roman" w:hAnsi="Times New Roman" w:eastAsia="仿宋" w:cs="Times New Roman"/>
                <w:kern w:val="0"/>
                <w:sz w:val="21"/>
                <w:szCs w:val="21"/>
                <w:vertAlign w:val="superscript"/>
              </w:rPr>
              <w:t>2</w:t>
            </w:r>
            <w:r>
              <w:rPr>
                <w:rFonts w:hint="default" w:ascii="Times New Roman" w:hAnsi="Times New Roman" w:eastAsia="仿宋" w:cs="Times New Roman"/>
                <w:kern w:val="0"/>
                <w:sz w:val="21"/>
                <w:szCs w:val="21"/>
              </w:rPr>
              <w:t>）</w:t>
            </w:r>
          </w:p>
        </w:tc>
        <w:tc>
          <w:tcPr>
            <w:tcW w:w="1780" w:type="dxa"/>
            <w:vMerge w:val="restart"/>
            <w:vAlign w:val="center"/>
          </w:tcPr>
          <w:p w14:paraId="2EFF69A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保护区周长（m）</w:t>
            </w:r>
          </w:p>
        </w:tc>
      </w:tr>
      <w:tr w14:paraId="5E8F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0F783F5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620DDB3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Align w:val="center"/>
          </w:tcPr>
          <w:p w14:paraId="48F5FC2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东经</w:t>
            </w:r>
          </w:p>
        </w:tc>
        <w:tc>
          <w:tcPr>
            <w:tcW w:w="1317" w:type="dxa"/>
            <w:vAlign w:val="center"/>
          </w:tcPr>
          <w:p w14:paraId="7137DAF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北纬</w:t>
            </w:r>
          </w:p>
        </w:tc>
        <w:tc>
          <w:tcPr>
            <w:tcW w:w="1197" w:type="dxa"/>
            <w:vMerge w:val="continue"/>
            <w:vAlign w:val="center"/>
          </w:tcPr>
          <w:p w14:paraId="2D4B849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2D67B65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764" w:type="dxa"/>
            <w:vMerge w:val="continue"/>
            <w:vAlign w:val="center"/>
          </w:tcPr>
          <w:p w14:paraId="3EB3F0A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939" w:type="dxa"/>
            <w:vMerge w:val="continue"/>
            <w:vAlign w:val="center"/>
          </w:tcPr>
          <w:p w14:paraId="0FE362A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780" w:type="dxa"/>
            <w:vMerge w:val="continue"/>
            <w:vAlign w:val="center"/>
          </w:tcPr>
          <w:p w14:paraId="4EDE842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r>
      <w:tr w14:paraId="578E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2B966A4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魏家滩镇集中供水水源</w:t>
            </w:r>
          </w:p>
        </w:tc>
        <w:tc>
          <w:tcPr>
            <w:tcW w:w="870" w:type="dxa"/>
            <w:vAlign w:val="center"/>
          </w:tcPr>
          <w:p w14:paraId="0C3EEC2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w:t>
            </w:r>
          </w:p>
        </w:tc>
        <w:tc>
          <w:tcPr>
            <w:tcW w:w="1422" w:type="dxa"/>
            <w:vAlign w:val="center"/>
          </w:tcPr>
          <w:p w14:paraId="6D7F98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110°08'21.80"</w:t>
            </w:r>
          </w:p>
        </w:tc>
        <w:tc>
          <w:tcPr>
            <w:tcW w:w="1317" w:type="dxa"/>
            <w:vAlign w:val="center"/>
          </w:tcPr>
          <w:p w14:paraId="1C093A5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38°40'27.79"</w:t>
            </w:r>
          </w:p>
        </w:tc>
        <w:tc>
          <w:tcPr>
            <w:tcW w:w="1197" w:type="dxa"/>
            <w:vAlign w:val="center"/>
          </w:tcPr>
          <w:p w14:paraId="6AB8C48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裂隙水</w:t>
            </w:r>
          </w:p>
        </w:tc>
        <w:tc>
          <w:tcPr>
            <w:tcW w:w="1197" w:type="dxa"/>
            <w:vAlign w:val="center"/>
          </w:tcPr>
          <w:p w14:paraId="220D43E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4CA7079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120</w:t>
            </w:r>
          </w:p>
        </w:tc>
        <w:tc>
          <w:tcPr>
            <w:tcW w:w="1939" w:type="dxa"/>
            <w:vAlign w:val="center"/>
          </w:tcPr>
          <w:p w14:paraId="0F9C94B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0.0149</w:t>
            </w:r>
          </w:p>
        </w:tc>
        <w:tc>
          <w:tcPr>
            <w:tcW w:w="1780" w:type="dxa"/>
            <w:vAlign w:val="center"/>
          </w:tcPr>
          <w:p w14:paraId="62E8286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0.4333</w:t>
            </w:r>
          </w:p>
        </w:tc>
      </w:tr>
      <w:tr w14:paraId="658F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29E0B3A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瓦塘镇集中供水水源地</w:t>
            </w:r>
          </w:p>
        </w:tc>
        <w:tc>
          <w:tcPr>
            <w:tcW w:w="870" w:type="dxa"/>
            <w:vMerge w:val="restart"/>
            <w:vAlign w:val="center"/>
          </w:tcPr>
          <w:p w14:paraId="361A992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w:t>
            </w:r>
          </w:p>
        </w:tc>
        <w:tc>
          <w:tcPr>
            <w:tcW w:w="1422" w:type="dxa"/>
            <w:vMerge w:val="restart"/>
            <w:vAlign w:val="center"/>
          </w:tcPr>
          <w:p w14:paraId="3C2D0C1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110°59'32.1"</w:t>
            </w:r>
          </w:p>
        </w:tc>
        <w:tc>
          <w:tcPr>
            <w:tcW w:w="1317" w:type="dxa"/>
            <w:vMerge w:val="restart"/>
            <w:vAlign w:val="center"/>
          </w:tcPr>
          <w:p w14:paraId="004F354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38°38'31.2"</w:t>
            </w:r>
          </w:p>
        </w:tc>
        <w:tc>
          <w:tcPr>
            <w:tcW w:w="1197" w:type="dxa"/>
            <w:vMerge w:val="restart"/>
            <w:vAlign w:val="center"/>
          </w:tcPr>
          <w:p w14:paraId="377B781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72EB3D2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086BF0F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631BC8F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0392318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3312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65A259C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47FB633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0D2DACB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1D26055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212E8A7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2E73BEC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3E631D8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6E8DC5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0.593</w:t>
            </w:r>
          </w:p>
        </w:tc>
        <w:tc>
          <w:tcPr>
            <w:tcW w:w="1780" w:type="dxa"/>
            <w:vAlign w:val="center"/>
          </w:tcPr>
          <w:p w14:paraId="715103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4.62</w:t>
            </w:r>
          </w:p>
        </w:tc>
      </w:tr>
      <w:tr w14:paraId="1E67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06CA6FE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康宁镇集中供水水源地</w:t>
            </w:r>
          </w:p>
        </w:tc>
        <w:tc>
          <w:tcPr>
            <w:tcW w:w="870" w:type="dxa"/>
            <w:vAlign w:val="center"/>
          </w:tcPr>
          <w:p w14:paraId="4DD5B4D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w:t>
            </w:r>
          </w:p>
        </w:tc>
        <w:tc>
          <w:tcPr>
            <w:tcW w:w="1422" w:type="dxa"/>
            <w:vAlign w:val="center"/>
          </w:tcPr>
          <w:p w14:paraId="7C7ED9A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111°4'19.55"</w:t>
            </w:r>
          </w:p>
        </w:tc>
        <w:tc>
          <w:tcPr>
            <w:tcW w:w="1317" w:type="dxa"/>
            <w:vAlign w:val="center"/>
          </w:tcPr>
          <w:p w14:paraId="509E602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38°18'40.76"</w:t>
            </w:r>
          </w:p>
        </w:tc>
        <w:tc>
          <w:tcPr>
            <w:tcW w:w="1197" w:type="dxa"/>
            <w:vAlign w:val="center"/>
          </w:tcPr>
          <w:p w14:paraId="36837B6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裂隙水</w:t>
            </w:r>
          </w:p>
        </w:tc>
        <w:tc>
          <w:tcPr>
            <w:tcW w:w="1197" w:type="dxa"/>
            <w:vAlign w:val="center"/>
          </w:tcPr>
          <w:p w14:paraId="6E9F5FB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73CCFD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61B6DEB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3C7F17D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w:t>
            </w:r>
          </w:p>
        </w:tc>
      </w:tr>
      <w:tr w14:paraId="64FD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20A85E6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高家镇集中供水水源地</w:t>
            </w:r>
          </w:p>
        </w:tc>
        <w:tc>
          <w:tcPr>
            <w:tcW w:w="870" w:type="dxa"/>
            <w:vMerge w:val="restart"/>
            <w:vAlign w:val="center"/>
          </w:tcPr>
          <w:p w14:paraId="14B58A5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w:t>
            </w:r>
          </w:p>
        </w:tc>
        <w:tc>
          <w:tcPr>
            <w:tcW w:w="1422" w:type="dxa"/>
            <w:vMerge w:val="restart"/>
            <w:vAlign w:val="center"/>
          </w:tcPr>
          <w:p w14:paraId="26417B6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110°59'33.54"</w:t>
            </w:r>
          </w:p>
        </w:tc>
        <w:tc>
          <w:tcPr>
            <w:tcW w:w="1317" w:type="dxa"/>
            <w:vMerge w:val="restart"/>
            <w:vAlign w:val="center"/>
          </w:tcPr>
          <w:p w14:paraId="6507C7B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38°29'16.92"</w:t>
            </w:r>
          </w:p>
        </w:tc>
        <w:tc>
          <w:tcPr>
            <w:tcW w:w="1197" w:type="dxa"/>
            <w:vMerge w:val="restart"/>
            <w:vAlign w:val="center"/>
          </w:tcPr>
          <w:p w14:paraId="51076E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裂隙水</w:t>
            </w:r>
          </w:p>
        </w:tc>
        <w:tc>
          <w:tcPr>
            <w:tcW w:w="1197" w:type="dxa"/>
            <w:vAlign w:val="center"/>
          </w:tcPr>
          <w:p w14:paraId="3E02BD5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4041AE9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6821658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210A660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7228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5ECE72D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20109AE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410043B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71A2870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4BFCFF3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1E86222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2340D77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3D46D8F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0408465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07A3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655EF96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12FA88E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restart"/>
            <w:vAlign w:val="center"/>
          </w:tcPr>
          <w:p w14:paraId="23BAB62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110°58'59.47"</w:t>
            </w:r>
          </w:p>
        </w:tc>
        <w:tc>
          <w:tcPr>
            <w:tcW w:w="1317" w:type="dxa"/>
            <w:vMerge w:val="restart"/>
            <w:vAlign w:val="center"/>
          </w:tcPr>
          <w:p w14:paraId="7A915C8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38°29'16.54"</w:t>
            </w:r>
          </w:p>
        </w:tc>
        <w:tc>
          <w:tcPr>
            <w:tcW w:w="1197" w:type="dxa"/>
            <w:vMerge w:val="restart"/>
            <w:vAlign w:val="center"/>
          </w:tcPr>
          <w:p w14:paraId="561CAB6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39CF168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513C7F6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62A3322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2F6DB11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1617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4B9409B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1AF7E5F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4F687E9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7682C23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09CF14E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4447174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3EA6745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939" w:type="dxa"/>
            <w:vAlign w:val="center"/>
          </w:tcPr>
          <w:p w14:paraId="7ED4826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780" w:type="dxa"/>
            <w:vAlign w:val="center"/>
          </w:tcPr>
          <w:p w14:paraId="7272C68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r>
      <w:tr w14:paraId="6492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2062A55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罗峪口镇集中供水水源地</w:t>
            </w:r>
          </w:p>
        </w:tc>
        <w:tc>
          <w:tcPr>
            <w:tcW w:w="870" w:type="dxa"/>
            <w:vMerge w:val="restart"/>
            <w:vAlign w:val="center"/>
          </w:tcPr>
          <w:p w14:paraId="4A7A37E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w:t>
            </w:r>
          </w:p>
        </w:tc>
        <w:tc>
          <w:tcPr>
            <w:tcW w:w="1422" w:type="dxa"/>
            <w:vMerge w:val="restart"/>
            <w:vAlign w:val="center"/>
          </w:tcPr>
          <w:p w14:paraId="303FE56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110°45'13.20"</w:t>
            </w:r>
          </w:p>
        </w:tc>
        <w:tc>
          <w:tcPr>
            <w:tcW w:w="1317" w:type="dxa"/>
            <w:vMerge w:val="restart"/>
            <w:vAlign w:val="center"/>
          </w:tcPr>
          <w:p w14:paraId="744806C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38°23'11.04"</w:t>
            </w:r>
          </w:p>
        </w:tc>
        <w:tc>
          <w:tcPr>
            <w:tcW w:w="1197" w:type="dxa"/>
            <w:vMerge w:val="restart"/>
            <w:vAlign w:val="center"/>
          </w:tcPr>
          <w:p w14:paraId="2060B0A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2F6AD7B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0CFC124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439F2F7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2993D63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6617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73E2C65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7B643BC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26EBD16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30F340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37882C5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15B1E3A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7181557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28B3CC1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3179701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5D52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76A22A3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蔡家会镇集中供水水源地</w:t>
            </w:r>
          </w:p>
        </w:tc>
        <w:tc>
          <w:tcPr>
            <w:tcW w:w="870" w:type="dxa"/>
            <w:vMerge w:val="restart"/>
            <w:vAlign w:val="center"/>
          </w:tcPr>
          <w:p w14:paraId="6D0958D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6#</w:t>
            </w:r>
          </w:p>
        </w:tc>
        <w:tc>
          <w:tcPr>
            <w:tcW w:w="1422" w:type="dxa"/>
            <w:vMerge w:val="restart"/>
            <w:vAlign w:val="center"/>
          </w:tcPr>
          <w:p w14:paraId="24E2A6B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110°43'34.08"</w:t>
            </w:r>
          </w:p>
        </w:tc>
        <w:tc>
          <w:tcPr>
            <w:tcW w:w="1317" w:type="dxa"/>
            <w:vMerge w:val="restart"/>
            <w:vAlign w:val="center"/>
          </w:tcPr>
          <w:p w14:paraId="55E3760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38°11'33.90"</w:t>
            </w:r>
          </w:p>
        </w:tc>
        <w:tc>
          <w:tcPr>
            <w:tcW w:w="1197" w:type="dxa"/>
            <w:vMerge w:val="restart"/>
            <w:vAlign w:val="center"/>
          </w:tcPr>
          <w:p w14:paraId="297928D8">
            <w:pPr>
              <w:adjustRightInd/>
              <w:snapToGrid/>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46D9A3D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41F7462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4ED8D4A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4637F8E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0ABCD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3FF0082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189C99B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7CA9909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778CB74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7C3D564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7EC156F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023D9CB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6CC563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67A95F8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7D34E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2D9A34A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6BE1AC1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restart"/>
            <w:vAlign w:val="center"/>
          </w:tcPr>
          <w:p w14:paraId="06B28D7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110°44'1.03"</w:t>
            </w:r>
          </w:p>
        </w:tc>
        <w:tc>
          <w:tcPr>
            <w:tcW w:w="1317" w:type="dxa"/>
            <w:vMerge w:val="restart"/>
            <w:vAlign w:val="center"/>
          </w:tcPr>
          <w:p w14:paraId="220819A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38°11'29.86"</w:t>
            </w:r>
          </w:p>
        </w:tc>
        <w:tc>
          <w:tcPr>
            <w:tcW w:w="1197" w:type="dxa"/>
            <w:vMerge w:val="restart"/>
            <w:vAlign w:val="center"/>
          </w:tcPr>
          <w:p w14:paraId="64A319EF">
            <w:pPr>
              <w:adjustRightInd/>
              <w:snapToGrid/>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40CE182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05CF542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08C78B1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4699330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32B4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54CCD6DD">
            <w:pPr>
              <w:adjustRightInd w:val="0"/>
              <w:snapToGrid w:val="0"/>
              <w:spacing w:line="240" w:lineRule="auto"/>
              <w:ind w:firstLine="0" w:firstLineChars="0"/>
              <w:jc w:val="center"/>
              <w:rPr>
                <w:rFonts w:hint="default" w:ascii="Times New Roman" w:hAnsi="Times New Roman" w:eastAsia="仿宋_GB2312" w:cs="Times New Roman"/>
                <w:sz w:val="28"/>
                <w:szCs w:val="32"/>
              </w:rPr>
            </w:pPr>
          </w:p>
        </w:tc>
        <w:tc>
          <w:tcPr>
            <w:tcW w:w="870" w:type="dxa"/>
            <w:vMerge w:val="continue"/>
            <w:vAlign w:val="center"/>
          </w:tcPr>
          <w:p w14:paraId="7CFA377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78E66A1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3FDD001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69FD71A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059D801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553D8D7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500</w:t>
            </w:r>
          </w:p>
        </w:tc>
        <w:tc>
          <w:tcPr>
            <w:tcW w:w="1939" w:type="dxa"/>
            <w:vAlign w:val="center"/>
          </w:tcPr>
          <w:p w14:paraId="3460460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w:t>
            </w:r>
          </w:p>
        </w:tc>
        <w:tc>
          <w:tcPr>
            <w:tcW w:w="1780" w:type="dxa"/>
            <w:vAlign w:val="center"/>
          </w:tcPr>
          <w:p w14:paraId="639C930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2.4</w:t>
            </w:r>
          </w:p>
        </w:tc>
      </w:tr>
      <w:tr w14:paraId="2405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02B025F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交楼申乡集中供水水源地</w:t>
            </w:r>
          </w:p>
        </w:tc>
        <w:tc>
          <w:tcPr>
            <w:tcW w:w="870" w:type="dxa"/>
            <w:vMerge w:val="restart"/>
            <w:vAlign w:val="center"/>
          </w:tcPr>
          <w:p w14:paraId="30C1A8B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7#</w:t>
            </w:r>
          </w:p>
        </w:tc>
        <w:tc>
          <w:tcPr>
            <w:tcW w:w="1422" w:type="dxa"/>
            <w:vMerge w:val="restart"/>
            <w:vAlign w:val="center"/>
          </w:tcPr>
          <w:p w14:paraId="265BFF1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110°18'16.67"</w:t>
            </w:r>
          </w:p>
        </w:tc>
        <w:tc>
          <w:tcPr>
            <w:tcW w:w="1317" w:type="dxa"/>
            <w:vMerge w:val="restart"/>
            <w:vAlign w:val="center"/>
          </w:tcPr>
          <w:p w14:paraId="6E36DED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38°21'11.77"</w:t>
            </w:r>
          </w:p>
        </w:tc>
        <w:tc>
          <w:tcPr>
            <w:tcW w:w="1197" w:type="dxa"/>
            <w:vMerge w:val="restart"/>
            <w:vAlign w:val="center"/>
          </w:tcPr>
          <w:p w14:paraId="73D7F5B4">
            <w:pPr>
              <w:adjustRightInd/>
              <w:snapToGrid/>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351442F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0225B7F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04F3C38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103FEF9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74CF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38376D3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2664CFD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1462EE3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18BAF9B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0F1C4A4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3AA0032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0FBF432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311ABCD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67202F5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4078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34DB828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0B33E2A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restart"/>
            <w:vAlign w:val="center"/>
          </w:tcPr>
          <w:p w14:paraId="249C91D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110°17'27.74"</w:t>
            </w:r>
          </w:p>
        </w:tc>
        <w:tc>
          <w:tcPr>
            <w:tcW w:w="1317" w:type="dxa"/>
            <w:vMerge w:val="restart"/>
            <w:vAlign w:val="center"/>
          </w:tcPr>
          <w:p w14:paraId="5AD8EB1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38°22'24.85"</w:t>
            </w:r>
          </w:p>
        </w:tc>
        <w:tc>
          <w:tcPr>
            <w:tcW w:w="1197" w:type="dxa"/>
            <w:vMerge w:val="restart"/>
            <w:vAlign w:val="center"/>
          </w:tcPr>
          <w:p w14:paraId="33F307BD">
            <w:pPr>
              <w:adjustRightInd/>
              <w:snapToGrid/>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2E0772A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3D57E46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4CAF74B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5E3CDDB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2180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2A251A6A">
            <w:pPr>
              <w:adjustRightInd w:val="0"/>
              <w:snapToGrid w:val="0"/>
              <w:spacing w:line="240" w:lineRule="auto"/>
              <w:ind w:firstLine="0" w:firstLineChars="0"/>
              <w:jc w:val="center"/>
              <w:rPr>
                <w:rFonts w:hint="default" w:ascii="Times New Roman" w:hAnsi="Times New Roman" w:eastAsia="仿宋_GB2312" w:cs="Times New Roman"/>
                <w:sz w:val="28"/>
                <w:szCs w:val="32"/>
              </w:rPr>
            </w:pPr>
          </w:p>
        </w:tc>
        <w:tc>
          <w:tcPr>
            <w:tcW w:w="870" w:type="dxa"/>
            <w:vMerge w:val="continue"/>
            <w:vAlign w:val="center"/>
          </w:tcPr>
          <w:p w14:paraId="2A7BD3B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7D1276F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2E1CEFB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2B15230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4181AA3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2102A9E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939" w:type="dxa"/>
            <w:vAlign w:val="center"/>
          </w:tcPr>
          <w:p w14:paraId="72BB0A0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780" w:type="dxa"/>
            <w:vAlign w:val="center"/>
          </w:tcPr>
          <w:p w14:paraId="15A8701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r>
      <w:tr w14:paraId="02AA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0010A77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恶虎滩乡集中供水水源地</w:t>
            </w:r>
          </w:p>
        </w:tc>
        <w:tc>
          <w:tcPr>
            <w:tcW w:w="870" w:type="dxa"/>
            <w:vMerge w:val="restart"/>
            <w:vAlign w:val="center"/>
          </w:tcPr>
          <w:p w14:paraId="2DAD0E4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8#</w:t>
            </w:r>
          </w:p>
        </w:tc>
        <w:tc>
          <w:tcPr>
            <w:tcW w:w="1422" w:type="dxa"/>
            <w:vMerge w:val="restart"/>
            <w:vAlign w:val="center"/>
          </w:tcPr>
          <w:p w14:paraId="4D9B8CC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111°19'14.52"</w:t>
            </w:r>
          </w:p>
        </w:tc>
        <w:tc>
          <w:tcPr>
            <w:tcW w:w="1317" w:type="dxa"/>
            <w:vMerge w:val="restart"/>
            <w:vAlign w:val="center"/>
          </w:tcPr>
          <w:p w14:paraId="1612FBE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38°32'15.96"</w:t>
            </w:r>
          </w:p>
        </w:tc>
        <w:tc>
          <w:tcPr>
            <w:tcW w:w="1197" w:type="dxa"/>
            <w:vMerge w:val="restart"/>
            <w:vAlign w:val="center"/>
          </w:tcPr>
          <w:p w14:paraId="07AFFDE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1FDF6E5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34C96B1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270CE73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1016F6B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08BB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26AD50F4">
            <w:pPr>
              <w:adjustRightInd w:val="0"/>
              <w:snapToGrid w:val="0"/>
              <w:spacing w:line="240" w:lineRule="auto"/>
              <w:ind w:firstLine="0" w:firstLineChars="0"/>
              <w:jc w:val="center"/>
              <w:rPr>
                <w:rFonts w:hint="default" w:ascii="Times New Roman" w:hAnsi="Times New Roman" w:eastAsia="仿宋_GB2312" w:cs="Times New Roman"/>
                <w:sz w:val="28"/>
                <w:szCs w:val="32"/>
              </w:rPr>
            </w:pPr>
          </w:p>
        </w:tc>
        <w:tc>
          <w:tcPr>
            <w:tcW w:w="870" w:type="dxa"/>
            <w:vMerge w:val="continue"/>
            <w:vAlign w:val="center"/>
          </w:tcPr>
          <w:p w14:paraId="1F63A5D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31F5697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6F9851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3C8630F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543A76F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03992D5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0073DA1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015E607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7C86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5035A43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东会乡集中供水水源地</w:t>
            </w:r>
          </w:p>
        </w:tc>
        <w:tc>
          <w:tcPr>
            <w:tcW w:w="870" w:type="dxa"/>
            <w:vMerge w:val="restart"/>
            <w:vAlign w:val="center"/>
          </w:tcPr>
          <w:p w14:paraId="4152FAA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9#</w:t>
            </w:r>
          </w:p>
        </w:tc>
        <w:tc>
          <w:tcPr>
            <w:tcW w:w="1422" w:type="dxa"/>
            <w:vMerge w:val="restart"/>
            <w:vAlign w:val="center"/>
          </w:tcPr>
          <w:p w14:paraId="071E4DF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111°17'12.18"</w:t>
            </w:r>
          </w:p>
        </w:tc>
        <w:tc>
          <w:tcPr>
            <w:tcW w:w="1317" w:type="dxa"/>
            <w:vMerge w:val="restart"/>
            <w:vAlign w:val="center"/>
          </w:tcPr>
          <w:p w14:paraId="2A10F6A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38°12'13.32"</w:t>
            </w:r>
          </w:p>
        </w:tc>
        <w:tc>
          <w:tcPr>
            <w:tcW w:w="1197" w:type="dxa"/>
            <w:vMerge w:val="restart"/>
            <w:vAlign w:val="center"/>
          </w:tcPr>
          <w:p w14:paraId="0479E0E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51A100F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0FCE626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5515C2D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015C553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1541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2076A6C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7DA5021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62D12F9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0168DC7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20C6C7A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113634F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04BAE37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23065F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1EFBF10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2CBF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169BB89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固贤乡集中供水水源地</w:t>
            </w:r>
          </w:p>
        </w:tc>
        <w:tc>
          <w:tcPr>
            <w:tcW w:w="870" w:type="dxa"/>
            <w:vAlign w:val="center"/>
          </w:tcPr>
          <w:p w14:paraId="0C3B2CF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w:t>
            </w:r>
          </w:p>
        </w:tc>
        <w:tc>
          <w:tcPr>
            <w:tcW w:w="1422" w:type="dxa"/>
            <w:vAlign w:val="center"/>
          </w:tcPr>
          <w:p w14:paraId="574052D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111°10'33.36"</w:t>
            </w:r>
          </w:p>
        </w:tc>
        <w:tc>
          <w:tcPr>
            <w:tcW w:w="1317" w:type="dxa"/>
            <w:vAlign w:val="center"/>
          </w:tcPr>
          <w:p w14:paraId="54878BC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38°17'0.18"</w:t>
            </w:r>
          </w:p>
        </w:tc>
        <w:tc>
          <w:tcPr>
            <w:tcW w:w="1197" w:type="dxa"/>
            <w:vAlign w:val="center"/>
          </w:tcPr>
          <w:p w14:paraId="15AA799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7F328F9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2DBE886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风水岭边界</w:t>
            </w:r>
          </w:p>
        </w:tc>
        <w:tc>
          <w:tcPr>
            <w:tcW w:w="1939" w:type="dxa"/>
            <w:vAlign w:val="center"/>
          </w:tcPr>
          <w:p w14:paraId="47740EA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0.318</w:t>
            </w:r>
          </w:p>
        </w:tc>
        <w:tc>
          <w:tcPr>
            <w:tcW w:w="1780" w:type="dxa"/>
            <w:vAlign w:val="center"/>
          </w:tcPr>
          <w:p w14:paraId="495AF13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2.191</w:t>
            </w:r>
          </w:p>
        </w:tc>
      </w:tr>
      <w:tr w14:paraId="05A7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30446E7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奥家湾乡集中供水水源地</w:t>
            </w:r>
          </w:p>
        </w:tc>
        <w:tc>
          <w:tcPr>
            <w:tcW w:w="870" w:type="dxa"/>
            <w:vAlign w:val="center"/>
          </w:tcPr>
          <w:p w14:paraId="0C4ADC1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w:t>
            </w:r>
          </w:p>
        </w:tc>
        <w:tc>
          <w:tcPr>
            <w:tcW w:w="1422" w:type="dxa"/>
            <w:vAlign w:val="center"/>
          </w:tcPr>
          <w:p w14:paraId="0487CF8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111°13'26.43"</w:t>
            </w:r>
          </w:p>
        </w:tc>
        <w:tc>
          <w:tcPr>
            <w:tcW w:w="1317" w:type="dxa"/>
            <w:vAlign w:val="center"/>
          </w:tcPr>
          <w:p w14:paraId="3B39D60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38°28'16.42"</w:t>
            </w:r>
          </w:p>
        </w:tc>
        <w:tc>
          <w:tcPr>
            <w:tcW w:w="1197" w:type="dxa"/>
            <w:vAlign w:val="center"/>
          </w:tcPr>
          <w:p w14:paraId="3F336AE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270DC39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526EA8B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40</w:t>
            </w:r>
          </w:p>
        </w:tc>
        <w:tc>
          <w:tcPr>
            <w:tcW w:w="1939" w:type="dxa"/>
            <w:vAlign w:val="center"/>
          </w:tcPr>
          <w:p w14:paraId="42B2294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0.00502</w:t>
            </w:r>
          </w:p>
        </w:tc>
        <w:tc>
          <w:tcPr>
            <w:tcW w:w="1780" w:type="dxa"/>
            <w:vAlign w:val="center"/>
          </w:tcPr>
          <w:p w14:paraId="64F3C71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0.25132</w:t>
            </w:r>
          </w:p>
        </w:tc>
      </w:tr>
      <w:tr w14:paraId="4514A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2127A7B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蔡家崖乡集中供水水源地</w:t>
            </w:r>
          </w:p>
        </w:tc>
        <w:tc>
          <w:tcPr>
            <w:tcW w:w="870" w:type="dxa"/>
            <w:vMerge w:val="restart"/>
            <w:vAlign w:val="center"/>
          </w:tcPr>
          <w:p w14:paraId="731E1EB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w:t>
            </w:r>
          </w:p>
        </w:tc>
        <w:tc>
          <w:tcPr>
            <w:tcW w:w="1422" w:type="dxa"/>
            <w:vMerge w:val="restart"/>
            <w:vAlign w:val="center"/>
          </w:tcPr>
          <w:p w14:paraId="4AAB61B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110°1'35.86"</w:t>
            </w:r>
          </w:p>
        </w:tc>
        <w:tc>
          <w:tcPr>
            <w:tcW w:w="1317" w:type="dxa"/>
            <w:vMerge w:val="restart"/>
            <w:vAlign w:val="center"/>
          </w:tcPr>
          <w:p w14:paraId="7B1CB37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38°28'13.84"</w:t>
            </w:r>
          </w:p>
        </w:tc>
        <w:tc>
          <w:tcPr>
            <w:tcW w:w="1197" w:type="dxa"/>
            <w:vMerge w:val="restart"/>
            <w:vAlign w:val="center"/>
          </w:tcPr>
          <w:p w14:paraId="454B920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3A8A7DC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4C6DBBB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1C7818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70BC78E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292D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17410C5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5AF4C9A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345B92B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735BC14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738BEB9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37E5AD3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629F83D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25F1421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w:t>
            </w:r>
          </w:p>
        </w:tc>
        <w:tc>
          <w:tcPr>
            <w:tcW w:w="1780" w:type="dxa"/>
            <w:vAlign w:val="center"/>
          </w:tcPr>
          <w:p w14:paraId="483411B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6</w:t>
            </w:r>
          </w:p>
        </w:tc>
      </w:tr>
      <w:tr w14:paraId="5BCC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6C3AEE9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贺家会乡集中供水水源地</w:t>
            </w:r>
          </w:p>
        </w:tc>
        <w:tc>
          <w:tcPr>
            <w:tcW w:w="870" w:type="dxa"/>
            <w:vMerge w:val="restart"/>
            <w:vAlign w:val="center"/>
          </w:tcPr>
          <w:p w14:paraId="65A3CB8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13#</w:t>
            </w:r>
          </w:p>
        </w:tc>
        <w:tc>
          <w:tcPr>
            <w:tcW w:w="1422" w:type="dxa"/>
            <w:vMerge w:val="restart"/>
            <w:vAlign w:val="center"/>
          </w:tcPr>
          <w:p w14:paraId="284C97E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110°55'5.64"</w:t>
            </w:r>
          </w:p>
        </w:tc>
        <w:tc>
          <w:tcPr>
            <w:tcW w:w="1317" w:type="dxa"/>
            <w:vMerge w:val="restart"/>
            <w:vAlign w:val="center"/>
          </w:tcPr>
          <w:p w14:paraId="0AD6847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38°13'28.86"</w:t>
            </w:r>
          </w:p>
        </w:tc>
        <w:tc>
          <w:tcPr>
            <w:tcW w:w="1197" w:type="dxa"/>
            <w:vMerge w:val="restart"/>
            <w:vAlign w:val="center"/>
          </w:tcPr>
          <w:p w14:paraId="25285D2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3192D13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6E7562F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548F582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696EBF0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0E25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5AF81E3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42E0B81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11114B3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76000CB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0DD1DF9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2B9DD37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5F9B22A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20F0390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0.27</w:t>
            </w:r>
          </w:p>
        </w:tc>
        <w:tc>
          <w:tcPr>
            <w:tcW w:w="1780" w:type="dxa"/>
            <w:vAlign w:val="center"/>
          </w:tcPr>
          <w:p w14:paraId="56662E5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3.126</w:t>
            </w:r>
          </w:p>
        </w:tc>
      </w:tr>
      <w:tr w14:paraId="2489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28ACA6E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4428B64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restart"/>
            <w:vAlign w:val="center"/>
          </w:tcPr>
          <w:p w14:paraId="72B9BA5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110°55'14.93"</w:t>
            </w:r>
          </w:p>
        </w:tc>
        <w:tc>
          <w:tcPr>
            <w:tcW w:w="1317" w:type="dxa"/>
            <w:vMerge w:val="restart"/>
            <w:vAlign w:val="center"/>
          </w:tcPr>
          <w:p w14:paraId="3E931E8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38°13'56.41"</w:t>
            </w:r>
          </w:p>
        </w:tc>
        <w:tc>
          <w:tcPr>
            <w:tcW w:w="1197" w:type="dxa"/>
            <w:vMerge w:val="restart"/>
            <w:vAlign w:val="center"/>
          </w:tcPr>
          <w:p w14:paraId="45470CD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18C9D3F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215DCCB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6B32D35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382EC40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7D28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0B34057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4C1463D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1D30FCB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0C003C0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732FC84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759ED9A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76F452E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1D46BA3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0.12</w:t>
            </w:r>
          </w:p>
        </w:tc>
        <w:tc>
          <w:tcPr>
            <w:tcW w:w="1780" w:type="dxa"/>
            <w:vAlign w:val="center"/>
          </w:tcPr>
          <w:p w14:paraId="1D464CE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1.695</w:t>
            </w:r>
          </w:p>
        </w:tc>
      </w:tr>
      <w:tr w14:paraId="1343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36D2B0F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孟家坪乡集中供水水源地</w:t>
            </w:r>
          </w:p>
        </w:tc>
        <w:tc>
          <w:tcPr>
            <w:tcW w:w="870" w:type="dxa"/>
            <w:vAlign w:val="center"/>
          </w:tcPr>
          <w:p w14:paraId="3FA477C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14#</w:t>
            </w:r>
          </w:p>
        </w:tc>
        <w:tc>
          <w:tcPr>
            <w:tcW w:w="1422" w:type="dxa"/>
            <w:vAlign w:val="center"/>
          </w:tcPr>
          <w:p w14:paraId="10BB506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110°59'21.06"</w:t>
            </w:r>
          </w:p>
        </w:tc>
        <w:tc>
          <w:tcPr>
            <w:tcW w:w="1317" w:type="dxa"/>
            <w:vAlign w:val="center"/>
          </w:tcPr>
          <w:p w14:paraId="5073AD3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38°20'0.42"</w:t>
            </w:r>
          </w:p>
        </w:tc>
        <w:tc>
          <w:tcPr>
            <w:tcW w:w="1197" w:type="dxa"/>
            <w:vAlign w:val="center"/>
          </w:tcPr>
          <w:p w14:paraId="5C94236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27309A6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19E86FE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46E0A8D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2067F81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4895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04B8802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赵家坪乡集中供水水源地</w:t>
            </w:r>
          </w:p>
        </w:tc>
        <w:tc>
          <w:tcPr>
            <w:tcW w:w="870" w:type="dxa"/>
            <w:vMerge w:val="restart"/>
            <w:vAlign w:val="center"/>
          </w:tcPr>
          <w:p w14:paraId="506E254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15#</w:t>
            </w:r>
          </w:p>
        </w:tc>
        <w:tc>
          <w:tcPr>
            <w:tcW w:w="1422" w:type="dxa"/>
            <w:vMerge w:val="restart"/>
            <w:vAlign w:val="center"/>
          </w:tcPr>
          <w:p w14:paraId="72B0BB7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110°52'4.62"</w:t>
            </w:r>
          </w:p>
        </w:tc>
        <w:tc>
          <w:tcPr>
            <w:tcW w:w="1317" w:type="dxa"/>
            <w:vMerge w:val="restart"/>
            <w:vAlign w:val="center"/>
          </w:tcPr>
          <w:p w14:paraId="5201CD3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38°21'18.84"</w:t>
            </w:r>
          </w:p>
        </w:tc>
        <w:tc>
          <w:tcPr>
            <w:tcW w:w="1197" w:type="dxa"/>
            <w:vMerge w:val="restart"/>
            <w:vAlign w:val="center"/>
          </w:tcPr>
          <w:p w14:paraId="46BF1AE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655AAC2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193B30A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2F783D6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0FFAD3E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361A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3BA9D7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26CEB94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7D53723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4693648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2A7ACF1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0488BC5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3B8B758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73FEA56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0.37</w:t>
            </w:r>
          </w:p>
        </w:tc>
        <w:tc>
          <w:tcPr>
            <w:tcW w:w="1780" w:type="dxa"/>
            <w:vAlign w:val="center"/>
          </w:tcPr>
          <w:p w14:paraId="1ECAD4A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2.583</w:t>
            </w:r>
          </w:p>
        </w:tc>
      </w:tr>
      <w:tr w14:paraId="6427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4EF20C8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1B43158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restart"/>
            <w:vAlign w:val="center"/>
          </w:tcPr>
          <w:p w14:paraId="18239D2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110°51'35.82"</w:t>
            </w:r>
          </w:p>
        </w:tc>
        <w:tc>
          <w:tcPr>
            <w:tcW w:w="1317" w:type="dxa"/>
            <w:vMerge w:val="restart"/>
            <w:vAlign w:val="center"/>
          </w:tcPr>
          <w:p w14:paraId="643252A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38°21'12.48"</w:t>
            </w:r>
          </w:p>
        </w:tc>
        <w:tc>
          <w:tcPr>
            <w:tcW w:w="1197" w:type="dxa"/>
            <w:vMerge w:val="restart"/>
            <w:vAlign w:val="center"/>
          </w:tcPr>
          <w:p w14:paraId="1AA9ECF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59584B2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5956834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4900EC4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397ED86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1287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6E58727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4AD8A21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18012B1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49025F1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4A385CC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76B7217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2F279F2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939" w:type="dxa"/>
            <w:vAlign w:val="center"/>
          </w:tcPr>
          <w:p w14:paraId="0CDF615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780" w:type="dxa"/>
            <w:vAlign w:val="center"/>
          </w:tcPr>
          <w:p w14:paraId="3C9CA01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r>
      <w:tr w14:paraId="2BD5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0EA6735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圪垯乡集中供水水源</w:t>
            </w:r>
          </w:p>
        </w:tc>
        <w:tc>
          <w:tcPr>
            <w:tcW w:w="870" w:type="dxa"/>
            <w:vAlign w:val="center"/>
          </w:tcPr>
          <w:p w14:paraId="23E58E2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16#</w:t>
            </w:r>
          </w:p>
        </w:tc>
        <w:tc>
          <w:tcPr>
            <w:tcW w:w="1422" w:type="dxa"/>
            <w:vAlign w:val="center"/>
          </w:tcPr>
          <w:p w14:paraId="6F26A25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110°39'34.08"</w:t>
            </w:r>
          </w:p>
        </w:tc>
        <w:tc>
          <w:tcPr>
            <w:tcW w:w="1317" w:type="dxa"/>
            <w:vAlign w:val="center"/>
          </w:tcPr>
          <w:p w14:paraId="192EF3A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38°13'30.84"</w:t>
            </w:r>
          </w:p>
        </w:tc>
        <w:tc>
          <w:tcPr>
            <w:tcW w:w="1197" w:type="dxa"/>
            <w:vAlign w:val="center"/>
          </w:tcPr>
          <w:p w14:paraId="0F82A89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559807C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533887C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58E11E1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7A810FF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49AD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72E2EE5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合计</w:t>
            </w:r>
          </w:p>
        </w:tc>
        <w:tc>
          <w:tcPr>
            <w:tcW w:w="7767" w:type="dxa"/>
            <w:gridSpan w:val="6"/>
            <w:vAlign w:val="center"/>
          </w:tcPr>
          <w:p w14:paraId="13338B6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一级水源地</w:t>
            </w:r>
          </w:p>
        </w:tc>
        <w:tc>
          <w:tcPr>
            <w:tcW w:w="1939" w:type="dxa"/>
            <w:vAlign w:val="center"/>
          </w:tcPr>
          <w:p w14:paraId="391262A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0.73838</w:t>
            </w:r>
          </w:p>
        </w:tc>
        <w:tc>
          <w:tcPr>
            <w:tcW w:w="1780" w:type="dxa"/>
            <w:vAlign w:val="center"/>
          </w:tcPr>
          <w:p w14:paraId="57B316F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11.98593</w:t>
            </w:r>
          </w:p>
        </w:tc>
      </w:tr>
      <w:tr w14:paraId="111C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0504D0A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767" w:type="dxa"/>
            <w:gridSpan w:val="6"/>
            <w:vAlign w:val="center"/>
          </w:tcPr>
          <w:p w14:paraId="1F3AB6A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二级水源地</w:t>
            </w:r>
          </w:p>
        </w:tc>
        <w:tc>
          <w:tcPr>
            <w:tcW w:w="1939" w:type="dxa"/>
            <w:vAlign w:val="center"/>
          </w:tcPr>
          <w:p w14:paraId="3883453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8.353</w:t>
            </w:r>
          </w:p>
        </w:tc>
        <w:tc>
          <w:tcPr>
            <w:tcW w:w="1780" w:type="dxa"/>
            <w:vAlign w:val="center"/>
          </w:tcPr>
          <w:p w14:paraId="410A415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49.224</w:t>
            </w:r>
          </w:p>
        </w:tc>
      </w:tr>
      <w:tr w14:paraId="2059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753788E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767" w:type="dxa"/>
            <w:gridSpan w:val="6"/>
            <w:vAlign w:val="center"/>
          </w:tcPr>
          <w:p w14:paraId="59CD3EC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水源地</w:t>
            </w:r>
          </w:p>
        </w:tc>
        <w:tc>
          <w:tcPr>
            <w:tcW w:w="1939" w:type="dxa"/>
            <w:vAlign w:val="center"/>
          </w:tcPr>
          <w:p w14:paraId="28F879C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9.09138</w:t>
            </w:r>
          </w:p>
        </w:tc>
        <w:tc>
          <w:tcPr>
            <w:tcW w:w="1780" w:type="dxa"/>
            <w:vAlign w:val="center"/>
          </w:tcPr>
          <w:p w14:paraId="1DAD557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61.2101</w:t>
            </w:r>
          </w:p>
        </w:tc>
      </w:tr>
    </w:tbl>
    <w:p w14:paraId="4764362C">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pPr>
    </w:p>
    <w:p w14:paraId="1C96D43C">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sectPr>
          <w:pgSz w:w="16838" w:h="11906" w:orient="landscape"/>
          <w:pgMar w:top="1800" w:right="1440" w:bottom="1800" w:left="1440" w:header="851" w:footer="992" w:gutter="0"/>
          <w:pgNumType w:fmt="numberInDash"/>
          <w:cols w:space="425" w:num="1"/>
          <w:docGrid w:type="lines" w:linePitch="312" w:charSpace="0"/>
        </w:sectPr>
      </w:pPr>
    </w:p>
    <w:p w14:paraId="2085EE8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2.4.2大气环境风险受体</w:t>
      </w:r>
    </w:p>
    <w:p w14:paraId="093A067F">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根据现场调查，兴县的大气环境风险受体包括居民、医疗卫生、文化教育、科研机构、火车站、汽车站等主要功能区域内的人群、保护单位。本次风险评估中兴县的大气环境风险受体分布情况见表2.4-2。</w:t>
      </w:r>
    </w:p>
    <w:p w14:paraId="3A50D94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zh-CN"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2</w:t>
      </w:r>
      <w:r>
        <w:rPr>
          <w:rFonts w:hint="default" w:ascii="Times New Roman" w:hAnsi="Times New Roman" w:cs="Times New Roman"/>
          <w:b/>
          <w:bCs/>
          <w:color w:val="auto"/>
          <w:kern w:val="0"/>
          <w:sz w:val="24"/>
          <w:lang w:val="en-US" w:eastAsia="zh-CN"/>
        </w:rPr>
        <w:t>.4</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 xml:space="preserve"> </w:t>
      </w:r>
      <w:r>
        <w:rPr>
          <w:rFonts w:hint="default" w:ascii="Times New Roman" w:hAnsi="Times New Roman" w:eastAsia="仿宋" w:cs="Times New Roman"/>
          <w:b/>
          <w:bCs/>
          <w:color w:val="auto"/>
          <w:kern w:val="0"/>
          <w:sz w:val="24"/>
          <w:lang w:val="zh-CN" w:eastAsia="zh-CN"/>
        </w:rPr>
        <w:t xml:space="preserve"> </w:t>
      </w:r>
      <w:r>
        <w:rPr>
          <w:rFonts w:hint="default" w:ascii="Times New Roman" w:hAnsi="Times New Roman" w:cs="Times New Roman"/>
          <w:b/>
          <w:bCs/>
          <w:color w:val="auto"/>
          <w:kern w:val="0"/>
          <w:sz w:val="24"/>
          <w:lang w:val="en-US" w:eastAsia="zh-CN"/>
        </w:rPr>
        <w:t>兴</w:t>
      </w:r>
      <w:r>
        <w:rPr>
          <w:rFonts w:hint="default" w:ascii="Times New Roman" w:hAnsi="Times New Roman" w:eastAsia="仿宋" w:cs="Times New Roman"/>
          <w:b/>
          <w:bCs/>
          <w:color w:val="auto"/>
          <w:kern w:val="0"/>
          <w:sz w:val="24"/>
          <w:lang w:val="zh-CN" w:eastAsia="zh-CN"/>
        </w:rPr>
        <w:t>县主要大气环境风险受体一览表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292"/>
        <w:gridCol w:w="1292"/>
        <w:gridCol w:w="5357"/>
      </w:tblGrid>
      <w:tr w14:paraId="6414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shd w:val="clear" w:color="auto" w:fill="auto"/>
            <w:vAlign w:val="center"/>
          </w:tcPr>
          <w:p w14:paraId="25F31CE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县</w:t>
            </w:r>
          </w:p>
        </w:tc>
        <w:tc>
          <w:tcPr>
            <w:tcW w:w="758" w:type="pct"/>
            <w:shd w:val="clear" w:color="auto" w:fill="auto"/>
            <w:vAlign w:val="center"/>
          </w:tcPr>
          <w:p w14:paraId="54AABE09">
            <w:pPr>
              <w:adjustRightInd w:val="0"/>
              <w:snapToGrid w:val="0"/>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环境要素</w:t>
            </w:r>
          </w:p>
        </w:tc>
        <w:tc>
          <w:tcPr>
            <w:tcW w:w="758" w:type="pct"/>
            <w:shd w:val="clear" w:color="auto" w:fill="auto"/>
            <w:vAlign w:val="center"/>
          </w:tcPr>
          <w:p w14:paraId="3A2F5A00">
            <w:pPr>
              <w:adjustRightInd w:val="0"/>
              <w:snapToGrid w:val="0"/>
              <w:spacing w:line="240" w:lineRule="auto"/>
              <w:ind w:firstLine="0" w:firstLineChars="0"/>
              <w:jc w:val="center"/>
              <w:rPr>
                <w:rFonts w:hint="default" w:ascii="Times New Roman" w:hAnsi="Times New Roman" w:eastAsia="仿宋" w:cs="Times New Roman"/>
                <w:kern w:val="0"/>
                <w:sz w:val="21"/>
                <w:szCs w:val="21"/>
                <w:lang w:eastAsia="zh-CN"/>
              </w:rPr>
            </w:pPr>
            <w:r>
              <w:rPr>
                <w:rFonts w:hint="default" w:ascii="Times New Roman" w:hAnsi="Times New Roman" w:eastAsia="仿宋" w:cs="Times New Roman"/>
                <w:kern w:val="0"/>
                <w:sz w:val="21"/>
                <w:szCs w:val="21"/>
                <w:lang w:val="en-US" w:eastAsia="zh-CN"/>
              </w:rPr>
              <w:t>环境保护对象</w:t>
            </w:r>
          </w:p>
        </w:tc>
        <w:tc>
          <w:tcPr>
            <w:tcW w:w="3143" w:type="pct"/>
            <w:shd w:val="clear" w:color="auto" w:fill="auto"/>
            <w:vAlign w:val="center"/>
          </w:tcPr>
          <w:p w14:paraId="0546B9A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行政村</w:t>
            </w:r>
          </w:p>
        </w:tc>
      </w:tr>
      <w:tr w14:paraId="4A20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restart"/>
            <w:shd w:val="clear" w:color="auto" w:fill="auto"/>
            <w:vAlign w:val="center"/>
          </w:tcPr>
          <w:p w14:paraId="58A8E9A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兴县</w:t>
            </w:r>
          </w:p>
        </w:tc>
        <w:tc>
          <w:tcPr>
            <w:tcW w:w="758" w:type="pct"/>
            <w:vMerge w:val="restart"/>
            <w:shd w:val="clear" w:color="auto" w:fill="auto"/>
            <w:vAlign w:val="center"/>
          </w:tcPr>
          <w:p w14:paraId="37B1EA1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居民区</w:t>
            </w:r>
          </w:p>
        </w:tc>
        <w:tc>
          <w:tcPr>
            <w:tcW w:w="758" w:type="pct"/>
            <w:shd w:val="clear" w:color="auto" w:fill="auto"/>
            <w:vAlign w:val="center"/>
          </w:tcPr>
          <w:p w14:paraId="3EBF5304">
            <w:pPr>
              <w:adjustRightInd w:val="0"/>
              <w:snapToGrid w:val="0"/>
              <w:spacing w:line="240" w:lineRule="auto"/>
              <w:ind w:firstLine="0" w:firstLineChars="0"/>
              <w:jc w:val="center"/>
              <w:rPr>
                <w:rFonts w:hint="default" w:ascii="Times New Roman" w:hAnsi="Times New Roman" w:eastAsia="仿宋" w:cs="Times New Roman"/>
                <w:kern w:val="0"/>
                <w:sz w:val="21"/>
                <w:szCs w:val="21"/>
                <w:lang w:eastAsia="zh-CN"/>
              </w:rPr>
            </w:pPr>
            <w:r>
              <w:rPr>
                <w:rFonts w:hint="default" w:ascii="Times New Roman" w:hAnsi="Times New Roman" w:eastAsia="仿宋" w:cs="Times New Roman"/>
                <w:kern w:val="0"/>
                <w:sz w:val="21"/>
                <w:szCs w:val="21"/>
              </w:rPr>
              <w:t>蔚汾镇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67825</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2B79A8C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东关村、乔家沟村、后发达村、原家坪村、郭家峁村、枣林村、紫沟梁村、西关村、圪洞村、河儿上村、土贞村、南通村、下李家湾村、长乐村、石盘头村、上李家湾村、千城村、公义村、阴塔村、北康家沟村、关家崖村、东坡村、程家沟村、秦家圪堎村、贺家圪台村、麦地山村、孙家梁村、孟家沟村、兴业村、刘家圪台村、宋家塔村、艾雨头村、肖家洼村、贺家坪村、树林村、阳塔村、焉头村、杏花咀村、南康家沟村、孔家沟村、双胜村、下王家焉村、官庄村、赤涧村、饮马会村、松石村、龙尾峁村。</w:t>
            </w:r>
          </w:p>
        </w:tc>
      </w:tr>
      <w:tr w14:paraId="2705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48B9DE5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7F45534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10CA9FF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魏家滩镇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23998</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1064432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魏家滩、翠头、斜沟、东磁窑沟、西磁窑沟、马圐圙、范瞳、麻墕塔、葛家里、店上、黄家沟、马家塔、马则寨、前墕、高家塔、马浦滩、弓家崖、石佛则、贝塔、九元坪、水油塔、薛家沟。</w:t>
            </w:r>
          </w:p>
        </w:tc>
      </w:tr>
      <w:tr w14:paraId="7AF4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40D3B3D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41495CB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4B10D85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瓦塘镇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19101</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622D118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瓦塘、常中、对宝、王家峁、凤头、圪埚、沟墕头、杨家墕、杨家塔、武家塔、后石门、孔龙墕、刘家峁、前北会、后北会、上虎渠、前石门、洮沟庙、山庄、兴汉、新建、杨塔沟、杨家吉、张家洼、赵家塔、郑家塔。</w:t>
            </w:r>
          </w:p>
        </w:tc>
      </w:tr>
      <w:tr w14:paraId="5DD3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18A4700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319713D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25AE088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康宁镇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18569</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0BFF631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刘家曲、王家会、苇子沟、曹家坡、舍窠墕、安家庄、前沟、墕头、刘家庄、闫罗坪、前红月、后红月、麻子塔、赵家沟、康宁、张家崖、丰世沟、杨塔沟、乔子头、樊家湾、胡家庄、油房沟、寺坡底、阁老湾、花子、新庄、穆家墕、鹿家岔、任家塔、刘魏家沟、王家圪台、乌门、薛家沟。</w:t>
            </w:r>
          </w:p>
        </w:tc>
      </w:tr>
      <w:tr w14:paraId="1980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61CA834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198549F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3A61894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高家村镇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15100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00527E8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高家村、西吉、苏家塔、木尔崖、西坪、北西洼、张家墕、赵家川口、冯家庄、吕家湾、石阴村、张家湾、任家湾、碧村、黑峪口、中庄、花滩、唐家吉、岑西、高家沟、东峁、沙墕、宋家山、巡检司、王家塔、元条、白家畔、风角、白胡墕、花园沟。</w:t>
            </w:r>
          </w:p>
        </w:tc>
      </w:tr>
      <w:tr w14:paraId="0178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3DDA945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324317E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089809B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罗峪口镇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2549</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50107D2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罗峪口、东豆宇、王家洼、尚里村、王家山、武家庄、张家坪、芦子坡、史家山、官道吉、大坪墕、崖头吉、史家山。</w:t>
            </w:r>
          </w:p>
        </w:tc>
      </w:tr>
      <w:tr w14:paraId="6EC7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4BF0FFE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1DFCE6C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05F5CDB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蔡家会镇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9980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7F4CC3C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蔡家会、柳林、沈家里、唐堂宇、圪台上、庄头、团厂、坡上、狮子洼、彩地峁.</w:t>
            </w:r>
          </w:p>
        </w:tc>
      </w:tr>
      <w:tr w14:paraId="5132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jc w:val="center"/>
        </w:trPr>
        <w:tc>
          <w:tcPr>
            <w:tcW w:w="339" w:type="pct"/>
            <w:vMerge w:val="continue"/>
            <w:shd w:val="clear" w:color="auto" w:fill="auto"/>
            <w:vAlign w:val="center"/>
          </w:tcPr>
          <w:p w14:paraId="2EC2AD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064F37B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40929E2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交楼申乡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10086</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4519446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交楼申、后宜、宣沟、陈家圪台、新舍窠、奥家滩、弓家窑、郝家湾、孙家崖、张家岔、五家崖、阴湾则、马家沟、大坪上、兴盛村、白家坪、白家寨、安沟、阴崖上、张家圪台、后雷家沟、井沟渠、康家庄、马家梁。</w:t>
            </w:r>
          </w:p>
        </w:tc>
      </w:tr>
      <w:tr w14:paraId="2C89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04F3021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07C551E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69F3FE6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东会乡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8600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5D192BA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东会、常胜坪、大木沟、大兴安、段家湾、东南村、刘家圪台、贺家湾、李家沟、马家沟、南岔、上滩沟、石沟、石林沟、孙家坪、王家坡、西会、向阳坪、小安沟、山木沟、兴盛湾、阳崖上、姚家沟、鱼湾、寨上、庄上。</w:t>
            </w:r>
          </w:p>
        </w:tc>
      </w:tr>
      <w:tr w14:paraId="5C74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339" w:type="pct"/>
            <w:vMerge w:val="continue"/>
            <w:shd w:val="clear" w:color="auto" w:fill="auto"/>
            <w:vAlign w:val="center"/>
          </w:tcPr>
          <w:p w14:paraId="35FEC96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00ED065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1D240E9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固贤乡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10786</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3D4B55B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井子、康家坡、任家坡、宅鹿沟、福胜、田家会、曲亭、贾沟、进德、弓角底、卧羊、固贤、甄家庄、炕火沟、兴临沟、王家沟、新舍窠、安坪、尧儿上、弓家沟、闫家沟、吴城、杨家圪台、永顺、郑家岔、兰马。</w:t>
            </w:r>
          </w:p>
        </w:tc>
      </w:tr>
      <w:tr w14:paraId="5E28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339" w:type="pct"/>
            <w:vMerge w:val="continue"/>
            <w:shd w:val="clear" w:color="auto" w:fill="auto"/>
            <w:vAlign w:val="center"/>
          </w:tcPr>
          <w:p w14:paraId="080C1EB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48D2B0F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1D10A49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奥家湾乡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15990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495B096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奥家湾、张家峪、李家塔、石畔上、峁底、阴塔、孙家沟、奥家坪、车家庄、交口、吕家庄、赫家山、樊家圪埚、芦子沟、二十里铺、孙家庄、郭家圪台、屈家沟、孙家窑、石槽沟、王家崖、斜鹿山、杏树塔、唐吉吉、姚儿湾、炭烟沟、任家塔。</w:t>
            </w:r>
          </w:p>
        </w:tc>
      </w:tr>
      <w:tr w14:paraId="5869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39" w:type="pct"/>
            <w:vMerge w:val="continue"/>
            <w:shd w:val="clear" w:color="auto" w:fill="auto"/>
            <w:vAlign w:val="center"/>
          </w:tcPr>
          <w:p w14:paraId="38F25E2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5D9C6F8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27B15D7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蔡家崖乡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23300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1314F03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蔡家崖、北坡、旭谷、圪达坡、石杨则、石岭则、寨底、张家梁、王家山、胡家沟、大坪头、五龙唐、张家圪埚、池家梁、贺家沟、张家岔、北查沟、赵家吉、马福郎、姚好塔、程家塔、后木兰、刘家梁、前木兰</w:t>
            </w:r>
          </w:p>
        </w:tc>
      </w:tr>
      <w:tr w14:paraId="28B9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339" w:type="pct"/>
            <w:vMerge w:val="continue"/>
            <w:shd w:val="clear" w:color="auto" w:fill="auto"/>
            <w:vAlign w:val="center"/>
          </w:tcPr>
          <w:p w14:paraId="1948FE9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2A25C78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6876DBF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孟家坪乡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13446</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1D1F169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孟家坪、胡家塔、李家坪、麻墕条、横城、成家山、王家塔、张家墕</w:t>
            </w:r>
          </w:p>
        </w:tc>
      </w:tr>
      <w:tr w14:paraId="6A00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39" w:type="pct"/>
            <w:vMerge w:val="continue"/>
            <w:shd w:val="clear" w:color="auto" w:fill="auto"/>
            <w:vAlign w:val="center"/>
          </w:tcPr>
          <w:p w14:paraId="57AF404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7802892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0633615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赵家坪乡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7100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209D333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赵家坪、佐子坪、宋家塔、西墕、武家峁、大里上、白家峁、吴儿申、毛儿沟、康家峪、阎家塔</w:t>
            </w:r>
          </w:p>
        </w:tc>
      </w:tr>
      <w:tr w14:paraId="69C0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E8BA27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4EB19AB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779A58A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圪达上乡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7854</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60EC268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大峪口、牛家川、百家山、圪达上、杨角角、佛堂、风春、落永角、募强、白家山</w:t>
            </w:r>
          </w:p>
        </w:tc>
      </w:tr>
      <w:tr w14:paraId="2659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D3D989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516" w:type="pct"/>
            <w:gridSpan w:val="2"/>
            <w:shd w:val="clear" w:color="auto" w:fill="auto"/>
            <w:vAlign w:val="center"/>
          </w:tcPr>
          <w:p w14:paraId="11A531C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cs="Times New Roman"/>
                <w:kern w:val="0"/>
                <w:sz w:val="21"/>
                <w:szCs w:val="21"/>
                <w:lang w:val="en-US" w:eastAsia="zh-CN"/>
              </w:rPr>
              <w:t>学校</w:t>
            </w:r>
          </w:p>
        </w:tc>
        <w:tc>
          <w:tcPr>
            <w:tcW w:w="3143" w:type="pct"/>
            <w:shd w:val="clear" w:color="auto" w:fill="auto"/>
            <w:vAlign w:val="center"/>
          </w:tcPr>
          <w:p w14:paraId="3AC16778">
            <w:pPr>
              <w:adjustRightInd w:val="0"/>
              <w:snapToGrid w:val="0"/>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兴县实验小学</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兴县北关小学</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兴县城镇中学</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兴县友兰中学</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兴县中学</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兴县职业中学</w:t>
            </w:r>
            <w:r>
              <w:rPr>
                <w:rFonts w:hint="default" w:ascii="Times New Roman" w:hAnsi="Times New Roman" w:eastAsia="仿宋" w:cs="Times New Roman"/>
                <w:kern w:val="0"/>
                <w:sz w:val="21"/>
                <w:szCs w:val="21"/>
                <w:lang w:eastAsia="zh-CN"/>
              </w:rPr>
              <w:t>、</w:t>
            </w:r>
          </w:p>
        </w:tc>
      </w:tr>
      <w:tr w14:paraId="27B6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87F3D7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516" w:type="pct"/>
            <w:gridSpan w:val="2"/>
            <w:shd w:val="clear" w:color="auto" w:fill="auto"/>
            <w:vAlign w:val="center"/>
          </w:tcPr>
          <w:p w14:paraId="74CE6BD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cs="Times New Roman"/>
                <w:color w:val="auto"/>
                <w:sz w:val="24"/>
                <w:szCs w:val="24"/>
                <w:highlight w:val="none"/>
                <w:vertAlign w:val="baseline"/>
                <w:lang w:val="en-US" w:eastAsia="zh-CN"/>
              </w:rPr>
              <w:t>医院</w:t>
            </w:r>
          </w:p>
        </w:tc>
        <w:tc>
          <w:tcPr>
            <w:tcW w:w="3143" w:type="pct"/>
            <w:shd w:val="clear" w:color="auto" w:fill="auto"/>
            <w:vAlign w:val="center"/>
          </w:tcPr>
          <w:p w14:paraId="11B9E5C2">
            <w:pPr>
              <w:adjustRightInd w:val="0"/>
              <w:snapToGrid w:val="0"/>
              <w:spacing w:line="240" w:lineRule="auto"/>
              <w:ind w:firstLine="0" w:firstLineChars="0"/>
              <w:jc w:val="center"/>
              <w:rPr>
                <w:rFonts w:hint="default" w:ascii="Times New Roman" w:hAnsi="Times New Roman" w:eastAsia="仿宋" w:cs="Times New Roman"/>
                <w:kern w:val="0"/>
                <w:sz w:val="21"/>
                <w:szCs w:val="21"/>
                <w:lang w:eastAsia="zh-CN"/>
              </w:rPr>
            </w:pPr>
            <w:r>
              <w:rPr>
                <w:rFonts w:hint="default" w:ascii="Times New Roman" w:hAnsi="Times New Roman" w:eastAsia="仿宋" w:cs="Times New Roman"/>
                <w:kern w:val="0"/>
                <w:sz w:val="21"/>
                <w:szCs w:val="21"/>
              </w:rPr>
              <w:t>兴县人民医院</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兴县中医院</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兴县中健医院</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兴县鑫德医院</w:t>
            </w:r>
          </w:p>
        </w:tc>
      </w:tr>
    </w:tbl>
    <w:p w14:paraId="0B2F6DBD">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2.4.3生态保护红线</w:t>
      </w:r>
    </w:p>
    <w:p w14:paraId="445493F0">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全区划定永久基本农田保护红线323.87平方公里，划定生态保护红线1115.57平方公里，划定城镇开发边界20.57平方公里。</w:t>
      </w:r>
    </w:p>
    <w:p w14:paraId="05C5D791">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spacing w:val="-2"/>
          <w:sz w:val="28"/>
          <w:szCs w:val="28"/>
          <w:lang w:val="en-US" w:eastAsia="zh-CN"/>
        </w:rPr>
        <w:sectPr>
          <w:pgSz w:w="11906" w:h="16838"/>
          <w:pgMar w:top="1440" w:right="1800" w:bottom="1440" w:left="1800" w:header="851" w:footer="673" w:gutter="0"/>
          <w:pgBorders>
            <w:top w:val="none" w:sz="0" w:space="0"/>
            <w:left w:val="none" w:sz="0" w:space="0"/>
            <w:bottom w:val="none" w:sz="0" w:space="0"/>
            <w:right w:val="none" w:sz="0" w:space="0"/>
          </w:pgBorders>
          <w:pgNumType w:fmt="numberInDash"/>
          <w:cols w:space="720" w:num="1"/>
          <w:docGrid w:type="linesAndChars" w:linePitch="579" w:charSpace="-849"/>
        </w:sectPr>
      </w:pPr>
      <w:r>
        <w:rPr>
          <w:rFonts w:hint="default" w:ascii="Times New Roman" w:hAnsi="Times New Roman" w:eastAsia="仿宋" w:cs="Times New Roman"/>
          <w:bCs/>
          <w:color w:val="auto"/>
          <w:sz w:val="28"/>
          <w:szCs w:val="28"/>
          <w:highlight w:val="none"/>
          <w:lang w:val="en-US" w:eastAsia="zh-CN"/>
        </w:rPr>
        <w:t>兴县生态红线图见图</w:t>
      </w:r>
      <w:r>
        <w:rPr>
          <w:rFonts w:hint="eastAsia" w:ascii="Times New Roman" w:hAnsi="Times New Roman" w:eastAsia="仿宋" w:cs="Times New Roman"/>
          <w:bCs/>
          <w:color w:val="auto"/>
          <w:sz w:val="28"/>
          <w:szCs w:val="28"/>
          <w:highlight w:val="none"/>
          <w:lang w:val="en-US" w:eastAsia="zh-CN"/>
        </w:rPr>
        <w:t>2.4-1</w:t>
      </w:r>
      <w:r>
        <w:rPr>
          <w:rFonts w:hint="default" w:ascii="Times New Roman" w:hAnsi="Times New Roman" w:eastAsia="仿宋" w:cs="Times New Roman"/>
          <w:bCs/>
          <w:color w:val="auto"/>
          <w:sz w:val="28"/>
          <w:szCs w:val="28"/>
          <w:highlight w:val="none"/>
          <w:lang w:val="en-US" w:eastAsia="zh-CN"/>
        </w:rPr>
        <w:t>。</w:t>
      </w:r>
    </w:p>
    <w:p w14:paraId="6B097C3C">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bCs/>
          <w:color w:val="auto"/>
          <w:sz w:val="28"/>
          <w:szCs w:val="28"/>
          <w:highlight w:val="none"/>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9744" behindDoc="0" locked="0" layoutInCell="1" allowOverlap="1">
                <wp:simplePos x="0" y="0"/>
                <wp:positionH relativeFrom="column">
                  <wp:posOffset>2744470</wp:posOffset>
                </wp:positionH>
                <wp:positionV relativeFrom="paragraph">
                  <wp:posOffset>5260975</wp:posOffset>
                </wp:positionV>
                <wp:extent cx="3347085" cy="328295"/>
                <wp:effectExtent l="0" t="0" r="5715" b="14605"/>
                <wp:wrapNone/>
                <wp:docPr id="24" name="文本框 24"/>
                <wp:cNvGraphicFramePr/>
                <a:graphic xmlns:a="http://schemas.openxmlformats.org/drawingml/2006/main">
                  <a:graphicData uri="http://schemas.microsoft.com/office/word/2010/wordprocessingShape">
                    <wps:wsp>
                      <wps:cNvSpPr txBox="1"/>
                      <wps:spPr>
                        <a:xfrm>
                          <a:off x="0" y="0"/>
                          <a:ext cx="3347085" cy="3282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B5C655">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.4</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bCs/>
                                <w:sz w:val="24"/>
                                <w:szCs w:val="24"/>
                                <w:lang w:val="en-US" w:eastAsia="zh-CN"/>
                              </w:rPr>
                              <w:t>兴县划定的生态红线图</w:t>
                            </w:r>
                          </w:p>
                          <w:p w14:paraId="358E6E5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1pt;margin-top:414.25pt;height:25.85pt;width:263.55pt;z-index:251679744;mso-width-relative:page;mso-height-relative:page;" fillcolor="#FFFFFF [3201]" filled="t" stroked="f" coordsize="21600,21600" o:gfxdata="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z7Q5o1wAAAAsBAAAP&#10;AAAAAAAAAAEAIAAAACIAAABkcnMvZG93bnJldi54bWxQSwECFAAUAAAACACHTuJASd7xKVICAACR&#10;BAAADgAAAAAAAAABACAAAAAmAQAAZHJzL2Uyb0RvYy54bWxQSwUGAAAAAAYABgBZAQAA6gUAAAAA&#10;">
                <v:fill on="t" focussize="0,0"/>
                <v:stroke on="f" weight="0.5pt"/>
                <v:imagedata o:title=""/>
                <o:lock v:ext="edit" aspectratio="f"/>
                <v:textbox>
                  <w:txbxContent>
                    <w:p w14:paraId="03B5C655">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.4</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bCs/>
                          <w:sz w:val="24"/>
                          <w:szCs w:val="24"/>
                          <w:lang w:val="en-US" w:eastAsia="zh-CN"/>
                        </w:rPr>
                        <w:t>兴县划定的生态红线图</w:t>
                      </w:r>
                    </w:p>
                    <w:p w14:paraId="358E6E56"/>
                  </w:txbxContent>
                </v:textbox>
              </v:shape>
            </w:pict>
          </mc:Fallback>
        </mc:AlternateContent>
      </w:r>
      <w:r>
        <w:rPr>
          <w:rFonts w:hint="default" w:ascii="Times New Roman" w:hAnsi="Times New Roman" w:cs="Times New Roman"/>
          <w:color w:val="auto"/>
        </w:rPr>
        <w:drawing>
          <wp:anchor distT="0" distB="0" distL="114300" distR="114300" simplePos="0" relativeHeight="251678720" behindDoc="0" locked="0" layoutInCell="1" allowOverlap="1">
            <wp:simplePos x="0" y="0"/>
            <wp:positionH relativeFrom="column">
              <wp:posOffset>488315</wp:posOffset>
            </wp:positionH>
            <wp:positionV relativeFrom="paragraph">
              <wp:posOffset>-523875</wp:posOffset>
            </wp:positionV>
            <wp:extent cx="8117840" cy="5693410"/>
            <wp:effectExtent l="0" t="0" r="16510" b="2540"/>
            <wp:wrapNone/>
            <wp:docPr id="5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17"/>
                    <pic:cNvPicPr>
                      <a:picLocks noChangeAspect="1"/>
                    </pic:cNvPicPr>
                  </pic:nvPicPr>
                  <pic:blipFill>
                    <a:blip r:embed="rId25"/>
                    <a:srcRect l="1885" t="2428" r="1901" b="836"/>
                    <a:stretch>
                      <a:fillRect/>
                    </a:stretch>
                  </pic:blipFill>
                  <pic:spPr>
                    <a:xfrm>
                      <a:off x="0" y="0"/>
                      <a:ext cx="8117840" cy="5693410"/>
                    </a:xfrm>
                    <a:prstGeom prst="rect">
                      <a:avLst/>
                    </a:prstGeom>
                    <a:noFill/>
                    <a:ln>
                      <a:noFill/>
                    </a:ln>
                  </pic:spPr>
                </pic:pic>
              </a:graphicData>
            </a:graphic>
          </wp:anchor>
        </w:drawing>
      </w:r>
    </w:p>
    <w:p w14:paraId="15FCC237">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58" w:name="_Toc27698"/>
      <w:bookmarkStart w:id="59" w:name="_Toc13713"/>
      <w:r>
        <w:rPr>
          <w:rFonts w:hint="default" w:ascii="Times New Roman" w:hAnsi="Times New Roman" w:eastAsia="仿宋" w:cs="Times New Roman"/>
          <w:color w:val="auto"/>
          <w:kern w:val="0"/>
          <w:sz w:val="32"/>
          <w:lang w:val="en-US" w:eastAsia="zh-CN"/>
        </w:rPr>
        <w:t>2.5兴县固定环境风险源概况</w:t>
      </w:r>
      <w:bookmarkEnd w:id="58"/>
      <w:bookmarkEnd w:id="59"/>
    </w:p>
    <w:p w14:paraId="377A602C">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60" w:name="_Toc8353"/>
      <w:r>
        <w:rPr>
          <w:rFonts w:hint="default" w:ascii="Times New Roman" w:hAnsi="Times New Roman" w:eastAsia="仿宋" w:cs="Times New Roman"/>
          <w:bCs w:val="0"/>
          <w:color w:val="auto"/>
          <w:kern w:val="0"/>
          <w:sz w:val="30"/>
          <w:szCs w:val="30"/>
          <w:lang w:val="en-US" w:eastAsia="zh-CN"/>
        </w:rPr>
        <w:t>2.5.1兴县企业风险等级及应急预案备案情况</w:t>
      </w:r>
      <w:bookmarkEnd w:id="60"/>
    </w:p>
    <w:p w14:paraId="56AE9C8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为准确判定兴县企业突发环境事件环境风险等级，综合评估突发环境事件风险防控能力，从技术、工程和管理上提出和建设降低发生突发环境事件几率的措施和设施，确保环境安全，根据《突发环境事件应急预案管理暂行办法》规定，兴县内相关企业应按文件要求在规定时间内完成突发环境事件风险评估工作。为健全环境污染事故应急机制，提高企业应对涉及公共危机的突发环境污染事故的能力，保护企业员工及外界人员的生命安全，减少单位及外界财产损失，使事故发生后能快速、有效、有序地实施应急救援，需编制突发环境事件应急预案，用于指导企业突发环境事件的应急救援行动。</w:t>
      </w:r>
    </w:p>
    <w:p w14:paraId="49F5E7F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zh-CN" w:eastAsia="zh-CN"/>
        </w:rPr>
      </w:pPr>
      <w:r>
        <w:rPr>
          <w:rFonts w:hint="default" w:ascii="Times New Roman" w:hAnsi="Times New Roman" w:eastAsia="仿宋" w:cs="Times New Roman"/>
          <w:bCs/>
          <w:color w:val="auto"/>
          <w:sz w:val="28"/>
          <w:szCs w:val="28"/>
          <w:highlight w:val="none"/>
          <w:lang w:val="en-US" w:eastAsia="zh-CN"/>
        </w:rPr>
        <w:t>通过调查，从2021年至今，27家企业均已完成了突发环境事件风险评估和应急预案的编制以及备案，有25家企业的环境风险为一般环境风险（其中有7家为加油站），环境风险较小，有2家企业为较大环境风险（其中有1家为尾矿库），没有重大环境风险，故本次风险评估重点考虑除上述25家企业外的另外2家企业，企业基本情况及风险评估情况见表2</w:t>
      </w:r>
      <w:r>
        <w:rPr>
          <w:rFonts w:hint="eastAsia" w:ascii="Times New Roman" w:hAnsi="Times New Roman" w:eastAsia="仿宋" w:cs="Times New Roman"/>
          <w:bCs/>
          <w:color w:val="auto"/>
          <w:sz w:val="28"/>
          <w:szCs w:val="28"/>
          <w:highlight w:val="none"/>
          <w:lang w:val="en-US" w:eastAsia="zh-CN"/>
        </w:rPr>
        <w:t>.5</w:t>
      </w:r>
      <w:r>
        <w:rPr>
          <w:rFonts w:hint="default" w:ascii="Times New Roman" w:hAnsi="Times New Roman" w:eastAsia="仿宋" w:cs="Times New Roman"/>
          <w:bCs/>
          <w:color w:val="auto"/>
          <w:sz w:val="28"/>
          <w:szCs w:val="28"/>
          <w:highlight w:val="none"/>
          <w:lang w:val="en-US" w:eastAsia="zh-CN"/>
        </w:rPr>
        <w:t>-</w:t>
      </w:r>
      <w:r>
        <w:rPr>
          <w:rFonts w:hint="eastAsia" w:ascii="Times New Roman" w:hAnsi="Times New Roman" w:eastAsia="仿宋" w:cs="Times New Roman"/>
          <w:bCs/>
          <w:color w:val="auto"/>
          <w:sz w:val="28"/>
          <w:szCs w:val="28"/>
          <w:highlight w:val="none"/>
          <w:lang w:val="en-US" w:eastAsia="zh-CN"/>
        </w:rPr>
        <w:t>1</w:t>
      </w:r>
      <w:r>
        <w:rPr>
          <w:rFonts w:hint="default" w:ascii="Times New Roman" w:hAnsi="Times New Roman" w:eastAsia="仿宋" w:cs="Times New Roman"/>
          <w:bCs/>
          <w:color w:val="auto"/>
          <w:sz w:val="28"/>
          <w:szCs w:val="28"/>
          <w:highlight w:val="none"/>
          <w:lang w:val="en-US" w:eastAsia="zh-CN"/>
        </w:rPr>
        <w:t>。</w:t>
      </w:r>
    </w:p>
    <w:p w14:paraId="57DD265F">
      <w:pPr>
        <w:adjustRightInd/>
        <w:snapToGrid/>
        <w:spacing w:line="560" w:lineRule="exact"/>
        <w:ind w:firstLine="0" w:firstLineChars="0"/>
        <w:jc w:val="center"/>
        <w:rPr>
          <w:rFonts w:hint="default" w:ascii="Times New Roman" w:hAnsi="Times New Roman" w:eastAsia="仿宋" w:cs="Times New Roman"/>
          <w:b/>
          <w:bCs/>
          <w:color w:val="auto"/>
          <w:kern w:val="0"/>
          <w:sz w:val="24"/>
          <w:lang w:val="zh-CN" w:eastAsia="zh-CN"/>
        </w:rPr>
      </w:pPr>
      <w:r>
        <w:rPr>
          <w:rFonts w:hint="default" w:ascii="Times New Roman" w:hAnsi="Times New Roman" w:eastAsia="仿宋" w:cs="Times New Roman"/>
          <w:b/>
          <w:bCs/>
          <w:color w:val="auto"/>
          <w:kern w:val="0"/>
          <w:sz w:val="24"/>
          <w:lang w:val="zh-CN" w:eastAsia="zh-CN"/>
        </w:rPr>
        <w:t>表2</w:t>
      </w:r>
      <w:r>
        <w:rPr>
          <w:rFonts w:hint="eastAsia" w:ascii="Times New Roman" w:hAnsi="Times New Roman" w:cs="Times New Roman"/>
          <w:b/>
          <w:bCs/>
          <w:color w:val="auto"/>
          <w:kern w:val="0"/>
          <w:sz w:val="24"/>
          <w:lang w:val="en-US" w:eastAsia="zh-CN"/>
        </w:rPr>
        <w:t>.5</w:t>
      </w:r>
      <w:r>
        <w:rPr>
          <w:rFonts w:hint="default" w:ascii="Times New Roman" w:hAnsi="Times New Roman" w:eastAsia="仿宋" w:cs="Times New Roman"/>
          <w:b/>
          <w:bCs/>
          <w:color w:val="auto"/>
          <w:kern w:val="0"/>
          <w:sz w:val="24"/>
          <w:lang w:val="zh-CN" w:eastAsia="zh-CN"/>
        </w:rPr>
        <w:t>-</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 xml:space="preserve"> </w:t>
      </w:r>
      <w:r>
        <w:rPr>
          <w:rFonts w:hint="default" w:ascii="Times New Roman" w:hAnsi="Times New Roman" w:eastAsia="仿宋" w:cs="Times New Roman"/>
          <w:b/>
          <w:bCs/>
          <w:color w:val="auto"/>
          <w:kern w:val="0"/>
          <w:sz w:val="24"/>
          <w:lang w:val="zh-CN" w:eastAsia="zh-CN"/>
        </w:rPr>
        <w:t xml:space="preserve"> </w:t>
      </w:r>
      <w:r>
        <w:rPr>
          <w:rFonts w:hint="default" w:ascii="Times New Roman" w:hAnsi="Times New Roman" w:eastAsia="仿宋" w:cs="Times New Roman"/>
          <w:b/>
          <w:bCs/>
          <w:color w:val="auto"/>
          <w:kern w:val="0"/>
          <w:sz w:val="24"/>
          <w:lang w:val="en-US" w:eastAsia="zh-CN"/>
        </w:rPr>
        <w:t>兴县</w:t>
      </w:r>
      <w:r>
        <w:rPr>
          <w:rFonts w:hint="default" w:ascii="Times New Roman" w:hAnsi="Times New Roman" w:eastAsia="仿宋" w:cs="Times New Roman"/>
          <w:b/>
          <w:bCs/>
          <w:color w:val="auto"/>
          <w:kern w:val="0"/>
          <w:sz w:val="24"/>
          <w:lang w:val="zh-CN" w:eastAsia="zh-CN"/>
        </w:rPr>
        <w:t>企业风险评估和应急预案情况一览表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776"/>
        <w:gridCol w:w="1910"/>
        <w:gridCol w:w="1754"/>
        <w:gridCol w:w="1655"/>
        <w:gridCol w:w="997"/>
      </w:tblGrid>
      <w:tr w14:paraId="2E030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6D4C99C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eastAsia="zh-CN"/>
              </w:rPr>
            </w:pPr>
            <w:r>
              <w:rPr>
                <w:rFonts w:hint="default" w:ascii="Times New Roman" w:hAnsi="Times New Roman" w:eastAsia="仿宋" w:cs="Times New Roman"/>
                <w:color w:val="auto"/>
                <w:vertAlign w:val="baseline"/>
                <w:lang w:val="en-US" w:eastAsia="zh-CN"/>
              </w:rPr>
              <w:t>序号</w:t>
            </w:r>
          </w:p>
        </w:tc>
        <w:tc>
          <w:tcPr>
            <w:tcW w:w="1042" w:type="pct"/>
            <w:tcBorders>
              <w:tl2br w:val="nil"/>
              <w:tr2bl w:val="nil"/>
            </w:tcBorders>
            <w:noWrap w:val="0"/>
            <w:vAlign w:val="center"/>
          </w:tcPr>
          <w:p w14:paraId="7682480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eastAsia="zh-CN"/>
              </w:rPr>
            </w:pPr>
            <w:r>
              <w:rPr>
                <w:rFonts w:hint="default" w:ascii="Times New Roman" w:hAnsi="Times New Roman" w:eastAsia="仿宋" w:cs="Times New Roman"/>
                <w:color w:val="auto"/>
                <w:vertAlign w:val="baseline"/>
                <w:lang w:val="en-US" w:eastAsia="zh-CN"/>
              </w:rPr>
              <w:t>名称</w:t>
            </w:r>
          </w:p>
        </w:tc>
        <w:tc>
          <w:tcPr>
            <w:tcW w:w="1121" w:type="pct"/>
            <w:tcBorders>
              <w:tl2br w:val="nil"/>
              <w:tr2bl w:val="nil"/>
            </w:tcBorders>
            <w:noWrap w:val="0"/>
            <w:vAlign w:val="center"/>
          </w:tcPr>
          <w:p w14:paraId="425B63F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坐标</w:t>
            </w:r>
          </w:p>
        </w:tc>
        <w:tc>
          <w:tcPr>
            <w:tcW w:w="1029" w:type="pct"/>
            <w:tcBorders>
              <w:tl2br w:val="nil"/>
              <w:tr2bl w:val="nil"/>
            </w:tcBorders>
            <w:noWrap w:val="0"/>
            <w:vAlign w:val="center"/>
          </w:tcPr>
          <w:p w14:paraId="6C4B7B4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eastAsia="zh-CN"/>
              </w:rPr>
            </w:pPr>
            <w:r>
              <w:rPr>
                <w:rFonts w:hint="default" w:ascii="Times New Roman" w:hAnsi="Times New Roman" w:eastAsia="仿宋" w:cs="Times New Roman"/>
                <w:color w:val="auto"/>
                <w:vertAlign w:val="baseline"/>
                <w:lang w:val="en-US" w:eastAsia="zh-CN"/>
              </w:rPr>
              <w:t>污染物排放去向</w:t>
            </w:r>
          </w:p>
        </w:tc>
        <w:tc>
          <w:tcPr>
            <w:tcW w:w="971" w:type="pct"/>
            <w:tcBorders>
              <w:tl2br w:val="nil"/>
              <w:tr2bl w:val="nil"/>
            </w:tcBorders>
            <w:noWrap w:val="0"/>
            <w:vAlign w:val="center"/>
          </w:tcPr>
          <w:p w14:paraId="6748A12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突发环境事件风险等级</w:t>
            </w:r>
          </w:p>
        </w:tc>
        <w:tc>
          <w:tcPr>
            <w:tcW w:w="585" w:type="pct"/>
            <w:tcBorders>
              <w:tl2br w:val="nil"/>
              <w:tr2bl w:val="nil"/>
            </w:tcBorders>
            <w:noWrap w:val="0"/>
            <w:vAlign w:val="center"/>
          </w:tcPr>
          <w:p w14:paraId="463965B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是否备案</w:t>
            </w:r>
          </w:p>
        </w:tc>
      </w:tr>
      <w:tr w14:paraId="28D7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44934DF5">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w:t>
            </w:r>
          </w:p>
        </w:tc>
        <w:tc>
          <w:tcPr>
            <w:tcW w:w="1042" w:type="pct"/>
            <w:tcBorders>
              <w:tl2br w:val="nil"/>
              <w:tr2bl w:val="nil"/>
            </w:tcBorders>
            <w:noWrap w:val="0"/>
            <w:vAlign w:val="center"/>
          </w:tcPr>
          <w:p w14:paraId="5DEC5B1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山西泽丰达新能源有限公司</w:t>
            </w:r>
          </w:p>
        </w:tc>
        <w:tc>
          <w:tcPr>
            <w:tcW w:w="1121" w:type="pct"/>
            <w:tcBorders>
              <w:tl2br w:val="nil"/>
              <w:tr2bl w:val="nil"/>
            </w:tcBorders>
            <w:noWrap w:val="0"/>
            <w:vAlign w:val="center"/>
          </w:tcPr>
          <w:p w14:paraId="2CF7878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E110°58′59.67”N38°36′18.14”</w:t>
            </w:r>
          </w:p>
        </w:tc>
        <w:tc>
          <w:tcPr>
            <w:tcW w:w="1029" w:type="pct"/>
            <w:tcBorders>
              <w:tl2br w:val="nil"/>
              <w:tr2bl w:val="nil"/>
            </w:tcBorders>
            <w:noWrap w:val="0"/>
            <w:vAlign w:val="center"/>
          </w:tcPr>
          <w:p w14:paraId="785FAB9D">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污水：全部回用</w:t>
            </w:r>
          </w:p>
          <w:p w14:paraId="307F54C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废气：大气</w:t>
            </w:r>
          </w:p>
        </w:tc>
        <w:tc>
          <w:tcPr>
            <w:tcW w:w="971" w:type="pct"/>
            <w:tcBorders>
              <w:tl2br w:val="nil"/>
              <w:tr2bl w:val="nil"/>
            </w:tcBorders>
            <w:noWrap w:val="0"/>
            <w:vAlign w:val="center"/>
          </w:tcPr>
          <w:p w14:paraId="429BFCC3">
            <w:pPr>
              <w:pStyle w:val="33"/>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较大[较大-大气(Q3-M1-E2)+较大-水(Q1-M1-E1)]</w:t>
            </w:r>
          </w:p>
        </w:tc>
        <w:tc>
          <w:tcPr>
            <w:tcW w:w="585" w:type="pct"/>
            <w:tcBorders>
              <w:tl2br w:val="nil"/>
              <w:tr2bl w:val="nil"/>
            </w:tcBorders>
            <w:noWrap w:val="0"/>
            <w:vAlign w:val="center"/>
          </w:tcPr>
          <w:p w14:paraId="3796A70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是</w:t>
            </w:r>
          </w:p>
        </w:tc>
      </w:tr>
      <w:tr w14:paraId="7ADB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50" w:type="pct"/>
            <w:tcBorders>
              <w:tl2br w:val="nil"/>
              <w:tr2bl w:val="nil"/>
            </w:tcBorders>
            <w:noWrap w:val="0"/>
            <w:vAlign w:val="center"/>
          </w:tcPr>
          <w:p w14:paraId="4F418D9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w:t>
            </w:r>
          </w:p>
        </w:tc>
        <w:tc>
          <w:tcPr>
            <w:tcW w:w="1042" w:type="pct"/>
            <w:tcBorders>
              <w:tl2br w:val="nil"/>
              <w:tr2bl w:val="nil"/>
            </w:tcBorders>
            <w:noWrap w:val="0"/>
            <w:vAlign w:val="center"/>
          </w:tcPr>
          <w:p w14:paraId="2F4925F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山西华兴钼业有限公司赤泥库</w:t>
            </w:r>
          </w:p>
        </w:tc>
        <w:tc>
          <w:tcPr>
            <w:tcW w:w="1121" w:type="pct"/>
            <w:tcBorders>
              <w:tl2br w:val="nil"/>
              <w:tr2bl w:val="nil"/>
            </w:tcBorders>
            <w:noWrap w:val="0"/>
            <w:vAlign w:val="center"/>
          </w:tcPr>
          <w:p w14:paraId="52DA97B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E110°57′23.6”N38°37′23.48”</w:t>
            </w:r>
          </w:p>
        </w:tc>
        <w:tc>
          <w:tcPr>
            <w:tcW w:w="1029" w:type="pct"/>
            <w:tcBorders>
              <w:tl2br w:val="nil"/>
              <w:tr2bl w:val="nil"/>
            </w:tcBorders>
            <w:noWrap w:val="0"/>
            <w:vAlign w:val="center"/>
          </w:tcPr>
          <w:p w14:paraId="3575D0B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w:t>
            </w:r>
          </w:p>
        </w:tc>
        <w:tc>
          <w:tcPr>
            <w:tcW w:w="971" w:type="pct"/>
            <w:tcBorders>
              <w:tl2br w:val="nil"/>
              <w:tr2bl w:val="nil"/>
            </w:tcBorders>
            <w:noWrap w:val="0"/>
            <w:vAlign w:val="center"/>
          </w:tcPr>
          <w:p w14:paraId="49C649A6">
            <w:pPr>
              <w:pStyle w:val="33"/>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kern w:val="2"/>
                <w:sz w:val="21"/>
                <w:szCs w:val="28"/>
                <w:vertAlign w:val="baseline"/>
                <w:lang w:val="en-US" w:eastAsia="zh-CN" w:bidi="ar-SA"/>
              </w:rPr>
              <w:t>较大(H2S1R3)</w:t>
            </w:r>
          </w:p>
        </w:tc>
        <w:tc>
          <w:tcPr>
            <w:tcW w:w="585" w:type="pct"/>
            <w:tcBorders>
              <w:tl2br w:val="nil"/>
              <w:tr2bl w:val="nil"/>
            </w:tcBorders>
            <w:noWrap w:val="0"/>
            <w:vAlign w:val="center"/>
          </w:tcPr>
          <w:p w14:paraId="2C968D7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是</w:t>
            </w:r>
          </w:p>
        </w:tc>
      </w:tr>
    </w:tbl>
    <w:p w14:paraId="1F3ED799">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61" w:name="_Toc5282"/>
      <w:r>
        <w:rPr>
          <w:rFonts w:hint="default" w:ascii="Times New Roman" w:hAnsi="Times New Roman" w:eastAsia="仿宋" w:cs="Times New Roman"/>
          <w:bCs w:val="0"/>
          <w:color w:val="auto"/>
          <w:kern w:val="0"/>
          <w:sz w:val="30"/>
          <w:szCs w:val="30"/>
          <w:lang w:val="en-US" w:eastAsia="zh-CN"/>
        </w:rPr>
        <w:t>2.5.2兴县内环境风险物质情祝</w:t>
      </w:r>
      <w:bookmarkEnd w:id="61"/>
    </w:p>
    <w:p w14:paraId="77365E3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通过对兴县已投产的27家企业的资料调查，对较大环境风险和重大环境风险企业在生产过程中涉及环境风险物质进行统计。危险化学品均储存在企业内，兴县内暂未设置大型危化品物流储存基地，涉及环境风险物质的企业统计见表2</w:t>
      </w:r>
      <w:r>
        <w:rPr>
          <w:rFonts w:hint="eastAsia" w:ascii="Times New Roman" w:hAnsi="Times New Roman" w:eastAsia="仿宋" w:cs="Times New Roman"/>
          <w:bCs/>
          <w:color w:val="auto"/>
          <w:sz w:val="28"/>
          <w:szCs w:val="28"/>
          <w:highlight w:val="none"/>
          <w:lang w:val="en-US" w:eastAsia="zh-CN"/>
        </w:rPr>
        <w:t>.5</w:t>
      </w:r>
      <w:r>
        <w:rPr>
          <w:rFonts w:hint="default" w:ascii="Times New Roman" w:hAnsi="Times New Roman" w:eastAsia="仿宋" w:cs="Times New Roman"/>
          <w:bCs/>
          <w:color w:val="auto"/>
          <w:sz w:val="28"/>
          <w:szCs w:val="28"/>
          <w:highlight w:val="none"/>
          <w:lang w:val="en-US" w:eastAsia="zh-CN"/>
        </w:rPr>
        <w:t>-</w:t>
      </w:r>
      <w:r>
        <w:rPr>
          <w:rFonts w:hint="eastAsia" w:ascii="Times New Roman" w:hAnsi="Times New Roman" w:eastAsia="仿宋" w:cs="Times New Roman"/>
          <w:bCs/>
          <w:color w:val="auto"/>
          <w:sz w:val="28"/>
          <w:szCs w:val="28"/>
          <w:highlight w:val="none"/>
          <w:lang w:val="en-US" w:eastAsia="zh-CN"/>
        </w:rPr>
        <w:t>2</w:t>
      </w:r>
      <w:r>
        <w:rPr>
          <w:rFonts w:hint="default" w:ascii="Times New Roman" w:hAnsi="Times New Roman" w:eastAsia="仿宋" w:cs="Times New Roman"/>
          <w:bCs/>
          <w:color w:val="auto"/>
          <w:sz w:val="28"/>
          <w:szCs w:val="28"/>
          <w:highlight w:val="none"/>
          <w:lang w:val="en-US" w:eastAsia="zh-CN"/>
        </w:rPr>
        <w:t>所示。</w:t>
      </w:r>
    </w:p>
    <w:p w14:paraId="6CA0FB60">
      <w:pPr>
        <w:adjustRightInd/>
        <w:snapToGrid/>
        <w:spacing w:line="560" w:lineRule="exact"/>
        <w:ind w:firstLine="0" w:firstLineChars="0"/>
        <w:jc w:val="center"/>
        <w:rPr>
          <w:rFonts w:hint="default" w:ascii="Times New Roman" w:hAnsi="Times New Roman" w:eastAsia="仿宋" w:cs="Times New Roman"/>
          <w:b/>
          <w:bCs/>
          <w:color w:val="auto"/>
          <w:kern w:val="0"/>
          <w:sz w:val="24"/>
          <w:lang w:val="zh-CN" w:eastAsia="zh-CN"/>
        </w:rPr>
      </w:pPr>
      <w:r>
        <w:rPr>
          <w:rFonts w:hint="default" w:ascii="Times New Roman" w:hAnsi="Times New Roman" w:eastAsia="仿宋" w:cs="Times New Roman"/>
          <w:b/>
          <w:bCs/>
          <w:color w:val="auto"/>
          <w:kern w:val="0"/>
          <w:sz w:val="24"/>
          <w:lang w:val="zh-CN" w:eastAsia="zh-CN"/>
        </w:rPr>
        <w:t>表2</w:t>
      </w:r>
      <w:r>
        <w:rPr>
          <w:rFonts w:hint="eastAsia" w:ascii="Times New Roman" w:hAnsi="Times New Roman" w:eastAsia="仿宋" w:cs="Times New Roman"/>
          <w:b/>
          <w:bCs/>
          <w:color w:val="auto"/>
          <w:kern w:val="0"/>
          <w:sz w:val="24"/>
          <w:lang w:val="en-US" w:eastAsia="zh-CN"/>
        </w:rPr>
        <w:t>.5</w:t>
      </w:r>
      <w:r>
        <w:rPr>
          <w:rFonts w:hint="default" w:ascii="Times New Roman" w:hAnsi="Times New Roman" w:eastAsia="仿宋" w:cs="Times New Roman"/>
          <w:b/>
          <w:bCs/>
          <w:color w:val="auto"/>
          <w:kern w:val="0"/>
          <w:sz w:val="24"/>
          <w:lang w:val="zh-CN" w:eastAsia="zh-CN"/>
        </w:rPr>
        <w:t>-</w:t>
      </w:r>
      <w:r>
        <w:rPr>
          <w:rFonts w:hint="eastAsia" w:ascii="Times New Roman" w:hAnsi="Times New Roman" w:eastAsia="仿宋"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 xml:space="preserve"> </w:t>
      </w:r>
      <w:r>
        <w:rPr>
          <w:rFonts w:hint="default" w:ascii="Times New Roman" w:hAnsi="Times New Roman" w:eastAsia="仿宋" w:cs="Times New Roman"/>
          <w:b/>
          <w:bCs/>
          <w:color w:val="auto"/>
          <w:kern w:val="0"/>
          <w:sz w:val="24"/>
          <w:lang w:val="zh-CN" w:eastAsia="zh-CN"/>
        </w:rPr>
        <w:t xml:space="preserve"> 兴县涉及环境风险物质企业一览表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736"/>
        <w:gridCol w:w="2250"/>
        <w:gridCol w:w="1772"/>
        <w:gridCol w:w="1350"/>
        <w:gridCol w:w="984"/>
      </w:tblGrid>
      <w:tr w14:paraId="441F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14:paraId="779CF1E5">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序号</w:t>
            </w:r>
          </w:p>
        </w:tc>
        <w:tc>
          <w:tcPr>
            <w:tcW w:w="1736" w:type="dxa"/>
            <w:tcBorders>
              <w:tl2br w:val="nil"/>
              <w:tr2bl w:val="nil"/>
            </w:tcBorders>
            <w:noWrap w:val="0"/>
            <w:vAlign w:val="center"/>
          </w:tcPr>
          <w:p w14:paraId="5C3304FE">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名称</w:t>
            </w:r>
          </w:p>
        </w:tc>
        <w:tc>
          <w:tcPr>
            <w:tcW w:w="2250" w:type="dxa"/>
            <w:tcBorders>
              <w:tl2br w:val="nil"/>
              <w:tr2bl w:val="nil"/>
            </w:tcBorders>
            <w:noWrap w:val="0"/>
            <w:vAlign w:val="center"/>
          </w:tcPr>
          <w:p w14:paraId="17DA0173">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涉及主要环境风险物质名称</w:t>
            </w:r>
          </w:p>
        </w:tc>
        <w:tc>
          <w:tcPr>
            <w:tcW w:w="1772" w:type="dxa"/>
            <w:tcBorders>
              <w:tl2br w:val="nil"/>
              <w:tr2bl w:val="nil"/>
            </w:tcBorders>
            <w:noWrap w:val="0"/>
            <w:vAlign w:val="center"/>
          </w:tcPr>
          <w:p w14:paraId="37A1CFB5">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储存位置</w:t>
            </w:r>
          </w:p>
        </w:tc>
        <w:tc>
          <w:tcPr>
            <w:tcW w:w="1350" w:type="dxa"/>
            <w:tcBorders>
              <w:tl2br w:val="nil"/>
              <w:tr2bl w:val="nil"/>
            </w:tcBorders>
            <w:noWrap w:val="0"/>
            <w:vAlign w:val="center"/>
          </w:tcPr>
          <w:p w14:paraId="1A4E52AD">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是否属于重大风险源</w:t>
            </w:r>
          </w:p>
        </w:tc>
        <w:tc>
          <w:tcPr>
            <w:tcW w:w="984" w:type="dxa"/>
            <w:tcBorders>
              <w:tl2br w:val="nil"/>
              <w:tr2bl w:val="nil"/>
            </w:tcBorders>
            <w:noWrap w:val="0"/>
            <w:vAlign w:val="center"/>
          </w:tcPr>
          <w:p w14:paraId="177B8170">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危害、有害因素</w:t>
            </w:r>
          </w:p>
        </w:tc>
      </w:tr>
      <w:tr w14:paraId="780A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14:paraId="7567E6FD">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1</w:t>
            </w:r>
          </w:p>
        </w:tc>
        <w:tc>
          <w:tcPr>
            <w:tcW w:w="1736" w:type="dxa"/>
            <w:tcBorders>
              <w:tl2br w:val="nil"/>
              <w:tr2bl w:val="nil"/>
            </w:tcBorders>
            <w:noWrap w:val="0"/>
            <w:vAlign w:val="center"/>
          </w:tcPr>
          <w:p w14:paraId="67672F5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山西泽丰达新能源有限公司</w:t>
            </w:r>
          </w:p>
        </w:tc>
        <w:tc>
          <w:tcPr>
            <w:tcW w:w="2250" w:type="dxa"/>
            <w:tcBorders>
              <w:tl2br w:val="nil"/>
              <w:tr2bl w:val="nil"/>
            </w:tcBorders>
            <w:noWrap w:val="0"/>
            <w:vAlign w:val="center"/>
          </w:tcPr>
          <w:p w14:paraId="25E8DA16">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煤层气、液化煤层气、氢气、氦气、汞、导热油、矿物油、乙烯、丙烷、异戊烷</w:t>
            </w:r>
          </w:p>
        </w:tc>
        <w:tc>
          <w:tcPr>
            <w:tcW w:w="1772" w:type="dxa"/>
            <w:tcBorders>
              <w:tl2br w:val="nil"/>
              <w:tr2bl w:val="nil"/>
            </w:tcBorders>
            <w:noWrap w:val="0"/>
            <w:vAlign w:val="center"/>
          </w:tcPr>
          <w:p w14:paraId="6EC2C093">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液化车间、提氦装置区、冷剂罐区、LNG装布区、LNG储罐区、危废间</w:t>
            </w:r>
          </w:p>
        </w:tc>
        <w:tc>
          <w:tcPr>
            <w:tcW w:w="1350" w:type="dxa"/>
            <w:tcBorders>
              <w:tl2br w:val="nil"/>
              <w:tr2bl w:val="nil"/>
            </w:tcBorders>
            <w:noWrap w:val="0"/>
            <w:vAlign w:val="center"/>
          </w:tcPr>
          <w:p w14:paraId="73F77B41">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否</w:t>
            </w:r>
          </w:p>
        </w:tc>
        <w:tc>
          <w:tcPr>
            <w:tcW w:w="984" w:type="dxa"/>
            <w:tcBorders>
              <w:tl2br w:val="nil"/>
              <w:tr2bl w:val="nil"/>
            </w:tcBorders>
            <w:noWrap w:val="0"/>
            <w:vAlign w:val="center"/>
          </w:tcPr>
          <w:p w14:paraId="3A5D5D19">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毒、腐、燃</w:t>
            </w:r>
          </w:p>
        </w:tc>
      </w:tr>
      <w:tr w14:paraId="448E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14:paraId="49985669">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2</w:t>
            </w:r>
          </w:p>
        </w:tc>
        <w:tc>
          <w:tcPr>
            <w:tcW w:w="1736" w:type="dxa"/>
            <w:tcBorders>
              <w:tl2br w:val="nil"/>
              <w:tr2bl w:val="nil"/>
            </w:tcBorders>
            <w:noWrap w:val="0"/>
            <w:vAlign w:val="center"/>
          </w:tcPr>
          <w:p w14:paraId="484731E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山西华兴钼业有限公司赤泥库</w:t>
            </w:r>
          </w:p>
        </w:tc>
        <w:tc>
          <w:tcPr>
            <w:tcW w:w="2250" w:type="dxa"/>
            <w:tcBorders>
              <w:tl2br w:val="nil"/>
              <w:tr2bl w:val="nil"/>
            </w:tcBorders>
            <w:noWrap w:val="0"/>
            <w:vAlign w:val="center"/>
          </w:tcPr>
          <w:p w14:paraId="4BEDA8FA">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高锰酸盐指数、总硬度总碱度、溶解性总固体、铝、氟化物、铁、铜、铅、锌、镉、汞、六价铬</w:t>
            </w:r>
          </w:p>
        </w:tc>
        <w:tc>
          <w:tcPr>
            <w:tcW w:w="1772" w:type="dxa"/>
            <w:tcBorders>
              <w:tl2br w:val="nil"/>
              <w:tr2bl w:val="nil"/>
            </w:tcBorders>
            <w:noWrap w:val="0"/>
            <w:vAlign w:val="center"/>
          </w:tcPr>
          <w:p w14:paraId="03654993">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vertAlign w:val="baseline"/>
                <w:lang w:val="en-US" w:eastAsia="zh-CN"/>
              </w:rPr>
              <w:t>赤泥库</w:t>
            </w:r>
          </w:p>
        </w:tc>
        <w:tc>
          <w:tcPr>
            <w:tcW w:w="1350" w:type="dxa"/>
            <w:tcBorders>
              <w:tl2br w:val="nil"/>
              <w:tr2bl w:val="nil"/>
            </w:tcBorders>
            <w:noWrap w:val="0"/>
            <w:vAlign w:val="center"/>
          </w:tcPr>
          <w:p w14:paraId="1DED5FEE">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是</w:t>
            </w:r>
          </w:p>
        </w:tc>
        <w:tc>
          <w:tcPr>
            <w:tcW w:w="984" w:type="dxa"/>
            <w:tcBorders>
              <w:tl2br w:val="nil"/>
              <w:tr2bl w:val="nil"/>
            </w:tcBorders>
            <w:noWrap w:val="0"/>
            <w:vAlign w:val="center"/>
          </w:tcPr>
          <w:p w14:paraId="157AD3FF">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重金属</w:t>
            </w:r>
          </w:p>
        </w:tc>
      </w:tr>
    </w:tbl>
    <w:p w14:paraId="16E603DC">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62" w:name="_Toc5436"/>
      <w:r>
        <w:rPr>
          <w:rFonts w:hint="default" w:ascii="Times New Roman" w:hAnsi="Times New Roman" w:eastAsia="仿宋" w:cs="Times New Roman"/>
          <w:bCs w:val="0"/>
          <w:color w:val="auto"/>
          <w:kern w:val="0"/>
          <w:sz w:val="30"/>
          <w:szCs w:val="30"/>
          <w:lang w:val="en-US" w:eastAsia="zh-CN"/>
        </w:rPr>
        <w:t>2.5.3集中式污水处理</w:t>
      </w:r>
      <w:bookmarkEnd w:id="62"/>
    </w:p>
    <w:p w14:paraId="3CCEB91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zh-CN" w:eastAsia="zh-CN"/>
        </w:rPr>
      </w:pPr>
      <w:r>
        <w:rPr>
          <w:rFonts w:hint="default" w:ascii="Times New Roman" w:hAnsi="Times New Roman" w:eastAsia="仿宋" w:cs="Times New Roman"/>
          <w:bCs/>
          <w:color w:val="auto"/>
          <w:sz w:val="28"/>
          <w:szCs w:val="28"/>
          <w:highlight w:val="none"/>
          <w:lang w:val="en-US" w:eastAsia="zh-CN"/>
        </w:rPr>
        <w:t>兴县县城有一个集中式污水处理厂。</w:t>
      </w:r>
    </w:p>
    <w:p w14:paraId="696D8FB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兴县县城污水处理厂位于兴县蔡家崖乡北坡村东南400m处，设计处理能力为15000m</w:t>
      </w:r>
      <w:r>
        <w:rPr>
          <w:rFonts w:hint="default" w:ascii="Times New Roman" w:hAnsi="Times New Roman" w:eastAsia="仿宋" w:cs="Times New Roman"/>
          <w:bCs/>
          <w:color w:val="auto"/>
          <w:sz w:val="28"/>
          <w:szCs w:val="28"/>
          <w:highlight w:val="none"/>
          <w:vertAlign w:val="superscript"/>
          <w:lang w:val="en-US" w:eastAsia="zh-CN"/>
        </w:rPr>
        <w:t>3</w:t>
      </w:r>
      <w:r>
        <w:rPr>
          <w:rFonts w:hint="default" w:ascii="Times New Roman" w:hAnsi="Times New Roman" w:eastAsia="仿宋" w:cs="Times New Roman"/>
          <w:bCs/>
          <w:color w:val="auto"/>
          <w:sz w:val="28"/>
          <w:szCs w:val="28"/>
          <w:highlight w:val="none"/>
          <w:lang w:val="en-US" w:eastAsia="zh-CN"/>
        </w:rPr>
        <w:t>/d，服务范围为兴县城区。2009年9月，山西省环保厅以晋环函【2009】165号文对“兴县县城污水处理工程环境影响报告”予以批复。</w:t>
      </w:r>
    </w:p>
    <w:p w14:paraId="767BDAA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兴县污水处理厂设计分两期建设，一期规模7500m</w:t>
      </w:r>
      <w:r>
        <w:rPr>
          <w:rFonts w:hint="default" w:ascii="Times New Roman" w:hAnsi="Times New Roman" w:eastAsia="仿宋" w:cs="Times New Roman"/>
          <w:bCs/>
          <w:color w:val="auto"/>
          <w:sz w:val="28"/>
          <w:szCs w:val="28"/>
          <w:highlight w:val="none"/>
          <w:vertAlign w:val="superscript"/>
          <w:lang w:val="en-US" w:eastAsia="zh-CN"/>
        </w:rPr>
        <w:t>3</w:t>
      </w:r>
      <w:r>
        <w:rPr>
          <w:rFonts w:hint="default" w:ascii="Times New Roman" w:hAnsi="Times New Roman" w:eastAsia="仿宋" w:cs="Times New Roman"/>
          <w:bCs/>
          <w:color w:val="auto"/>
          <w:sz w:val="28"/>
          <w:szCs w:val="28"/>
          <w:highlight w:val="none"/>
          <w:lang w:val="en-US" w:eastAsia="zh-CN"/>
        </w:rPr>
        <w:t>/d，于2010年10月开工建设，2011年1月正式投入运行，工艺采用A</w:t>
      </w:r>
      <w:r>
        <w:rPr>
          <w:rFonts w:hint="default" w:ascii="Times New Roman" w:hAnsi="Times New Roman" w:eastAsia="仿宋" w:cs="Times New Roman"/>
          <w:bCs/>
          <w:color w:val="auto"/>
          <w:sz w:val="28"/>
          <w:szCs w:val="28"/>
          <w:highlight w:val="none"/>
          <w:vertAlign w:val="superscript"/>
          <w:lang w:val="en-US" w:eastAsia="zh-CN"/>
        </w:rPr>
        <w:t>2</w:t>
      </w:r>
      <w:r>
        <w:rPr>
          <w:rFonts w:hint="default" w:ascii="Times New Roman" w:hAnsi="Times New Roman" w:eastAsia="仿宋" w:cs="Times New Roman"/>
          <w:bCs/>
          <w:color w:val="auto"/>
          <w:sz w:val="28"/>
          <w:szCs w:val="28"/>
          <w:highlight w:val="none"/>
          <w:lang w:val="en-US" w:eastAsia="zh-CN"/>
        </w:rPr>
        <w:t>/O工艺法，配套建设污水合流制管道其20公里，城区污水管网与污水厂主干管全部连通。2016年12月9日，兴县环保局以兴环验【2016】11号文对“兴县县城污水处理工程（一期工程）”予以竣工环保验收。根据污水处理厂提供数据，出水水质达到了《城镇污水处理厂污染物排放标准》(GB18918-2002)一级A标准。2018年6月兴县县城污水处理管理中心在污水处理厂厂区预留空地内进行提标及扩容工程（二期工程），即对一期工程进行提标改造，同时新建二期工程，处理规模为7500m</w:t>
      </w:r>
      <w:r>
        <w:rPr>
          <w:rFonts w:hint="default" w:ascii="Times New Roman" w:hAnsi="Times New Roman" w:eastAsia="仿宋" w:cs="Times New Roman"/>
          <w:bCs/>
          <w:color w:val="auto"/>
          <w:sz w:val="28"/>
          <w:szCs w:val="28"/>
          <w:highlight w:val="none"/>
          <w:vertAlign w:val="superscript"/>
          <w:lang w:val="en-US" w:eastAsia="zh-CN"/>
        </w:rPr>
        <w:t>3</w:t>
      </w:r>
      <w:r>
        <w:rPr>
          <w:rFonts w:hint="default" w:ascii="Times New Roman" w:hAnsi="Times New Roman" w:eastAsia="仿宋" w:cs="Times New Roman"/>
          <w:bCs/>
          <w:color w:val="auto"/>
          <w:sz w:val="28"/>
          <w:szCs w:val="28"/>
          <w:highlight w:val="none"/>
          <w:lang w:val="en-US" w:eastAsia="zh-CN"/>
        </w:rPr>
        <w:t>/d，提标扩建完成后，全厂形成15000m</w:t>
      </w:r>
      <w:r>
        <w:rPr>
          <w:rFonts w:hint="default" w:ascii="Times New Roman" w:hAnsi="Times New Roman" w:eastAsia="仿宋" w:cs="Times New Roman"/>
          <w:bCs/>
          <w:color w:val="auto"/>
          <w:sz w:val="28"/>
          <w:szCs w:val="28"/>
          <w:highlight w:val="none"/>
          <w:vertAlign w:val="superscript"/>
          <w:lang w:val="en-US" w:eastAsia="zh-CN"/>
        </w:rPr>
        <w:t>3</w:t>
      </w:r>
      <w:r>
        <w:rPr>
          <w:rFonts w:hint="default" w:ascii="Times New Roman" w:hAnsi="Times New Roman" w:eastAsia="仿宋" w:cs="Times New Roman"/>
          <w:bCs/>
          <w:color w:val="auto"/>
          <w:sz w:val="28"/>
          <w:szCs w:val="28"/>
          <w:highlight w:val="none"/>
          <w:lang w:val="en-US" w:eastAsia="zh-CN"/>
        </w:rPr>
        <w:t>/d的污水处理能力。</w:t>
      </w:r>
    </w:p>
    <w:p w14:paraId="2F630A9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选用</w:t>
      </w:r>
      <w:r>
        <w:rPr>
          <w:rFonts w:hint="default" w:ascii="Times New Roman" w:hAnsi="Times New Roman" w:eastAsia="仿宋" w:cs="Times New Roman"/>
          <w:bCs/>
          <w:color w:val="auto"/>
          <w:sz w:val="28"/>
          <w:szCs w:val="28"/>
          <w:highlight w:val="none"/>
          <w:lang w:val="zh-CN" w:eastAsia="zh-CN"/>
        </w:rPr>
        <w:t>“多级A</w:t>
      </w:r>
      <w:r>
        <w:rPr>
          <w:rFonts w:hint="default" w:ascii="Times New Roman" w:hAnsi="Times New Roman" w:eastAsia="仿宋" w:cs="Times New Roman"/>
          <w:bCs/>
          <w:color w:val="auto"/>
          <w:sz w:val="28"/>
          <w:szCs w:val="28"/>
          <w:highlight w:val="none"/>
          <w:lang w:val="en-US" w:eastAsia="zh-CN"/>
        </w:rPr>
        <w:t>/</w:t>
      </w:r>
      <w:r>
        <w:rPr>
          <w:rFonts w:hint="default" w:ascii="Times New Roman" w:hAnsi="Times New Roman" w:eastAsia="仿宋" w:cs="Times New Roman"/>
          <w:bCs/>
          <w:color w:val="auto"/>
          <w:sz w:val="28"/>
          <w:szCs w:val="28"/>
          <w:highlight w:val="none"/>
          <w:lang w:val="zh-CN" w:eastAsia="zh-CN"/>
        </w:rPr>
        <w:t>O+反硝化滤池+高密度沉淀池-纤维转盘滤池”作为污水处理工艺，消毒采用“次酸钠”消毒工艺，污泥处理采用“预处理+高压板框压”。出水中COD、NH3-N、TP达《山西省污水综合排放标准（DB14/1928-2019）表2生活污水水污染物排放限值，其余各项指标达《城镇污水处理厂污染物排放标准》（GB18918-2002）一级A标准。</w:t>
      </w:r>
    </w:p>
    <w:p w14:paraId="0B4447E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zh-CN" w:eastAsia="zh-CN"/>
        </w:rPr>
      </w:pPr>
      <w:r>
        <w:rPr>
          <w:rFonts w:hint="default" w:ascii="Times New Roman" w:hAnsi="Times New Roman" w:eastAsia="仿宋" w:cs="Times New Roman"/>
          <w:bCs/>
          <w:color w:val="auto"/>
          <w:sz w:val="28"/>
          <w:szCs w:val="28"/>
          <w:highlight w:val="none"/>
          <w:lang w:val="zh-CN" w:eastAsia="zh-CN"/>
        </w:rPr>
        <w:t>兴县城市污水处理中心建成后极大地改善了城市水环境，对治理污染，保护当地流域水质和生态平衡具有十分重要的作用，同时对改善</w:t>
      </w:r>
      <w:r>
        <w:rPr>
          <w:rFonts w:hint="default" w:ascii="Times New Roman" w:hAnsi="Times New Roman" w:eastAsia="仿宋" w:cs="Times New Roman"/>
          <w:bCs/>
          <w:color w:val="auto"/>
          <w:sz w:val="28"/>
          <w:szCs w:val="28"/>
          <w:highlight w:val="none"/>
          <w:lang w:val="en-US" w:eastAsia="zh-CN"/>
        </w:rPr>
        <w:t>县城</w:t>
      </w:r>
      <w:r>
        <w:rPr>
          <w:rFonts w:hint="default" w:ascii="Times New Roman" w:hAnsi="Times New Roman" w:eastAsia="仿宋" w:cs="Times New Roman"/>
          <w:bCs/>
          <w:color w:val="auto"/>
          <w:sz w:val="28"/>
          <w:szCs w:val="28"/>
          <w:highlight w:val="none"/>
          <w:lang w:val="zh-CN" w:eastAsia="zh-CN"/>
        </w:rPr>
        <w:t>的投资环境，实现</w:t>
      </w:r>
      <w:r>
        <w:rPr>
          <w:rFonts w:hint="default" w:ascii="Times New Roman" w:hAnsi="Times New Roman" w:eastAsia="仿宋" w:cs="Times New Roman"/>
          <w:bCs/>
          <w:color w:val="auto"/>
          <w:sz w:val="28"/>
          <w:szCs w:val="28"/>
          <w:highlight w:val="none"/>
          <w:lang w:val="en-US" w:eastAsia="zh-CN"/>
        </w:rPr>
        <w:t>县城</w:t>
      </w:r>
      <w:r>
        <w:rPr>
          <w:rFonts w:hint="default" w:ascii="Times New Roman" w:hAnsi="Times New Roman" w:eastAsia="仿宋" w:cs="Times New Roman"/>
          <w:bCs/>
          <w:color w:val="auto"/>
          <w:sz w:val="28"/>
          <w:szCs w:val="28"/>
          <w:highlight w:val="none"/>
          <w:lang w:val="zh-CN" w:eastAsia="zh-CN"/>
        </w:rPr>
        <w:t>经济社会可持续发展具有积极的推进作用。</w:t>
      </w:r>
    </w:p>
    <w:p w14:paraId="64F5A3F0">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63" w:name="_Toc18699"/>
      <w:r>
        <w:rPr>
          <w:rFonts w:hint="default" w:ascii="Times New Roman" w:hAnsi="Times New Roman" w:eastAsia="仿宋" w:cs="Times New Roman"/>
          <w:bCs w:val="0"/>
          <w:color w:val="auto"/>
          <w:kern w:val="0"/>
          <w:sz w:val="30"/>
          <w:szCs w:val="30"/>
          <w:lang w:val="en-US" w:eastAsia="zh-CN"/>
        </w:rPr>
        <w:t>2.5.4集中式垃圾处理设施</w:t>
      </w:r>
      <w:bookmarkEnd w:id="63"/>
    </w:p>
    <w:p w14:paraId="3CD584B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目前，兴县有一座城市生活垃圾卫生填埋场，位于兴县蔡家崖乡北查沟村，周围500m内无村庄。服务年限20年，设计处理规模200t/d，填埋库容110万m</w:t>
      </w:r>
      <w:r>
        <w:rPr>
          <w:rFonts w:hint="default" w:ascii="Times New Roman" w:hAnsi="Times New Roman" w:eastAsia="仿宋" w:cs="Times New Roman"/>
          <w:bCs/>
          <w:color w:val="auto"/>
          <w:sz w:val="28"/>
          <w:szCs w:val="28"/>
          <w:highlight w:val="none"/>
          <w:vertAlign w:val="superscript"/>
          <w:lang w:val="en-US" w:eastAsia="zh-CN"/>
        </w:rPr>
        <w:t>3</w:t>
      </w:r>
      <w:r>
        <w:rPr>
          <w:rFonts w:hint="default" w:ascii="Times New Roman" w:hAnsi="Times New Roman" w:eastAsia="仿宋" w:cs="Times New Roman"/>
          <w:bCs/>
          <w:color w:val="auto"/>
          <w:sz w:val="28"/>
          <w:szCs w:val="28"/>
          <w:highlight w:val="none"/>
          <w:lang w:val="en-US" w:eastAsia="zh-CN"/>
        </w:rPr>
        <w:t>。该填埋场于2015年6月正式运行，服务范围为城区、城中村、城乡结合部的垃圾处理。</w:t>
      </w:r>
    </w:p>
    <w:p w14:paraId="58F1F0F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
          <w:bCs/>
          <w:color w:val="auto"/>
          <w:kern w:val="0"/>
          <w:sz w:val="24"/>
          <w:lang w:val="zh-CN" w:eastAsia="zh-CN"/>
        </w:rPr>
      </w:pPr>
      <w:r>
        <w:rPr>
          <w:rFonts w:hint="default" w:ascii="Times New Roman" w:hAnsi="Times New Roman" w:eastAsia="仿宋" w:cs="Times New Roman"/>
          <w:bCs/>
          <w:color w:val="auto"/>
          <w:sz w:val="28"/>
          <w:szCs w:val="28"/>
          <w:highlight w:val="none"/>
          <w:lang w:val="en-US" w:eastAsia="zh-CN"/>
        </w:rPr>
        <w:t>根据提供的资料可知，目前兴县城市生活垃圾卫生填埋场的风险防控与应急能力较好，见表2</w:t>
      </w:r>
      <w:r>
        <w:rPr>
          <w:rFonts w:hint="eastAsia" w:ascii="Times New Roman" w:hAnsi="Times New Roman" w:eastAsia="仿宋" w:cs="Times New Roman"/>
          <w:bCs/>
          <w:color w:val="auto"/>
          <w:sz w:val="28"/>
          <w:szCs w:val="28"/>
          <w:highlight w:val="none"/>
          <w:lang w:val="en-US" w:eastAsia="zh-CN"/>
        </w:rPr>
        <w:t>.5</w:t>
      </w:r>
      <w:r>
        <w:rPr>
          <w:rFonts w:hint="default" w:ascii="Times New Roman" w:hAnsi="Times New Roman" w:eastAsia="仿宋" w:cs="Times New Roman"/>
          <w:bCs/>
          <w:color w:val="auto"/>
          <w:sz w:val="28"/>
          <w:szCs w:val="28"/>
          <w:highlight w:val="none"/>
          <w:lang w:val="en-US" w:eastAsia="zh-CN"/>
        </w:rPr>
        <w:t>-</w:t>
      </w:r>
      <w:r>
        <w:rPr>
          <w:rFonts w:hint="eastAsia" w:ascii="Times New Roman" w:hAnsi="Times New Roman" w:eastAsia="仿宋" w:cs="Times New Roman"/>
          <w:bCs/>
          <w:color w:val="auto"/>
          <w:sz w:val="28"/>
          <w:szCs w:val="28"/>
          <w:highlight w:val="none"/>
          <w:lang w:val="en-US" w:eastAsia="zh-CN"/>
        </w:rPr>
        <w:t>3</w:t>
      </w:r>
      <w:r>
        <w:rPr>
          <w:rFonts w:hint="default" w:ascii="Times New Roman" w:hAnsi="Times New Roman" w:eastAsia="仿宋" w:cs="Times New Roman"/>
          <w:bCs/>
          <w:color w:val="auto"/>
          <w:sz w:val="28"/>
          <w:szCs w:val="28"/>
          <w:highlight w:val="none"/>
          <w:lang w:val="en-US" w:eastAsia="zh-CN"/>
        </w:rPr>
        <w:t>。</w:t>
      </w:r>
    </w:p>
    <w:p w14:paraId="5489CA83">
      <w:pPr>
        <w:adjustRightInd/>
        <w:snapToGrid/>
        <w:spacing w:line="560" w:lineRule="exact"/>
        <w:ind w:firstLine="0" w:firstLineChars="0"/>
        <w:jc w:val="center"/>
        <w:rPr>
          <w:rFonts w:hint="default" w:ascii="Times New Roman" w:hAnsi="Times New Roman" w:eastAsia="仿宋" w:cs="Times New Roman"/>
          <w:b/>
          <w:bCs/>
          <w:color w:val="auto"/>
          <w:kern w:val="0"/>
          <w:sz w:val="24"/>
          <w:lang w:val="zh-CN" w:eastAsia="zh-CN"/>
        </w:rPr>
        <w:sectPr>
          <w:pgSz w:w="11906" w:h="16838"/>
          <w:pgMar w:top="1440" w:right="1800" w:bottom="1440" w:left="1800" w:header="851" w:footer="992" w:gutter="0"/>
          <w:pgNumType w:fmt="numberInDash"/>
          <w:cols w:space="425" w:num="1"/>
          <w:docGrid w:type="lines" w:linePitch="312" w:charSpace="0"/>
        </w:sectPr>
      </w:pPr>
    </w:p>
    <w:p w14:paraId="5BDDC6FA">
      <w:pPr>
        <w:adjustRightInd/>
        <w:snapToGrid/>
        <w:spacing w:line="560" w:lineRule="exact"/>
        <w:ind w:firstLine="0" w:firstLineChars="0"/>
        <w:jc w:val="center"/>
        <w:rPr>
          <w:rFonts w:hint="default" w:ascii="Times New Roman" w:hAnsi="Times New Roman" w:eastAsia="仿宋" w:cs="Times New Roman"/>
          <w:b/>
          <w:bCs/>
          <w:color w:val="auto"/>
          <w:kern w:val="0"/>
          <w:sz w:val="24"/>
          <w:lang w:val="zh-CN"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2</w:t>
      </w:r>
      <w:r>
        <w:rPr>
          <w:rFonts w:hint="eastAsia" w:ascii="Times New Roman" w:hAnsi="Times New Roman" w:cs="Times New Roman"/>
          <w:b/>
          <w:bCs/>
          <w:color w:val="auto"/>
          <w:kern w:val="0"/>
          <w:sz w:val="24"/>
          <w:lang w:val="en-US" w:eastAsia="zh-CN"/>
        </w:rPr>
        <w:t>.5</w:t>
      </w:r>
      <w:r>
        <w:rPr>
          <w:rFonts w:hint="default" w:ascii="Times New Roman" w:hAnsi="Times New Roman" w:eastAsia="仿宋" w:cs="Times New Roman"/>
          <w:b/>
          <w:bCs/>
          <w:color w:val="auto"/>
          <w:kern w:val="0"/>
          <w:sz w:val="24"/>
          <w:lang w:val="en-US" w:eastAsia="zh-CN"/>
        </w:rPr>
        <w:t>-</w:t>
      </w:r>
      <w:r>
        <w:rPr>
          <w:rFonts w:hint="eastAsia" w:ascii="Times New Roman" w:hAnsi="Times New Roman" w:cs="Times New Roman"/>
          <w:b/>
          <w:bCs/>
          <w:color w:val="auto"/>
          <w:kern w:val="0"/>
          <w:sz w:val="24"/>
          <w:lang w:val="en-US" w:eastAsia="zh-CN"/>
        </w:rPr>
        <w:t>3</w:t>
      </w:r>
      <w:r>
        <w:rPr>
          <w:rFonts w:hint="default" w:ascii="Times New Roman" w:hAnsi="Times New Roman" w:eastAsia="仿宋" w:cs="Times New Roman"/>
          <w:b/>
          <w:bCs/>
          <w:color w:val="auto"/>
          <w:kern w:val="0"/>
          <w:sz w:val="24"/>
          <w:lang w:val="en-US" w:eastAsia="zh-CN"/>
        </w:rPr>
        <w:t xml:space="preserve">  </w:t>
      </w:r>
      <w:r>
        <w:rPr>
          <w:rFonts w:hint="default" w:ascii="Times New Roman" w:hAnsi="Times New Roman" w:eastAsia="仿宋" w:cs="Times New Roman"/>
          <w:b/>
          <w:bCs/>
          <w:color w:val="auto"/>
          <w:kern w:val="0"/>
          <w:sz w:val="24"/>
          <w:lang w:val="zh-CN" w:eastAsia="zh-CN"/>
        </w:rPr>
        <w:t>兴县</w:t>
      </w:r>
      <w:r>
        <w:rPr>
          <w:rFonts w:hint="default" w:ascii="Times New Roman" w:hAnsi="Times New Roman" w:eastAsia="仿宋" w:cs="Times New Roman"/>
          <w:b/>
          <w:bCs/>
          <w:color w:val="auto"/>
          <w:kern w:val="0"/>
          <w:sz w:val="24"/>
          <w:lang w:val="en-US" w:eastAsia="zh-CN"/>
        </w:rPr>
        <w:t>城市生活垃圾填埋场风险防控与应急措施</w:t>
      </w:r>
      <w:r>
        <w:rPr>
          <w:rFonts w:hint="default" w:ascii="Times New Roman" w:hAnsi="Times New Roman" w:eastAsia="仿宋" w:cs="Times New Roman"/>
          <w:b/>
          <w:bCs/>
          <w:color w:val="auto"/>
          <w:kern w:val="0"/>
          <w:sz w:val="24"/>
          <w:lang w:val="zh-CN" w:eastAsia="zh-CN"/>
        </w:rPr>
        <w:t>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2386"/>
        <w:gridCol w:w="4097"/>
      </w:tblGrid>
      <w:tr w14:paraId="0731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tcBorders>
              <w:tl2br w:val="nil"/>
              <w:tr2bl w:val="nil"/>
            </w:tcBorders>
            <w:noWrap w:val="0"/>
            <w:vAlign w:val="center"/>
          </w:tcPr>
          <w:p w14:paraId="2DF7580D">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环境风险单元名称</w:t>
            </w:r>
          </w:p>
        </w:tc>
        <w:tc>
          <w:tcPr>
            <w:tcW w:w="2386" w:type="dxa"/>
            <w:tcBorders>
              <w:tl2br w:val="nil"/>
              <w:tr2bl w:val="nil"/>
            </w:tcBorders>
            <w:noWrap w:val="0"/>
            <w:vAlign w:val="center"/>
          </w:tcPr>
          <w:p w14:paraId="21CA33EA">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检查目录</w:t>
            </w:r>
          </w:p>
        </w:tc>
        <w:tc>
          <w:tcPr>
            <w:tcW w:w="4097" w:type="dxa"/>
            <w:tcBorders>
              <w:tl2br w:val="nil"/>
              <w:tr2bl w:val="nil"/>
            </w:tcBorders>
            <w:noWrap w:val="0"/>
            <w:vAlign w:val="center"/>
          </w:tcPr>
          <w:p w14:paraId="4A4E5193">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现有风险防控与应急措施</w:t>
            </w:r>
          </w:p>
        </w:tc>
      </w:tr>
      <w:tr w14:paraId="19CE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vMerge w:val="restart"/>
            <w:tcBorders>
              <w:tl2br w:val="nil"/>
              <w:tr2bl w:val="nil"/>
            </w:tcBorders>
            <w:noWrap w:val="0"/>
            <w:vAlign w:val="center"/>
          </w:tcPr>
          <w:p w14:paraId="5AFC257A">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生活垃圾填埋场</w:t>
            </w:r>
          </w:p>
        </w:tc>
        <w:tc>
          <w:tcPr>
            <w:tcW w:w="2386" w:type="dxa"/>
            <w:tcBorders>
              <w:tl2br w:val="nil"/>
              <w:tr2bl w:val="nil"/>
            </w:tcBorders>
            <w:noWrap w:val="0"/>
            <w:vAlign w:val="center"/>
          </w:tcPr>
          <w:p w14:paraId="7870F71E">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截留措施</w:t>
            </w:r>
          </w:p>
        </w:tc>
        <w:tc>
          <w:tcPr>
            <w:tcW w:w="4097" w:type="dxa"/>
            <w:tcBorders>
              <w:tl2br w:val="nil"/>
              <w:tr2bl w:val="nil"/>
            </w:tcBorders>
            <w:noWrap w:val="0"/>
            <w:vAlign w:val="center"/>
          </w:tcPr>
          <w:p w14:paraId="0BC6DAA7">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采用2.0mm厚的HDPE土工膜、600g/m</w:t>
            </w:r>
            <w:r>
              <w:rPr>
                <w:rFonts w:hint="default" w:ascii="Times New Roman" w:hAnsi="Times New Roman" w:eastAsia="仿宋" w:cs="Times New Roman"/>
                <w:color w:val="auto"/>
                <w:sz w:val="21"/>
                <w:szCs w:val="21"/>
                <w:highlight w:val="none"/>
                <w:vertAlign w:val="superscript"/>
                <w:lang w:val="en-US" w:eastAsia="zh-CN"/>
              </w:rPr>
              <w:t>2</w:t>
            </w:r>
            <w:r>
              <w:rPr>
                <w:rFonts w:hint="default" w:ascii="Times New Roman" w:hAnsi="Times New Roman" w:eastAsia="仿宋" w:cs="Times New Roman"/>
                <w:color w:val="auto"/>
                <w:sz w:val="21"/>
                <w:szCs w:val="21"/>
                <w:highlight w:val="none"/>
                <w:vertAlign w:val="baseline"/>
                <w:lang w:val="en-US" w:eastAsia="zh-CN"/>
              </w:rPr>
              <w:t>的土工布及沙砾保护层和压实粘土等防渗材料对填埋场底部、边坡及渗滤液调节池进行防渗处理，并确保其施工质量，有效控制废水对地下水的影响。</w:t>
            </w:r>
          </w:p>
        </w:tc>
      </w:tr>
      <w:tr w14:paraId="2AE6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vMerge w:val="continue"/>
            <w:tcBorders>
              <w:tl2br w:val="nil"/>
              <w:tr2bl w:val="nil"/>
            </w:tcBorders>
            <w:noWrap w:val="0"/>
            <w:vAlign w:val="center"/>
          </w:tcPr>
          <w:p w14:paraId="7BFBB66E">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2386" w:type="dxa"/>
            <w:tcBorders>
              <w:tl2br w:val="nil"/>
              <w:tr2bl w:val="nil"/>
            </w:tcBorders>
            <w:noWrap w:val="0"/>
            <w:vAlign w:val="center"/>
          </w:tcPr>
          <w:p w14:paraId="33E5CBC7">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清净下水系统防控措施</w:t>
            </w:r>
          </w:p>
        </w:tc>
        <w:tc>
          <w:tcPr>
            <w:tcW w:w="4097" w:type="dxa"/>
            <w:tcBorders>
              <w:tl2br w:val="nil"/>
              <w:tr2bl w:val="nil"/>
            </w:tcBorders>
            <w:noWrap w:val="0"/>
            <w:vAlign w:val="center"/>
          </w:tcPr>
          <w:p w14:paraId="5516B544">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不涉及</w:t>
            </w:r>
          </w:p>
        </w:tc>
      </w:tr>
      <w:tr w14:paraId="5E49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039" w:type="dxa"/>
            <w:vMerge w:val="continue"/>
            <w:tcBorders>
              <w:tl2br w:val="nil"/>
              <w:tr2bl w:val="nil"/>
            </w:tcBorders>
            <w:noWrap w:val="0"/>
            <w:vAlign w:val="center"/>
          </w:tcPr>
          <w:p w14:paraId="6D23262F">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2386" w:type="dxa"/>
            <w:tcBorders>
              <w:tl2br w:val="nil"/>
              <w:tr2bl w:val="nil"/>
            </w:tcBorders>
            <w:noWrap w:val="0"/>
            <w:vAlign w:val="center"/>
          </w:tcPr>
          <w:p w14:paraId="244871D7">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渗滤液系统防控措施</w:t>
            </w:r>
          </w:p>
        </w:tc>
        <w:tc>
          <w:tcPr>
            <w:tcW w:w="4097" w:type="dxa"/>
            <w:tcBorders>
              <w:tl2br w:val="nil"/>
              <w:tr2bl w:val="nil"/>
            </w:tcBorders>
            <w:noWrap w:val="0"/>
            <w:vAlign w:val="center"/>
          </w:tcPr>
          <w:p w14:paraId="3BE5F5AB">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渗滤液收集系统有库底导渗收集设施、边坡导渗设施和填埋体内竖向导渗设施等三部分组成</w:t>
            </w:r>
          </w:p>
        </w:tc>
      </w:tr>
      <w:tr w14:paraId="7243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vMerge w:val="continue"/>
            <w:tcBorders>
              <w:tl2br w:val="nil"/>
              <w:tr2bl w:val="nil"/>
            </w:tcBorders>
            <w:noWrap w:val="0"/>
            <w:vAlign w:val="center"/>
          </w:tcPr>
          <w:p w14:paraId="64DFBFCF">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2386" w:type="dxa"/>
            <w:tcBorders>
              <w:tl2br w:val="nil"/>
              <w:tr2bl w:val="nil"/>
            </w:tcBorders>
            <w:noWrap w:val="0"/>
            <w:vAlign w:val="center"/>
          </w:tcPr>
          <w:p w14:paraId="715B549E">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水土保持措施</w:t>
            </w:r>
          </w:p>
        </w:tc>
        <w:tc>
          <w:tcPr>
            <w:tcW w:w="4097" w:type="dxa"/>
            <w:tcBorders>
              <w:tl2br w:val="nil"/>
              <w:tr2bl w:val="nil"/>
            </w:tcBorders>
            <w:noWrap w:val="0"/>
            <w:vAlign w:val="center"/>
          </w:tcPr>
          <w:p w14:paraId="6D859245">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填埋场封场时要进行土地复垦和绿化，防止形成新的水土流失和二次污染的产生，对取土场合理规划，取土区域及时进行生态修复和绿化。</w:t>
            </w:r>
          </w:p>
        </w:tc>
      </w:tr>
      <w:tr w14:paraId="4CD6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vMerge w:val="continue"/>
            <w:tcBorders>
              <w:tl2br w:val="nil"/>
              <w:tr2bl w:val="nil"/>
            </w:tcBorders>
            <w:noWrap w:val="0"/>
            <w:vAlign w:val="center"/>
          </w:tcPr>
          <w:p w14:paraId="53246F60">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2386" w:type="dxa"/>
            <w:tcBorders>
              <w:tl2br w:val="nil"/>
              <w:tr2bl w:val="nil"/>
            </w:tcBorders>
            <w:noWrap w:val="0"/>
            <w:vAlign w:val="center"/>
          </w:tcPr>
          <w:p w14:paraId="7E213213">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环评及批复的其他风险防控措施落实情况</w:t>
            </w:r>
          </w:p>
        </w:tc>
        <w:tc>
          <w:tcPr>
            <w:tcW w:w="4097" w:type="dxa"/>
            <w:tcBorders>
              <w:tl2br w:val="nil"/>
              <w:tr2bl w:val="nil"/>
            </w:tcBorders>
            <w:noWrap w:val="0"/>
            <w:vAlign w:val="center"/>
          </w:tcPr>
          <w:p w14:paraId="2B199F54">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修建风险防控设施部分满足环评提出风险防控措施要求</w:t>
            </w:r>
          </w:p>
        </w:tc>
      </w:tr>
    </w:tbl>
    <w:p w14:paraId="27F612E9">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64" w:name="_Toc27258"/>
      <w:r>
        <w:rPr>
          <w:rFonts w:hint="default" w:ascii="Times New Roman" w:hAnsi="Times New Roman" w:eastAsia="仿宋" w:cs="Times New Roman"/>
          <w:bCs w:val="0"/>
          <w:color w:val="auto"/>
          <w:kern w:val="0"/>
          <w:sz w:val="30"/>
          <w:szCs w:val="30"/>
          <w:lang w:val="en-US" w:eastAsia="zh-CN"/>
        </w:rPr>
        <w:t>2.5.5危险废物经营单位</w:t>
      </w:r>
      <w:bookmarkEnd w:id="64"/>
    </w:p>
    <w:p w14:paraId="6FC3E31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兴县目前有1家危险废物经营处置单位，山西臣功固体废物综合处置利用有限公司总占地231.55亩。年处理危险废物16.0万吨，其中，焚烧车间的危险废物处置为3.0万吨，物化车间的危险废物处置为2.0万吨，柔性填埋场区处置的危险废物量为9.0万吨，刚性填埋场区处置的危险废物量为2.0万吨，主要设施为危废暂存库、焚烧车间、稳定化/固化车间、物化处理车间、废水处理车间及填埋场区。共处置危废类别41大类，分别为HW02、HW03、HW04、HW05、HW06、HW08、HW09、HW11、HW12、HW13、HW14、HW16、HW17、HW18、HW19、HW20、HW21、HW22、HW23、HW24、HW25、HW26、HW27、HW28、HW30、HW31、HW32、HW33、HW34、HW35、HW36、HW37、HW38、HW39、HW40、HW45、HW46、HW47、HW48、HW49、HW50。</w:t>
      </w:r>
    </w:p>
    <w:p w14:paraId="3E14BA61">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65" w:name="_Toc19593"/>
      <w:bookmarkStart w:id="66" w:name="_Toc22891"/>
      <w:r>
        <w:rPr>
          <w:rFonts w:hint="default" w:ascii="Times New Roman" w:hAnsi="Times New Roman" w:eastAsia="仿宋" w:cs="Times New Roman"/>
          <w:color w:val="auto"/>
          <w:kern w:val="0"/>
          <w:sz w:val="32"/>
          <w:lang w:val="en-US" w:eastAsia="zh-CN"/>
        </w:rPr>
        <w:t>2.6尾矿库</w:t>
      </w:r>
      <w:bookmarkEnd w:id="65"/>
      <w:bookmarkEnd w:id="66"/>
    </w:p>
    <w:p w14:paraId="0FB1174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目前，根据吕梁市人民政府网站公示兴县有1家尾矿库（山西华兴铝业有限公司赤泥堆场），根据风险评估报告，该企业突发环境事件风险等级见下表，近5年未发生环境事件。</w:t>
      </w:r>
    </w:p>
    <w:p w14:paraId="48E9E638">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表2</w:t>
      </w:r>
      <w:r>
        <w:rPr>
          <w:rFonts w:hint="eastAsia" w:ascii="Times New Roman" w:hAnsi="Times New Roman" w:cs="Times New Roman"/>
          <w:b/>
          <w:bCs/>
          <w:color w:val="auto"/>
          <w:kern w:val="0"/>
          <w:sz w:val="24"/>
          <w:lang w:val="en-US" w:eastAsia="zh-CN"/>
        </w:rPr>
        <w:t>.6-1</w:t>
      </w:r>
      <w:r>
        <w:rPr>
          <w:rFonts w:hint="default" w:ascii="Times New Roman" w:hAnsi="Times New Roman" w:eastAsia="仿宋" w:cs="Times New Roman"/>
          <w:b/>
          <w:bCs/>
          <w:color w:val="auto"/>
          <w:kern w:val="0"/>
          <w:sz w:val="24"/>
          <w:lang w:val="en-US" w:eastAsia="zh-CN"/>
        </w:rPr>
        <w:t xml:space="preserve">  尾矿库经营单位情况表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422"/>
        <w:gridCol w:w="873"/>
        <w:gridCol w:w="982"/>
        <w:gridCol w:w="1160"/>
        <w:gridCol w:w="735"/>
        <w:gridCol w:w="1008"/>
        <w:gridCol w:w="902"/>
        <w:gridCol w:w="902"/>
      </w:tblGrid>
      <w:tr w14:paraId="2D86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tcBorders>
              <w:tl2br w:val="nil"/>
              <w:tr2bl w:val="nil"/>
            </w:tcBorders>
            <w:noWrap w:val="0"/>
            <w:vAlign w:val="center"/>
          </w:tcPr>
          <w:p w14:paraId="68DF610A">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序号</w:t>
            </w:r>
          </w:p>
        </w:tc>
        <w:tc>
          <w:tcPr>
            <w:tcW w:w="834" w:type="pct"/>
            <w:tcBorders>
              <w:tl2br w:val="nil"/>
              <w:tr2bl w:val="nil"/>
            </w:tcBorders>
            <w:noWrap w:val="0"/>
            <w:vAlign w:val="center"/>
          </w:tcPr>
          <w:p w14:paraId="0D5F5B4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名称</w:t>
            </w:r>
          </w:p>
        </w:tc>
        <w:tc>
          <w:tcPr>
            <w:tcW w:w="512" w:type="pct"/>
            <w:tcBorders>
              <w:tl2br w:val="nil"/>
              <w:tr2bl w:val="nil"/>
            </w:tcBorders>
            <w:noWrap w:val="0"/>
            <w:vAlign w:val="center"/>
          </w:tcPr>
          <w:p w14:paraId="4F93929F">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矿种</w:t>
            </w:r>
          </w:p>
        </w:tc>
        <w:tc>
          <w:tcPr>
            <w:tcW w:w="576" w:type="pct"/>
            <w:tcBorders>
              <w:tl2br w:val="nil"/>
              <w:tr2bl w:val="nil"/>
            </w:tcBorders>
            <w:noWrap w:val="0"/>
            <w:vAlign w:val="center"/>
          </w:tcPr>
          <w:p w14:paraId="0A15F28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设计库容万m</w:t>
            </w:r>
            <w:r>
              <w:rPr>
                <w:rFonts w:hint="default" w:ascii="Times New Roman" w:hAnsi="Times New Roman" w:eastAsia="仿宋" w:cs="Times New Roman"/>
                <w:color w:val="000000" w:themeColor="text1"/>
                <w:sz w:val="21"/>
                <w:szCs w:val="21"/>
                <w:highlight w:val="none"/>
                <w:vertAlign w:val="superscript"/>
                <w:lang w:val="en-US" w:eastAsia="zh-CN"/>
                <w14:textFill>
                  <w14:solidFill>
                    <w14:schemeClr w14:val="tx1"/>
                  </w14:solidFill>
                </w14:textFill>
              </w:rPr>
              <w:t>3</w:t>
            </w:r>
          </w:p>
        </w:tc>
        <w:tc>
          <w:tcPr>
            <w:tcW w:w="680" w:type="pct"/>
            <w:tcBorders>
              <w:tl2br w:val="nil"/>
              <w:tr2bl w:val="nil"/>
            </w:tcBorders>
            <w:noWrap w:val="0"/>
            <w:vAlign w:val="center"/>
          </w:tcPr>
          <w:p w14:paraId="64A79E7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现状库容万m</w:t>
            </w:r>
            <w:r>
              <w:rPr>
                <w:rFonts w:hint="default" w:ascii="Times New Roman" w:hAnsi="Times New Roman" w:eastAsia="仿宋" w:cs="Times New Roman"/>
                <w:color w:val="000000" w:themeColor="text1"/>
                <w:sz w:val="21"/>
                <w:szCs w:val="21"/>
                <w:highlight w:val="none"/>
                <w:vertAlign w:val="superscript"/>
                <w:lang w:val="en-US" w:eastAsia="zh-CN"/>
                <w14:textFill>
                  <w14:solidFill>
                    <w14:schemeClr w14:val="tx1"/>
                  </w14:solidFill>
                </w14:textFill>
              </w:rPr>
              <w:t>3</w:t>
            </w:r>
          </w:p>
        </w:tc>
        <w:tc>
          <w:tcPr>
            <w:tcW w:w="431" w:type="pct"/>
            <w:tcBorders>
              <w:tl2br w:val="nil"/>
              <w:tr2bl w:val="nil"/>
            </w:tcBorders>
            <w:noWrap w:val="0"/>
            <w:vAlign w:val="center"/>
          </w:tcPr>
          <w:p w14:paraId="14094B8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风险等级</w:t>
            </w:r>
          </w:p>
        </w:tc>
        <w:tc>
          <w:tcPr>
            <w:tcW w:w="591" w:type="pct"/>
            <w:tcBorders>
              <w:tl2br w:val="nil"/>
              <w:tr2bl w:val="nil"/>
            </w:tcBorders>
            <w:noWrap w:val="0"/>
            <w:vAlign w:val="center"/>
          </w:tcPr>
          <w:p w14:paraId="4EB9C2BF">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生产状况</w:t>
            </w:r>
          </w:p>
        </w:tc>
        <w:tc>
          <w:tcPr>
            <w:tcW w:w="529" w:type="pct"/>
            <w:tcBorders>
              <w:tl2br w:val="nil"/>
              <w:tr2bl w:val="nil"/>
            </w:tcBorders>
            <w:noWrap w:val="0"/>
            <w:vAlign w:val="center"/>
          </w:tcPr>
          <w:p w14:paraId="1B7AF2C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处置措施</w:t>
            </w:r>
          </w:p>
        </w:tc>
        <w:tc>
          <w:tcPr>
            <w:tcW w:w="529" w:type="pct"/>
            <w:tcBorders>
              <w:tl2br w:val="nil"/>
              <w:tr2bl w:val="nil"/>
            </w:tcBorders>
            <w:noWrap w:val="0"/>
            <w:vAlign w:val="center"/>
          </w:tcPr>
          <w:p w14:paraId="4182C661">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可能造成突发环境事件等级</w:t>
            </w:r>
          </w:p>
        </w:tc>
      </w:tr>
      <w:tr w14:paraId="76BF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tcBorders>
              <w:tl2br w:val="nil"/>
              <w:tr2bl w:val="nil"/>
            </w:tcBorders>
            <w:noWrap w:val="0"/>
            <w:vAlign w:val="center"/>
          </w:tcPr>
          <w:p w14:paraId="63290AE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1</w:t>
            </w:r>
          </w:p>
        </w:tc>
        <w:tc>
          <w:tcPr>
            <w:tcW w:w="834" w:type="pct"/>
            <w:tcBorders>
              <w:tl2br w:val="nil"/>
              <w:tr2bl w:val="nil"/>
            </w:tcBorders>
            <w:noWrap w:val="0"/>
            <w:vAlign w:val="center"/>
          </w:tcPr>
          <w:p w14:paraId="3553B13A">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bCs/>
                <w:color w:val="000000" w:themeColor="text1"/>
                <w:sz w:val="21"/>
                <w:szCs w:val="21"/>
                <w:highlight w:val="none"/>
                <w:lang w:val="en-US" w:eastAsia="zh-CN"/>
                <w14:textFill>
                  <w14:solidFill>
                    <w14:schemeClr w14:val="tx1"/>
                  </w14:solidFill>
                </w14:textFill>
              </w:rPr>
              <w:t>山西华兴铝业有限公司赤泥堆场</w:t>
            </w:r>
          </w:p>
        </w:tc>
        <w:tc>
          <w:tcPr>
            <w:tcW w:w="512" w:type="pct"/>
            <w:tcBorders>
              <w:tl2br w:val="nil"/>
              <w:tr2bl w:val="nil"/>
            </w:tcBorders>
            <w:noWrap w:val="0"/>
            <w:vAlign w:val="center"/>
          </w:tcPr>
          <w:p w14:paraId="50AADE5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赤泥</w:t>
            </w:r>
          </w:p>
        </w:tc>
        <w:tc>
          <w:tcPr>
            <w:tcW w:w="576" w:type="pct"/>
            <w:tcBorders>
              <w:tl2br w:val="nil"/>
              <w:tr2bl w:val="nil"/>
            </w:tcBorders>
            <w:noWrap w:val="0"/>
            <w:vAlign w:val="center"/>
          </w:tcPr>
          <w:p w14:paraId="3531A7B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2447.2</w:t>
            </w:r>
          </w:p>
        </w:tc>
        <w:tc>
          <w:tcPr>
            <w:tcW w:w="680" w:type="pct"/>
            <w:tcBorders>
              <w:tl2br w:val="nil"/>
              <w:tr2bl w:val="nil"/>
            </w:tcBorders>
            <w:noWrap w:val="0"/>
            <w:vAlign w:val="center"/>
          </w:tcPr>
          <w:p w14:paraId="3460375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1174</w:t>
            </w:r>
          </w:p>
        </w:tc>
        <w:tc>
          <w:tcPr>
            <w:tcW w:w="431" w:type="pct"/>
            <w:tcBorders>
              <w:tl2br w:val="nil"/>
              <w:tr2bl w:val="nil"/>
            </w:tcBorders>
            <w:noWrap w:val="0"/>
            <w:vAlign w:val="center"/>
          </w:tcPr>
          <w:p w14:paraId="403AE67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较大</w:t>
            </w:r>
          </w:p>
        </w:tc>
        <w:tc>
          <w:tcPr>
            <w:tcW w:w="591" w:type="pct"/>
            <w:tcBorders>
              <w:tl2br w:val="nil"/>
              <w:tr2bl w:val="nil"/>
            </w:tcBorders>
            <w:noWrap w:val="0"/>
            <w:vAlign w:val="center"/>
          </w:tcPr>
          <w:p w14:paraId="49729FD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在用</w:t>
            </w:r>
          </w:p>
        </w:tc>
        <w:tc>
          <w:tcPr>
            <w:tcW w:w="529" w:type="pct"/>
            <w:tcBorders>
              <w:tl2br w:val="nil"/>
              <w:tr2bl w:val="nil"/>
            </w:tcBorders>
            <w:noWrap w:val="0"/>
            <w:vAlign w:val="center"/>
          </w:tcPr>
          <w:p w14:paraId="09A2733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w:t>
            </w:r>
          </w:p>
        </w:tc>
        <w:tc>
          <w:tcPr>
            <w:tcW w:w="529" w:type="pct"/>
            <w:tcBorders>
              <w:tl2br w:val="nil"/>
              <w:tr2bl w:val="nil"/>
            </w:tcBorders>
            <w:noWrap w:val="0"/>
            <w:vAlign w:val="center"/>
          </w:tcPr>
          <w:p w14:paraId="4FC5EB2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w:t>
            </w:r>
          </w:p>
        </w:tc>
      </w:tr>
    </w:tbl>
    <w:p w14:paraId="308A9581">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67" w:name="_Toc29184"/>
      <w:bookmarkStart w:id="68" w:name="_Toc14976"/>
      <w:r>
        <w:rPr>
          <w:rFonts w:hint="default" w:ascii="Times New Roman" w:hAnsi="Times New Roman" w:eastAsia="仿宋" w:cs="Times New Roman"/>
          <w:color w:val="auto"/>
          <w:kern w:val="0"/>
          <w:sz w:val="32"/>
          <w:lang w:val="en-US" w:eastAsia="zh-CN"/>
        </w:rPr>
        <w:t>2.</w:t>
      </w:r>
      <w:r>
        <w:rPr>
          <w:rFonts w:hint="eastAsia" w:ascii="Times New Roman" w:hAnsi="Times New Roman" w:eastAsia="仿宋" w:cs="Times New Roman"/>
          <w:color w:val="auto"/>
          <w:kern w:val="0"/>
          <w:sz w:val="32"/>
          <w:lang w:val="en-US" w:eastAsia="zh-CN"/>
        </w:rPr>
        <w:t>7</w:t>
      </w:r>
      <w:r>
        <w:rPr>
          <w:rFonts w:hint="default" w:ascii="Times New Roman" w:hAnsi="Times New Roman" w:eastAsia="仿宋" w:cs="Times New Roman"/>
          <w:color w:val="auto"/>
          <w:kern w:val="0"/>
          <w:sz w:val="32"/>
          <w:lang w:val="en-US" w:eastAsia="zh-CN"/>
        </w:rPr>
        <w:t>加油及加气站</w:t>
      </w:r>
      <w:bookmarkEnd w:id="67"/>
      <w:bookmarkEnd w:id="68"/>
    </w:p>
    <w:p w14:paraId="0ECEE70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兴县现有加油站7家，不涉及加气站，主要分布于各交道要道，近5年未发生环境事件。可能造成的环境风险较小，一般为站内级。</w:t>
      </w:r>
    </w:p>
    <w:p w14:paraId="490D38CC">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表2</w:t>
      </w:r>
      <w:r>
        <w:rPr>
          <w:rFonts w:hint="eastAsia" w:ascii="Times New Roman" w:hAnsi="Times New Roman" w:cs="Times New Roman"/>
          <w:b/>
          <w:bCs/>
          <w:color w:val="auto"/>
          <w:kern w:val="0"/>
          <w:sz w:val="24"/>
          <w:lang w:val="en-US" w:eastAsia="zh-CN"/>
        </w:rPr>
        <w:t>.7</w:t>
      </w:r>
      <w:r>
        <w:rPr>
          <w:rFonts w:hint="default" w:ascii="Times New Roman" w:hAnsi="Times New Roman" w:eastAsia="仿宋" w:cs="Times New Roman"/>
          <w:b/>
          <w:bCs/>
          <w:color w:val="auto"/>
          <w:kern w:val="0"/>
          <w:sz w:val="24"/>
          <w:lang w:val="en-US" w:eastAsia="zh-CN"/>
        </w:rPr>
        <w:t>-1  燃油燃气经营单位情况表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3345"/>
        <w:gridCol w:w="2434"/>
        <w:gridCol w:w="1067"/>
        <w:gridCol w:w="1054"/>
      </w:tblGrid>
      <w:tr w14:paraId="5500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tcBorders>
              <w:tl2br w:val="nil"/>
              <w:tr2bl w:val="nil"/>
            </w:tcBorders>
            <w:noWrap w:val="0"/>
            <w:vAlign w:val="center"/>
          </w:tcPr>
          <w:p w14:paraId="56EC1D88">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序号</w:t>
            </w:r>
          </w:p>
        </w:tc>
        <w:tc>
          <w:tcPr>
            <w:tcW w:w="1962" w:type="pct"/>
            <w:tcBorders>
              <w:tl2br w:val="nil"/>
              <w:tr2bl w:val="nil"/>
            </w:tcBorders>
            <w:noWrap w:val="0"/>
            <w:vAlign w:val="center"/>
          </w:tcPr>
          <w:p w14:paraId="69BBA06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名称</w:t>
            </w:r>
          </w:p>
        </w:tc>
        <w:tc>
          <w:tcPr>
            <w:tcW w:w="1428" w:type="pct"/>
            <w:tcBorders>
              <w:tl2br w:val="nil"/>
              <w:tr2bl w:val="nil"/>
            </w:tcBorders>
            <w:noWrap w:val="0"/>
            <w:vAlign w:val="center"/>
          </w:tcPr>
          <w:p w14:paraId="623FFAC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坐标</w:t>
            </w:r>
          </w:p>
        </w:tc>
        <w:tc>
          <w:tcPr>
            <w:tcW w:w="1244" w:type="pct"/>
            <w:gridSpan w:val="2"/>
            <w:tcBorders>
              <w:tl2br w:val="nil"/>
              <w:tr2bl w:val="nil"/>
            </w:tcBorders>
            <w:noWrap w:val="0"/>
            <w:vAlign w:val="center"/>
          </w:tcPr>
          <w:p w14:paraId="4D000B52">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各类油气</w:t>
            </w:r>
          </w:p>
          <w:p w14:paraId="54F84B61">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最大储存量t</w:t>
            </w:r>
          </w:p>
        </w:tc>
      </w:tr>
      <w:tr w14:paraId="53B5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63" w:type="pct"/>
            <w:vMerge w:val="restart"/>
            <w:tcBorders>
              <w:tl2br w:val="nil"/>
              <w:tr2bl w:val="nil"/>
            </w:tcBorders>
            <w:noWrap w:val="0"/>
            <w:vAlign w:val="center"/>
          </w:tcPr>
          <w:p w14:paraId="3A96432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1</w:t>
            </w:r>
          </w:p>
        </w:tc>
        <w:tc>
          <w:tcPr>
            <w:tcW w:w="1962" w:type="pct"/>
            <w:vMerge w:val="restart"/>
            <w:tcBorders>
              <w:tl2br w:val="nil"/>
              <w:tr2bl w:val="nil"/>
            </w:tcBorders>
            <w:noWrap w:val="0"/>
            <w:vAlign w:val="center"/>
          </w:tcPr>
          <w:p w14:paraId="31238568">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中国石化销售股份有限公司山西吕梁兴县贤宁加油站</w:t>
            </w:r>
          </w:p>
        </w:tc>
        <w:tc>
          <w:tcPr>
            <w:tcW w:w="1428" w:type="pct"/>
            <w:vMerge w:val="restart"/>
            <w:tcBorders>
              <w:tl2br w:val="nil"/>
              <w:tr2bl w:val="nil"/>
            </w:tcBorders>
            <w:noWrap w:val="0"/>
            <w:vAlign w:val="center"/>
          </w:tcPr>
          <w:p w14:paraId="3ADD466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E111°5'43.52"</w:t>
            </w:r>
          </w:p>
          <w:p w14:paraId="03E0526F">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N38°17'40.53"</w:t>
            </w:r>
          </w:p>
        </w:tc>
        <w:tc>
          <w:tcPr>
            <w:tcW w:w="626" w:type="pct"/>
            <w:tcBorders>
              <w:tl2br w:val="nil"/>
              <w:tr2bl w:val="nil"/>
            </w:tcBorders>
            <w:noWrap w:val="0"/>
            <w:vAlign w:val="center"/>
          </w:tcPr>
          <w:p w14:paraId="502EAFA2">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26F4EE5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40.5</w:t>
            </w:r>
          </w:p>
        </w:tc>
      </w:tr>
      <w:tr w14:paraId="4B01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63" w:type="pct"/>
            <w:vMerge w:val="continue"/>
            <w:tcBorders>
              <w:tl2br w:val="nil"/>
              <w:tr2bl w:val="nil"/>
            </w:tcBorders>
            <w:noWrap w:val="0"/>
            <w:vAlign w:val="center"/>
          </w:tcPr>
          <w:p w14:paraId="72B93AA1">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337D9B2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761CA5B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788CDA7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0CBAFB1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70.47</w:t>
            </w:r>
          </w:p>
        </w:tc>
      </w:tr>
      <w:tr w14:paraId="5420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363" w:type="pct"/>
            <w:vMerge w:val="restart"/>
            <w:tcBorders>
              <w:tl2br w:val="nil"/>
              <w:tr2bl w:val="nil"/>
            </w:tcBorders>
            <w:noWrap w:val="0"/>
            <w:vAlign w:val="center"/>
          </w:tcPr>
          <w:p w14:paraId="5C7D1189">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w:t>
            </w:r>
          </w:p>
        </w:tc>
        <w:tc>
          <w:tcPr>
            <w:tcW w:w="1962" w:type="pct"/>
            <w:vMerge w:val="restart"/>
            <w:tcBorders>
              <w:tl2br w:val="nil"/>
              <w:tr2bl w:val="nil"/>
            </w:tcBorders>
            <w:noWrap w:val="0"/>
            <w:vAlign w:val="center"/>
          </w:tcPr>
          <w:p w14:paraId="24BBC3B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中国石化销售股份有限公司山西吕梁兴县永昌加油站</w:t>
            </w:r>
          </w:p>
        </w:tc>
        <w:tc>
          <w:tcPr>
            <w:tcW w:w="1428" w:type="pct"/>
            <w:vMerge w:val="restart"/>
            <w:tcBorders>
              <w:tl2br w:val="nil"/>
              <w:tr2bl w:val="nil"/>
            </w:tcBorders>
            <w:noWrap w:val="0"/>
            <w:vAlign w:val="center"/>
          </w:tcPr>
          <w:p w14:paraId="5DE5D9AF">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E111°17′13.5″</w:t>
            </w:r>
          </w:p>
          <w:p w14:paraId="6CBE8D59">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N38°30′29.17″</w:t>
            </w:r>
          </w:p>
        </w:tc>
        <w:tc>
          <w:tcPr>
            <w:tcW w:w="626" w:type="pct"/>
            <w:tcBorders>
              <w:tl2br w:val="nil"/>
              <w:tr2bl w:val="nil"/>
            </w:tcBorders>
            <w:noWrap w:val="0"/>
            <w:vAlign w:val="center"/>
          </w:tcPr>
          <w:p w14:paraId="375A95F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1ED498D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22.5</w:t>
            </w:r>
          </w:p>
        </w:tc>
      </w:tr>
      <w:tr w14:paraId="201D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63" w:type="pct"/>
            <w:vMerge w:val="continue"/>
            <w:tcBorders>
              <w:tl2br w:val="nil"/>
              <w:tr2bl w:val="nil"/>
            </w:tcBorders>
            <w:noWrap w:val="0"/>
            <w:vAlign w:val="center"/>
          </w:tcPr>
          <w:p w14:paraId="4DF073D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606B192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53017F0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7988CBE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355C994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52.2</w:t>
            </w:r>
          </w:p>
        </w:tc>
      </w:tr>
      <w:tr w14:paraId="5E14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3" w:type="pct"/>
            <w:vMerge w:val="restart"/>
            <w:tcBorders>
              <w:tl2br w:val="nil"/>
              <w:tr2bl w:val="nil"/>
            </w:tcBorders>
            <w:noWrap w:val="0"/>
            <w:vAlign w:val="center"/>
          </w:tcPr>
          <w:p w14:paraId="11A86D5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3</w:t>
            </w:r>
          </w:p>
        </w:tc>
        <w:tc>
          <w:tcPr>
            <w:tcW w:w="1962" w:type="pct"/>
            <w:vMerge w:val="restart"/>
            <w:tcBorders>
              <w:tl2br w:val="nil"/>
              <w:tr2bl w:val="nil"/>
            </w:tcBorders>
            <w:noWrap w:val="0"/>
            <w:vAlign w:val="center"/>
          </w:tcPr>
          <w:p w14:paraId="0C136CB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中国石化销售股份有限公司山西兴县晋绥加油站（南站）</w:t>
            </w:r>
          </w:p>
        </w:tc>
        <w:tc>
          <w:tcPr>
            <w:tcW w:w="1428" w:type="pct"/>
            <w:vMerge w:val="restart"/>
            <w:tcBorders>
              <w:tl2br w:val="nil"/>
              <w:tr2bl w:val="nil"/>
            </w:tcBorders>
            <w:noWrap w:val="0"/>
            <w:vAlign w:val="center"/>
          </w:tcPr>
          <w:p w14:paraId="553601CA">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E110°55ʹ31.12ʺ</w:t>
            </w:r>
          </w:p>
          <w:p w14:paraId="72193E3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N38°30ʹ11.9ʺ</w:t>
            </w:r>
          </w:p>
        </w:tc>
        <w:tc>
          <w:tcPr>
            <w:tcW w:w="626" w:type="pct"/>
            <w:tcBorders>
              <w:tl2br w:val="nil"/>
              <w:tr2bl w:val="nil"/>
            </w:tcBorders>
            <w:noWrap w:val="0"/>
            <w:vAlign w:val="center"/>
          </w:tcPr>
          <w:p w14:paraId="753BCE5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411F97A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20.25</w:t>
            </w:r>
          </w:p>
        </w:tc>
      </w:tr>
      <w:tr w14:paraId="0173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63" w:type="pct"/>
            <w:vMerge w:val="continue"/>
            <w:tcBorders>
              <w:tl2br w:val="nil"/>
              <w:tr2bl w:val="nil"/>
            </w:tcBorders>
            <w:noWrap w:val="0"/>
            <w:vAlign w:val="center"/>
          </w:tcPr>
          <w:p w14:paraId="29E8294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4602A98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5582196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42A23EB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73244AF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46.98</w:t>
            </w:r>
          </w:p>
        </w:tc>
      </w:tr>
      <w:tr w14:paraId="30DF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63" w:type="pct"/>
            <w:vMerge w:val="restart"/>
            <w:tcBorders>
              <w:tl2br w:val="nil"/>
              <w:tr2bl w:val="nil"/>
            </w:tcBorders>
            <w:noWrap w:val="0"/>
            <w:vAlign w:val="center"/>
          </w:tcPr>
          <w:p w14:paraId="343D003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4</w:t>
            </w:r>
          </w:p>
        </w:tc>
        <w:tc>
          <w:tcPr>
            <w:tcW w:w="1962" w:type="pct"/>
            <w:vMerge w:val="restart"/>
            <w:tcBorders>
              <w:tl2br w:val="nil"/>
              <w:tr2bl w:val="nil"/>
            </w:tcBorders>
            <w:noWrap w:val="0"/>
            <w:vAlign w:val="center"/>
          </w:tcPr>
          <w:p w14:paraId="66CE10EF">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中国石化销售股份有限公司山西吕梁兴县东晖加油站</w:t>
            </w:r>
          </w:p>
        </w:tc>
        <w:tc>
          <w:tcPr>
            <w:tcW w:w="1428" w:type="pct"/>
            <w:vMerge w:val="restart"/>
            <w:tcBorders>
              <w:tl2br w:val="nil"/>
              <w:tr2bl w:val="nil"/>
            </w:tcBorders>
            <w:noWrap w:val="0"/>
            <w:vAlign w:val="center"/>
          </w:tcPr>
          <w:p w14:paraId="7CF2CF6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E111°23′7.91″</w:t>
            </w:r>
          </w:p>
          <w:p w14:paraId="54DB78D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N38°32′3.03″</w:t>
            </w:r>
          </w:p>
        </w:tc>
        <w:tc>
          <w:tcPr>
            <w:tcW w:w="626" w:type="pct"/>
            <w:tcBorders>
              <w:tl2br w:val="nil"/>
              <w:tr2bl w:val="nil"/>
            </w:tcBorders>
            <w:noWrap w:val="0"/>
            <w:vAlign w:val="center"/>
          </w:tcPr>
          <w:p w14:paraId="5D47D9F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48A702D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20.25</w:t>
            </w:r>
          </w:p>
        </w:tc>
      </w:tr>
      <w:tr w14:paraId="269E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363" w:type="pct"/>
            <w:vMerge w:val="continue"/>
            <w:tcBorders>
              <w:tl2br w:val="nil"/>
              <w:tr2bl w:val="nil"/>
            </w:tcBorders>
            <w:noWrap w:val="0"/>
            <w:vAlign w:val="center"/>
          </w:tcPr>
          <w:p w14:paraId="6EAB368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6DA3F59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31CE55A1">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6A6574D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7B2C9876">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23.49</w:t>
            </w:r>
          </w:p>
        </w:tc>
      </w:tr>
      <w:tr w14:paraId="1676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3" w:type="pct"/>
            <w:vMerge w:val="restart"/>
            <w:tcBorders>
              <w:tl2br w:val="nil"/>
              <w:tr2bl w:val="nil"/>
            </w:tcBorders>
            <w:noWrap w:val="0"/>
            <w:vAlign w:val="center"/>
          </w:tcPr>
          <w:p w14:paraId="112C962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5</w:t>
            </w:r>
          </w:p>
        </w:tc>
        <w:tc>
          <w:tcPr>
            <w:tcW w:w="1962" w:type="pct"/>
            <w:vMerge w:val="restart"/>
            <w:tcBorders>
              <w:tl2br w:val="nil"/>
              <w:tr2bl w:val="nil"/>
            </w:tcBorders>
            <w:noWrap w:val="0"/>
            <w:vAlign w:val="center"/>
          </w:tcPr>
          <w:p w14:paraId="66C5F6B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中国石化销售股份有限公司山西吕梁兴县魏家滩加油站</w:t>
            </w:r>
          </w:p>
        </w:tc>
        <w:tc>
          <w:tcPr>
            <w:tcW w:w="1428" w:type="pct"/>
            <w:vMerge w:val="restart"/>
            <w:tcBorders>
              <w:tl2br w:val="nil"/>
              <w:tr2bl w:val="nil"/>
            </w:tcBorders>
            <w:noWrap w:val="0"/>
            <w:vAlign w:val="center"/>
          </w:tcPr>
          <w:p w14:paraId="2B8A0612">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E111°7′40.43″</w:t>
            </w:r>
          </w:p>
          <w:p w14:paraId="3D36611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N38°40′49.75″</w:t>
            </w:r>
          </w:p>
        </w:tc>
        <w:tc>
          <w:tcPr>
            <w:tcW w:w="626" w:type="pct"/>
            <w:tcBorders>
              <w:tl2br w:val="nil"/>
              <w:tr2bl w:val="nil"/>
            </w:tcBorders>
            <w:noWrap w:val="0"/>
            <w:vAlign w:val="center"/>
          </w:tcPr>
          <w:p w14:paraId="5275D776">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5A7F1B9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22.5</w:t>
            </w:r>
          </w:p>
        </w:tc>
      </w:tr>
      <w:tr w14:paraId="2422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63" w:type="pct"/>
            <w:vMerge w:val="continue"/>
            <w:tcBorders>
              <w:tl2br w:val="nil"/>
              <w:tr2bl w:val="nil"/>
            </w:tcBorders>
            <w:noWrap w:val="0"/>
            <w:vAlign w:val="center"/>
          </w:tcPr>
          <w:p w14:paraId="58321402">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5FAE203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0AC1957A">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0BB147C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083F93F2">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26.1</w:t>
            </w:r>
          </w:p>
        </w:tc>
      </w:tr>
      <w:tr w14:paraId="47A2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63" w:type="pct"/>
            <w:vMerge w:val="restart"/>
            <w:tcBorders>
              <w:tl2br w:val="nil"/>
              <w:tr2bl w:val="nil"/>
            </w:tcBorders>
            <w:noWrap w:val="0"/>
            <w:vAlign w:val="center"/>
          </w:tcPr>
          <w:p w14:paraId="61071419">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6</w:t>
            </w:r>
          </w:p>
        </w:tc>
        <w:tc>
          <w:tcPr>
            <w:tcW w:w="1962" w:type="pct"/>
            <w:vMerge w:val="restart"/>
            <w:tcBorders>
              <w:tl2br w:val="nil"/>
              <w:tr2bl w:val="nil"/>
            </w:tcBorders>
            <w:noWrap w:val="0"/>
            <w:vAlign w:val="center"/>
          </w:tcPr>
          <w:p w14:paraId="14914EC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中国石化销售股份有限公司山西吕梁兴县城关加油站</w:t>
            </w:r>
          </w:p>
        </w:tc>
        <w:tc>
          <w:tcPr>
            <w:tcW w:w="1428" w:type="pct"/>
            <w:vMerge w:val="restart"/>
            <w:tcBorders>
              <w:tl2br w:val="nil"/>
              <w:tr2bl w:val="nil"/>
            </w:tcBorders>
            <w:noWrap w:val="0"/>
            <w:vAlign w:val="center"/>
          </w:tcPr>
          <w:p w14:paraId="6B31686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E111°8′11.13″</w:t>
            </w:r>
          </w:p>
          <w:p w14:paraId="316B5CA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N38°28′37.24″</w:t>
            </w:r>
          </w:p>
        </w:tc>
        <w:tc>
          <w:tcPr>
            <w:tcW w:w="626" w:type="pct"/>
            <w:tcBorders>
              <w:tl2br w:val="nil"/>
              <w:tr2bl w:val="nil"/>
            </w:tcBorders>
            <w:noWrap w:val="0"/>
            <w:vAlign w:val="center"/>
          </w:tcPr>
          <w:p w14:paraId="67E6EE2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49DB686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90</w:t>
            </w:r>
          </w:p>
        </w:tc>
      </w:tr>
      <w:tr w14:paraId="536B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63" w:type="pct"/>
            <w:vMerge w:val="continue"/>
            <w:tcBorders>
              <w:tl2br w:val="nil"/>
              <w:tr2bl w:val="nil"/>
            </w:tcBorders>
            <w:noWrap w:val="0"/>
            <w:vAlign w:val="center"/>
          </w:tcPr>
          <w:p w14:paraId="522889F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4B5B8B1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333E911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1C09A261">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66AD1939">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26.1</w:t>
            </w:r>
          </w:p>
        </w:tc>
      </w:tr>
      <w:tr w14:paraId="50BB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363" w:type="pct"/>
            <w:vMerge w:val="restart"/>
            <w:tcBorders>
              <w:tl2br w:val="nil"/>
              <w:tr2bl w:val="nil"/>
            </w:tcBorders>
            <w:noWrap w:val="0"/>
            <w:vAlign w:val="center"/>
          </w:tcPr>
          <w:p w14:paraId="3A50423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7</w:t>
            </w:r>
          </w:p>
        </w:tc>
        <w:tc>
          <w:tcPr>
            <w:tcW w:w="1962" w:type="pct"/>
            <w:vMerge w:val="restart"/>
            <w:tcBorders>
              <w:tl2br w:val="nil"/>
              <w:tr2bl w:val="nil"/>
            </w:tcBorders>
            <w:noWrap w:val="0"/>
            <w:vAlign w:val="center"/>
          </w:tcPr>
          <w:p w14:paraId="16C09EA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 山西吕梁兴县第二加油站</w:t>
            </w:r>
          </w:p>
        </w:tc>
        <w:tc>
          <w:tcPr>
            <w:tcW w:w="1428" w:type="pct"/>
            <w:vMerge w:val="restart"/>
            <w:tcBorders>
              <w:tl2br w:val="nil"/>
              <w:tr2bl w:val="nil"/>
            </w:tcBorders>
            <w:noWrap w:val="0"/>
            <w:vAlign w:val="center"/>
          </w:tcPr>
          <w:p w14:paraId="61079EB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E111°9′12.97″</w:t>
            </w:r>
          </w:p>
          <w:p w14:paraId="7A7BB86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N38°27′53.19″</w:t>
            </w:r>
          </w:p>
        </w:tc>
        <w:tc>
          <w:tcPr>
            <w:tcW w:w="626" w:type="pct"/>
            <w:tcBorders>
              <w:tl2br w:val="nil"/>
              <w:tr2bl w:val="nil"/>
            </w:tcBorders>
            <w:noWrap w:val="0"/>
            <w:vAlign w:val="center"/>
          </w:tcPr>
          <w:p w14:paraId="44BF1D0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51468D5A">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40.5</w:t>
            </w:r>
          </w:p>
        </w:tc>
      </w:tr>
      <w:tr w14:paraId="060F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63" w:type="pct"/>
            <w:vMerge w:val="continue"/>
            <w:tcBorders>
              <w:tl2br w:val="nil"/>
              <w:tr2bl w:val="nil"/>
            </w:tcBorders>
            <w:noWrap w:val="0"/>
            <w:vAlign w:val="center"/>
          </w:tcPr>
          <w:p w14:paraId="0F1092C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0F35FB0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5A04BE1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3E6E8A4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6DF910A8">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46.98</w:t>
            </w:r>
          </w:p>
        </w:tc>
      </w:tr>
    </w:tbl>
    <w:p w14:paraId="2A19BFA3">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10320C63">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69" w:name="_Toc3252"/>
      <w:bookmarkStart w:id="70" w:name="_Toc17734"/>
      <w:r>
        <w:rPr>
          <w:rFonts w:hint="default" w:ascii="Times New Roman" w:hAnsi="Times New Roman" w:eastAsia="仿宋" w:cs="Times New Roman"/>
          <w:b/>
          <w:bCs/>
          <w:color w:val="auto"/>
          <w:kern w:val="0"/>
          <w:sz w:val="44"/>
          <w:lang w:val="en-US" w:eastAsia="zh-CN"/>
        </w:rPr>
        <w:t>3兴县环境风险管理及应急能力</w:t>
      </w:r>
      <w:bookmarkEnd w:id="69"/>
      <w:bookmarkEnd w:id="70"/>
    </w:p>
    <w:p w14:paraId="38C03C5E">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71" w:name="_Toc30946"/>
      <w:bookmarkStart w:id="72" w:name="_Toc16307"/>
      <w:r>
        <w:rPr>
          <w:rFonts w:hint="default" w:ascii="Times New Roman" w:hAnsi="Times New Roman" w:eastAsia="仿宋" w:cs="Times New Roman"/>
          <w:color w:val="auto"/>
          <w:kern w:val="0"/>
          <w:sz w:val="32"/>
          <w:lang w:val="en-US" w:eastAsia="zh-CN"/>
        </w:rPr>
        <w:t>3.1兴县环境风险管理</w:t>
      </w:r>
      <w:bookmarkEnd w:id="71"/>
      <w:bookmarkEnd w:id="72"/>
    </w:p>
    <w:p w14:paraId="07EA5C1F">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3" w:name="_Toc11384"/>
      <w:r>
        <w:rPr>
          <w:rFonts w:hint="default" w:ascii="Times New Roman" w:hAnsi="Times New Roman" w:eastAsia="仿宋" w:cs="Times New Roman"/>
          <w:bCs w:val="0"/>
          <w:color w:val="auto"/>
          <w:kern w:val="0"/>
          <w:sz w:val="30"/>
          <w:szCs w:val="30"/>
          <w:lang w:val="en-US" w:eastAsia="zh-CN"/>
        </w:rPr>
        <w:t>3.1.1突发环境事件案件管理</w:t>
      </w:r>
      <w:bookmarkEnd w:id="73"/>
    </w:p>
    <w:p w14:paraId="624F975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为规范突发环境事件档案资料管理，总结突发环境事件应急处置经验与教训，通过典型案例警醒相关环境安全责任主体，培训教育全县环保系统干部职工加强安全管理，不断提高环境风险防范和应急处置能力及水平，避免同类事件反复发生，吕梁市生态环境局兴县分局于2021年编制并发布了《兴县突发环境事件应急预案》。</w:t>
      </w:r>
    </w:p>
    <w:p w14:paraId="59C8493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制度规定，以吕梁市生态环境局兴县分局牵头突发环境事件案例管理工作，及时收集整理辖区内发生的缩影突发环境事件应急调查处置的相关资料，并整理成纸质件和电子版，将纸质件汇编成册，在向市局提交损害鉴定评估报告是一并提交。突发环境事件后期处罚、移交司法机关、整改、总结等方面的资料与每项工作结束后十个工作日内提交市环境监察大队。各乡镇环保办、局属其余各科、室、队、站积极配合县环境应急中心开展工作，向肇事企业、个人或有关单位收集相关资料，并将掌握的资料及时移交给兴县分局。</w:t>
      </w:r>
    </w:p>
    <w:p w14:paraId="2E15E647">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4" w:name="_Toc2026"/>
      <w:r>
        <w:rPr>
          <w:rFonts w:hint="default" w:ascii="Times New Roman" w:hAnsi="Times New Roman" w:eastAsia="仿宋" w:cs="Times New Roman"/>
          <w:bCs w:val="0"/>
          <w:color w:val="auto"/>
          <w:kern w:val="0"/>
          <w:sz w:val="30"/>
          <w:szCs w:val="30"/>
          <w:lang w:val="en-US" w:eastAsia="zh-CN"/>
        </w:rPr>
        <w:t>3.1.2环境应急专家管理</w:t>
      </w:r>
      <w:bookmarkEnd w:id="74"/>
    </w:p>
    <w:p w14:paraId="13BC580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吕梁市生态环境局兴县分局组建了“突发环境事件现场指挥部”，做为本地环境应急事件指挥中心，促进各部门发挥在预防和处置突发环境事件中的技术咨询及指导作用，确保各部门相关研究和咨询工作的有效开展。</w:t>
      </w:r>
    </w:p>
    <w:p w14:paraId="1B3CE723">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5" w:name="_Toc11946"/>
      <w:r>
        <w:rPr>
          <w:rFonts w:hint="default" w:ascii="Times New Roman" w:hAnsi="Times New Roman" w:eastAsia="仿宋" w:cs="Times New Roman"/>
          <w:bCs w:val="0"/>
          <w:color w:val="auto"/>
          <w:kern w:val="0"/>
          <w:sz w:val="30"/>
          <w:szCs w:val="30"/>
          <w:lang w:val="en-US" w:eastAsia="zh-CN"/>
        </w:rPr>
        <w:t>3.1.3突发环境事件信息报告办法</w:t>
      </w:r>
      <w:bookmarkEnd w:id="75"/>
    </w:p>
    <w:p w14:paraId="0B74AD0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突发环境事件发生地的乡镇（街道）环境保护办公室在发现或者得知突发环境事件信息后，应当立即赶赴现场进行核实，同时报告分局，待工作人员赶赴现场后，积极配合开展现场调查核实工作，对突发环境事件的性质和级别做出初步认定；突发环境事件已经或者可能涉及相邻行政区域的，吕梁市生态环境兴县分局应该及时通报相邻区域县生态环境分局，并向县政府提出向相邻区域人民政府通报的建议；突发环境事件的报告分为初级、续报和处理结果报告。</w:t>
      </w:r>
    </w:p>
    <w:p w14:paraId="586B8936">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6" w:name="_Toc31765"/>
      <w:r>
        <w:rPr>
          <w:rFonts w:hint="default" w:ascii="Times New Roman" w:hAnsi="Times New Roman" w:eastAsia="仿宋" w:cs="Times New Roman"/>
          <w:bCs w:val="0"/>
          <w:color w:val="auto"/>
          <w:kern w:val="0"/>
          <w:sz w:val="30"/>
          <w:szCs w:val="30"/>
          <w:lang w:val="en-US" w:eastAsia="zh-CN"/>
        </w:rPr>
        <w:t>3.1.4突发环境事件应急调查制度</w:t>
      </w:r>
      <w:bookmarkEnd w:id="76"/>
    </w:p>
    <w:p w14:paraId="0D62D4E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bCs/>
          <w:color w:val="000000" w:themeColor="text1"/>
          <w:sz w:val="28"/>
          <w:szCs w:val="28"/>
          <w:lang w:val="en-US" w:eastAsia="zh-CN"/>
          <w14:textFill>
            <w14:solidFill>
              <w14:schemeClr w14:val="tx1"/>
            </w14:solidFill>
          </w14:textFill>
        </w:rPr>
        <w:t>吕梁市生态环境兴县分局2021年制订《兴县突发环境事件应急调查制度》，制度中要求环境应急调查严格遵循突发环境事件处置“五个第一”要求，即第一时间报告、第一时间赶赴现场、第一时间开展监测、第一时间组织开展调查、第一时间向社会发布信息。</w:t>
      </w:r>
    </w:p>
    <w:p w14:paraId="6BCF671D">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7" w:name="_Toc18431"/>
      <w:r>
        <w:rPr>
          <w:rFonts w:hint="default" w:ascii="Times New Roman" w:hAnsi="Times New Roman" w:eastAsia="仿宋" w:cs="Times New Roman"/>
          <w:bCs w:val="0"/>
          <w:color w:val="auto"/>
          <w:kern w:val="0"/>
          <w:sz w:val="30"/>
          <w:szCs w:val="30"/>
          <w:lang w:val="en-US" w:eastAsia="zh-CN"/>
        </w:rPr>
        <w:t>3.1.5环境应急管理培训</w:t>
      </w:r>
      <w:bookmarkEnd w:id="77"/>
    </w:p>
    <w:p w14:paraId="69A9226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吕梁市生态环境兴县分局2021年制订《兴县环境应急管理培训办法》，全面提高兴县环境应急管理人员的政治和业务素质，加强培训管理。</w:t>
      </w:r>
    </w:p>
    <w:p w14:paraId="1653CE8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8" w:name="_Toc7219"/>
      <w:r>
        <w:rPr>
          <w:rFonts w:hint="default" w:ascii="Times New Roman" w:hAnsi="Times New Roman" w:eastAsia="仿宋" w:cs="Times New Roman"/>
          <w:bCs w:val="0"/>
          <w:color w:val="auto"/>
          <w:kern w:val="0"/>
          <w:sz w:val="30"/>
          <w:szCs w:val="30"/>
          <w:lang w:val="en-US" w:eastAsia="zh-CN"/>
        </w:rPr>
        <w:t>3.1.6突发环境事件应急演练管理</w:t>
      </w:r>
      <w:bookmarkEnd w:id="78"/>
    </w:p>
    <w:p w14:paraId="5ACEBE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吕梁市生态环境兴县分局2021年制订《兴县突发环境事件应急演练管理办法》，进一步规范全县突发环境污染事件应急预案演练与训练工作的管理，做好突发环境污染事件应急演练与培训，确保在发生突发环境事件时及时科学处置，最大限度的降低和预防事故风险。管理办法规定各企事业单位每年至少组织一次预案培训工作，县环境应急中心应建立健全环境应急预案演练制度，每年至少组织一次综合性环境应急演练和饮用水源环境安全应急演练，两者可以结合在一起进行演练。</w:t>
      </w:r>
    </w:p>
    <w:p w14:paraId="59FE42C4">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9" w:name="_Toc14963"/>
      <w:r>
        <w:rPr>
          <w:rFonts w:hint="default" w:ascii="Times New Roman" w:hAnsi="Times New Roman" w:eastAsia="仿宋" w:cs="Times New Roman"/>
          <w:bCs w:val="0"/>
          <w:color w:val="auto"/>
          <w:kern w:val="0"/>
          <w:sz w:val="30"/>
          <w:szCs w:val="30"/>
          <w:lang w:val="en-US" w:eastAsia="zh-CN"/>
        </w:rPr>
        <w:t>3.1.7应急物资调动制度</w:t>
      </w:r>
      <w:bookmarkEnd w:id="79"/>
    </w:p>
    <w:p w14:paraId="54D969C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吕梁市生态环境兴县分局于2021年制订《兴县环境应急中心应急物资调用制度》，规范了兴县环境和资源维护管理、物资入库管理、物资出库管理、外部调用管理、物资采购管理、监督检查管理。</w:t>
      </w:r>
    </w:p>
    <w:p w14:paraId="27F2E7D4">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0" w:name="_Toc1802"/>
      <w:r>
        <w:rPr>
          <w:rFonts w:hint="default" w:ascii="Times New Roman" w:hAnsi="Times New Roman" w:eastAsia="仿宋" w:cs="Times New Roman"/>
          <w:bCs w:val="0"/>
          <w:color w:val="auto"/>
          <w:kern w:val="0"/>
          <w:sz w:val="30"/>
          <w:szCs w:val="30"/>
          <w:lang w:val="en-US" w:eastAsia="zh-CN"/>
        </w:rPr>
        <w:t>3.1.8环境应急物资、设备联动保障机制</w:t>
      </w:r>
      <w:bookmarkEnd w:id="80"/>
    </w:p>
    <w:p w14:paraId="2B80E25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为有效应对突发环境事件，认真贯彻突发环境事件处置过程中“政府主导、环保支撑、部门联动、社会救援”的理念，落实企业环境安全主体责任制，实现资源共享，充分调动社会资源，提升兴县环境应急处置能力，吕梁市生态环境局兴县分局在2021年已建立兴县环境应急设备、物资联动保障机制。</w:t>
      </w:r>
    </w:p>
    <w:p w14:paraId="2F9269D1">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1" w:name="_Toc877"/>
      <w:r>
        <w:rPr>
          <w:rFonts w:hint="default" w:ascii="Times New Roman" w:hAnsi="Times New Roman" w:eastAsia="仿宋" w:cs="Times New Roman"/>
          <w:bCs w:val="0"/>
          <w:color w:val="auto"/>
          <w:kern w:val="0"/>
          <w:sz w:val="30"/>
          <w:szCs w:val="30"/>
          <w:lang w:val="en-US" w:eastAsia="zh-CN"/>
        </w:rPr>
        <w:t>3.1.9环境应急库房管理</w:t>
      </w:r>
      <w:bookmarkEnd w:id="81"/>
    </w:p>
    <w:p w14:paraId="0ED4317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兴县于2021年制订《兴县环境应急库房管理制度》，规范应急物资设备调度与管理。</w:t>
      </w:r>
    </w:p>
    <w:p w14:paraId="0CBCE051">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82" w:name="_Toc19475"/>
      <w:bookmarkStart w:id="83" w:name="_Toc7999"/>
      <w:r>
        <w:rPr>
          <w:rFonts w:hint="default" w:ascii="Times New Roman" w:hAnsi="Times New Roman" w:eastAsia="仿宋" w:cs="Times New Roman"/>
          <w:color w:val="auto"/>
          <w:kern w:val="0"/>
          <w:sz w:val="32"/>
          <w:lang w:val="en-US" w:eastAsia="zh-CN"/>
        </w:rPr>
        <w:t>3.2兴县现有应急预案、应急物资与装备、救援队伍情况</w:t>
      </w:r>
      <w:bookmarkEnd w:id="82"/>
      <w:bookmarkEnd w:id="83"/>
    </w:p>
    <w:p w14:paraId="16E7067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4" w:name="_Toc12936"/>
      <w:r>
        <w:rPr>
          <w:rFonts w:hint="default" w:ascii="Times New Roman" w:hAnsi="Times New Roman" w:eastAsia="仿宋" w:cs="Times New Roman"/>
          <w:bCs w:val="0"/>
          <w:color w:val="auto"/>
          <w:kern w:val="0"/>
          <w:sz w:val="30"/>
          <w:szCs w:val="30"/>
          <w:lang w:val="en-US" w:eastAsia="zh-CN"/>
        </w:rPr>
        <w:t>3.2.1应急预案</w:t>
      </w:r>
      <w:bookmarkEnd w:id="84"/>
    </w:p>
    <w:p w14:paraId="6ED9F6C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针对兴县可能发生的环境风险事故，兴县制定了较为完善的应急预案，于2021年6月制定颁布了《兴县突发环境事件应急预案》。</w:t>
      </w:r>
    </w:p>
    <w:p w14:paraId="7E0BEAA0">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5" w:name="_Toc14173"/>
      <w:r>
        <w:rPr>
          <w:rFonts w:hint="default" w:ascii="Times New Roman" w:hAnsi="Times New Roman" w:eastAsia="仿宋" w:cs="Times New Roman"/>
          <w:bCs w:val="0"/>
          <w:color w:val="auto"/>
          <w:kern w:val="0"/>
          <w:sz w:val="30"/>
          <w:szCs w:val="30"/>
          <w:lang w:val="en-US" w:eastAsia="zh-CN"/>
        </w:rPr>
        <w:t>3.2.2</w:t>
      </w:r>
      <w:r>
        <w:rPr>
          <w:rFonts w:hint="default" w:ascii="Times New Roman" w:hAnsi="Times New Roman" w:cs="Times New Roman"/>
          <w:bCs w:val="0"/>
          <w:color w:val="auto"/>
          <w:kern w:val="0"/>
          <w:sz w:val="30"/>
          <w:szCs w:val="30"/>
          <w:lang w:val="en-US" w:eastAsia="zh-CN"/>
        </w:rPr>
        <w:t>兴县</w:t>
      </w:r>
      <w:r>
        <w:rPr>
          <w:rFonts w:hint="default" w:ascii="Times New Roman" w:hAnsi="Times New Roman" w:eastAsia="仿宋" w:cs="Times New Roman"/>
          <w:bCs w:val="0"/>
          <w:color w:val="auto"/>
          <w:kern w:val="0"/>
          <w:sz w:val="30"/>
          <w:szCs w:val="30"/>
          <w:lang w:val="en-US" w:eastAsia="zh-CN"/>
        </w:rPr>
        <w:t>环境应急救援队伍</w:t>
      </w:r>
      <w:bookmarkEnd w:id="85"/>
    </w:p>
    <w:p w14:paraId="06C767A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突发环境事件应急救援体系以兴县突发环境事件应急指挥中心为核心，依托各部门和企业的各类应急救援队伍，形成地方政府、企业单位的联动应急救援机制。县应急总指挥部办公室负责应急值班，电话保证24小时有人值守。有关人员和有关单位保证能够随时取得联系。建立并及时更新指挥部各成员单位及有关专业医疗救护机构、专家组成员。</w:t>
      </w:r>
    </w:p>
    <w:p w14:paraId="5A7D43F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兴县组建了专职救援队伍兴县消防救援大队等，一些较大企业组建了内部应急救援队伍，配备了相应的应急救援设施和装备。</w:t>
      </w:r>
    </w:p>
    <w:p w14:paraId="7A0D42E5">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3</w:t>
      </w:r>
      <w:r>
        <w:rPr>
          <w:rFonts w:hint="eastAsia"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-1  兴县消防救援大队及装备情况</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1660"/>
        <w:gridCol w:w="4996"/>
      </w:tblGrid>
      <w:tr w14:paraId="2746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tcBorders>
              <w:tl2br w:val="nil"/>
              <w:tr2bl w:val="nil"/>
            </w:tcBorders>
            <w:noWrap w:val="0"/>
            <w:vAlign w:val="center"/>
          </w:tcPr>
          <w:p w14:paraId="1553DC7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驻地位置</w:t>
            </w:r>
          </w:p>
        </w:tc>
        <w:tc>
          <w:tcPr>
            <w:tcW w:w="974" w:type="pct"/>
            <w:tcBorders>
              <w:tl2br w:val="nil"/>
              <w:tr2bl w:val="nil"/>
            </w:tcBorders>
            <w:noWrap w:val="0"/>
            <w:vAlign w:val="center"/>
          </w:tcPr>
          <w:p w14:paraId="4FA22CD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专业特长</w:t>
            </w:r>
          </w:p>
        </w:tc>
        <w:tc>
          <w:tcPr>
            <w:tcW w:w="2931" w:type="pct"/>
            <w:tcBorders>
              <w:tl2br w:val="nil"/>
              <w:tr2bl w:val="nil"/>
            </w:tcBorders>
            <w:noWrap w:val="0"/>
            <w:vAlign w:val="center"/>
          </w:tcPr>
          <w:p w14:paraId="059E7FBC">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应急救援主要设备</w:t>
            </w:r>
          </w:p>
        </w:tc>
      </w:tr>
      <w:tr w14:paraId="7944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tcBorders>
              <w:tl2br w:val="nil"/>
              <w:tr2bl w:val="nil"/>
            </w:tcBorders>
            <w:noWrap w:val="0"/>
            <w:vAlign w:val="center"/>
          </w:tcPr>
          <w:p w14:paraId="758576EE">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兴县</w:t>
            </w:r>
          </w:p>
        </w:tc>
        <w:tc>
          <w:tcPr>
            <w:tcW w:w="974" w:type="pct"/>
            <w:tcBorders>
              <w:tl2br w:val="nil"/>
              <w:tr2bl w:val="nil"/>
            </w:tcBorders>
            <w:noWrap w:val="0"/>
            <w:vAlign w:val="center"/>
          </w:tcPr>
          <w:p w14:paraId="44CB42E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灭火救灾、抢险救援社会救助</w:t>
            </w:r>
          </w:p>
        </w:tc>
        <w:tc>
          <w:tcPr>
            <w:tcW w:w="2931" w:type="pct"/>
            <w:tcBorders>
              <w:tl2br w:val="nil"/>
              <w:tr2bl w:val="nil"/>
            </w:tcBorders>
            <w:noWrap w:val="0"/>
            <w:vAlign w:val="center"/>
          </w:tcPr>
          <w:p w14:paraId="6FAEF50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消防车、抢险救援车</w:t>
            </w:r>
            <w:r>
              <w:rPr>
                <w:rFonts w:hint="default" w:ascii="Times New Roman" w:hAnsi="Times New Roman" w:cs="Times New Roman"/>
                <w:color w:val="auto"/>
                <w:kern w:val="0"/>
                <w:sz w:val="21"/>
                <w:szCs w:val="21"/>
                <w:lang w:val="en-US" w:eastAsia="zh-CN"/>
              </w:rPr>
              <w:t>、</w:t>
            </w:r>
            <w:r>
              <w:rPr>
                <w:rFonts w:hint="default" w:ascii="Times New Roman" w:hAnsi="Times New Roman" w:eastAsia="仿宋" w:cs="Times New Roman"/>
                <w:color w:val="auto"/>
                <w:kern w:val="0"/>
                <w:sz w:val="21"/>
                <w:szCs w:val="21"/>
                <w:lang w:val="en-US" w:eastAsia="zh-CN"/>
              </w:rPr>
              <w:t>水罐车；</w:t>
            </w:r>
          </w:p>
          <w:p w14:paraId="30834B5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灭火、侦检、破拆、堵漏、救生、警戒、输转、洗消、照明排烟以及消防员防护装备等各类器材</w:t>
            </w:r>
          </w:p>
        </w:tc>
      </w:tr>
    </w:tbl>
    <w:p w14:paraId="22D2C36A">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6" w:name="_Toc21502"/>
      <w:r>
        <w:rPr>
          <w:rFonts w:hint="default" w:ascii="Times New Roman" w:hAnsi="Times New Roman" w:eastAsia="仿宋" w:cs="Times New Roman"/>
          <w:bCs w:val="0"/>
          <w:color w:val="auto"/>
          <w:kern w:val="0"/>
          <w:sz w:val="30"/>
          <w:szCs w:val="30"/>
          <w:lang w:val="en-US" w:eastAsia="zh-CN"/>
        </w:rPr>
        <w:t>3.2.3</w:t>
      </w:r>
      <w:r>
        <w:rPr>
          <w:rFonts w:hint="default" w:ascii="Times New Roman" w:hAnsi="Times New Roman" w:cs="Times New Roman"/>
          <w:bCs w:val="0"/>
          <w:color w:val="auto"/>
          <w:kern w:val="0"/>
          <w:sz w:val="30"/>
          <w:szCs w:val="30"/>
          <w:lang w:val="en-US" w:eastAsia="zh-CN"/>
        </w:rPr>
        <w:t>兴县</w:t>
      </w:r>
      <w:r>
        <w:rPr>
          <w:rFonts w:hint="default" w:ascii="Times New Roman" w:hAnsi="Times New Roman" w:eastAsia="仿宋" w:cs="Times New Roman"/>
          <w:bCs w:val="0"/>
          <w:color w:val="auto"/>
          <w:kern w:val="0"/>
          <w:sz w:val="30"/>
          <w:szCs w:val="30"/>
          <w:lang w:val="en-US" w:eastAsia="zh-CN"/>
        </w:rPr>
        <w:t>应急救援物资</w:t>
      </w:r>
      <w:bookmarkEnd w:id="86"/>
    </w:p>
    <w:p w14:paraId="135B4BE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兴县应急救援物资主要分布于各企事业单位和各政府部门。以下为各个部门的物资情况。</w:t>
      </w:r>
    </w:p>
    <w:p w14:paraId="4B8FAB9F">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表3</w:t>
      </w:r>
      <w:r>
        <w:rPr>
          <w:rFonts w:hint="eastAsia"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w:t>
      </w:r>
      <w:r>
        <w:rPr>
          <w:rFonts w:hint="eastAsia"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 xml:space="preserve">  兴县分局环境应急物资</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2894"/>
        <w:gridCol w:w="2272"/>
        <w:gridCol w:w="1672"/>
      </w:tblGrid>
      <w:tr w14:paraId="27AD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986" w:type="pct"/>
            <w:noWrap w:val="0"/>
            <w:vAlign w:val="center"/>
          </w:tcPr>
          <w:p w14:paraId="662EC32E">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种类</w:t>
            </w:r>
          </w:p>
        </w:tc>
        <w:tc>
          <w:tcPr>
            <w:tcW w:w="1698" w:type="pct"/>
            <w:noWrap w:val="0"/>
            <w:vAlign w:val="center"/>
          </w:tcPr>
          <w:p w14:paraId="1635D7C9">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名称</w:t>
            </w:r>
          </w:p>
        </w:tc>
        <w:tc>
          <w:tcPr>
            <w:tcW w:w="1333" w:type="pct"/>
            <w:noWrap w:val="0"/>
            <w:vAlign w:val="center"/>
          </w:tcPr>
          <w:p w14:paraId="724EA037">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储存位置</w:t>
            </w:r>
          </w:p>
        </w:tc>
        <w:tc>
          <w:tcPr>
            <w:tcW w:w="981" w:type="pct"/>
            <w:noWrap w:val="0"/>
            <w:vAlign w:val="center"/>
          </w:tcPr>
          <w:p w14:paraId="0E76D5BB">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所属单位（队伍）</w:t>
            </w:r>
          </w:p>
        </w:tc>
      </w:tr>
      <w:tr w14:paraId="4F8E7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noWrap w:val="0"/>
            <w:vAlign w:val="center"/>
          </w:tcPr>
          <w:p w14:paraId="365A73C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应急通信和指挥</w:t>
            </w:r>
          </w:p>
        </w:tc>
        <w:tc>
          <w:tcPr>
            <w:tcW w:w="1698" w:type="pct"/>
            <w:noWrap w:val="0"/>
            <w:vAlign w:val="center"/>
          </w:tcPr>
          <w:p w14:paraId="7A3D6E4B">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执法通勤车</w:t>
            </w:r>
          </w:p>
        </w:tc>
        <w:tc>
          <w:tcPr>
            <w:tcW w:w="1333" w:type="pct"/>
            <w:vMerge w:val="restart"/>
            <w:noWrap w:val="0"/>
            <w:vAlign w:val="center"/>
          </w:tcPr>
          <w:p w14:paraId="7997C5EC">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兴县分局</w:t>
            </w:r>
          </w:p>
        </w:tc>
        <w:tc>
          <w:tcPr>
            <w:tcW w:w="981" w:type="pct"/>
            <w:vMerge w:val="restart"/>
            <w:noWrap w:val="0"/>
            <w:vAlign w:val="center"/>
          </w:tcPr>
          <w:p w14:paraId="70DDF86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吕梁市</w:t>
            </w:r>
            <w:r>
              <w:rPr>
                <w:rFonts w:hint="default" w:ascii="Times New Roman" w:hAnsi="Times New Roman" w:eastAsia="仿宋" w:cs="Times New Roman"/>
                <w:b w:val="0"/>
                <w:bCs w:val="0"/>
                <w:color w:val="auto"/>
                <w:sz w:val="21"/>
                <w:szCs w:val="21"/>
                <w:highlight w:val="none"/>
                <w:lang w:val="en-US" w:eastAsia="zh-CN"/>
              </w:rPr>
              <w:t>生态环境局</w:t>
            </w:r>
            <w:r>
              <w:rPr>
                <w:rFonts w:hint="default" w:ascii="Times New Roman" w:hAnsi="Times New Roman" w:cs="Times New Roman"/>
                <w:b w:val="0"/>
                <w:bCs w:val="0"/>
                <w:color w:val="auto"/>
                <w:sz w:val="21"/>
                <w:szCs w:val="21"/>
                <w:highlight w:val="none"/>
                <w:lang w:val="en-US" w:eastAsia="zh-CN"/>
              </w:rPr>
              <w:t>兴县</w:t>
            </w:r>
            <w:r>
              <w:rPr>
                <w:rFonts w:hint="default" w:ascii="Times New Roman" w:hAnsi="Times New Roman" w:eastAsia="仿宋" w:cs="Times New Roman"/>
                <w:b w:val="0"/>
                <w:bCs w:val="0"/>
                <w:color w:val="auto"/>
                <w:sz w:val="21"/>
                <w:szCs w:val="21"/>
                <w:highlight w:val="none"/>
                <w:lang w:val="en-US" w:eastAsia="zh-CN"/>
              </w:rPr>
              <w:t>分局</w:t>
            </w:r>
          </w:p>
        </w:tc>
      </w:tr>
      <w:tr w14:paraId="3058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restart"/>
            <w:noWrap w:val="0"/>
            <w:vAlign w:val="center"/>
          </w:tcPr>
          <w:p w14:paraId="4C2A1475">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应急通信</w:t>
            </w:r>
          </w:p>
        </w:tc>
        <w:tc>
          <w:tcPr>
            <w:tcW w:w="1698" w:type="pct"/>
            <w:noWrap w:val="0"/>
            <w:vAlign w:val="center"/>
          </w:tcPr>
          <w:p w14:paraId="18786DBA">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移动执法包</w:t>
            </w:r>
          </w:p>
        </w:tc>
        <w:tc>
          <w:tcPr>
            <w:tcW w:w="1333" w:type="pct"/>
            <w:vMerge w:val="continue"/>
            <w:noWrap w:val="0"/>
            <w:vAlign w:val="center"/>
          </w:tcPr>
          <w:p w14:paraId="7B2839D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3752621D">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2B56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continue"/>
            <w:noWrap w:val="0"/>
            <w:vAlign w:val="center"/>
          </w:tcPr>
          <w:p w14:paraId="604A5DC1">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p>
        </w:tc>
        <w:tc>
          <w:tcPr>
            <w:tcW w:w="1698" w:type="pct"/>
            <w:noWrap w:val="0"/>
            <w:vAlign w:val="center"/>
          </w:tcPr>
          <w:p w14:paraId="28BBB4A2">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rPr>
              <w:t>移动执法</w:t>
            </w:r>
            <w:r>
              <w:rPr>
                <w:rFonts w:hint="default" w:ascii="Times New Roman" w:hAnsi="Times New Roman" w:eastAsia="仿宋" w:cs="Times New Roman"/>
                <w:b w:val="0"/>
                <w:bCs w:val="0"/>
                <w:color w:val="auto"/>
                <w:sz w:val="21"/>
                <w:szCs w:val="21"/>
                <w:highlight w:val="none"/>
                <w:lang w:val="en-US" w:eastAsia="zh-CN"/>
              </w:rPr>
              <w:t>终端</w:t>
            </w:r>
          </w:p>
        </w:tc>
        <w:tc>
          <w:tcPr>
            <w:tcW w:w="1333" w:type="pct"/>
            <w:vMerge w:val="continue"/>
            <w:noWrap w:val="0"/>
            <w:vAlign w:val="center"/>
          </w:tcPr>
          <w:p w14:paraId="594C218C">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21C8779E">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6CE3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continue"/>
            <w:noWrap w:val="0"/>
            <w:vAlign w:val="center"/>
          </w:tcPr>
          <w:p w14:paraId="4882CC1A">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p>
        </w:tc>
        <w:tc>
          <w:tcPr>
            <w:tcW w:w="1698" w:type="pct"/>
            <w:noWrap w:val="0"/>
            <w:vAlign w:val="center"/>
          </w:tcPr>
          <w:p w14:paraId="3A4D0C1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现场执法记录仪</w:t>
            </w:r>
          </w:p>
        </w:tc>
        <w:tc>
          <w:tcPr>
            <w:tcW w:w="1333" w:type="pct"/>
            <w:vMerge w:val="continue"/>
            <w:noWrap w:val="0"/>
            <w:vAlign w:val="center"/>
          </w:tcPr>
          <w:p w14:paraId="19DDEDF2">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2AB58573">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1474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noWrap w:val="0"/>
            <w:vAlign w:val="center"/>
          </w:tcPr>
          <w:p w14:paraId="23ED704E">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个人防护包</w:t>
            </w:r>
          </w:p>
        </w:tc>
        <w:tc>
          <w:tcPr>
            <w:tcW w:w="1698" w:type="pct"/>
            <w:noWrap w:val="0"/>
            <w:vAlign w:val="center"/>
          </w:tcPr>
          <w:p w14:paraId="2DF0013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安全防护</w:t>
            </w:r>
          </w:p>
        </w:tc>
        <w:tc>
          <w:tcPr>
            <w:tcW w:w="1333" w:type="pct"/>
            <w:vMerge w:val="continue"/>
            <w:noWrap w:val="0"/>
            <w:vAlign w:val="center"/>
          </w:tcPr>
          <w:p w14:paraId="1266D756">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677C87A3">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3CEA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restart"/>
            <w:noWrap w:val="0"/>
            <w:vAlign w:val="center"/>
          </w:tcPr>
          <w:p w14:paraId="12951120">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应急通信</w:t>
            </w:r>
          </w:p>
        </w:tc>
        <w:tc>
          <w:tcPr>
            <w:tcW w:w="1698" w:type="pct"/>
            <w:noWrap w:val="0"/>
            <w:vAlign w:val="center"/>
          </w:tcPr>
          <w:p w14:paraId="006D7163">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无人机</w:t>
            </w:r>
          </w:p>
        </w:tc>
        <w:tc>
          <w:tcPr>
            <w:tcW w:w="1333" w:type="pct"/>
            <w:vMerge w:val="continue"/>
            <w:noWrap w:val="0"/>
            <w:vAlign w:val="center"/>
          </w:tcPr>
          <w:p w14:paraId="210D20F7">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2523F4F8">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763C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continue"/>
            <w:noWrap w:val="0"/>
            <w:vAlign w:val="center"/>
          </w:tcPr>
          <w:p w14:paraId="7926F42D">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1698" w:type="pct"/>
            <w:noWrap w:val="0"/>
            <w:vAlign w:val="center"/>
          </w:tcPr>
          <w:p w14:paraId="1E4C8AA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数码照相机</w:t>
            </w:r>
          </w:p>
        </w:tc>
        <w:tc>
          <w:tcPr>
            <w:tcW w:w="1333" w:type="pct"/>
            <w:vMerge w:val="continue"/>
            <w:noWrap w:val="0"/>
            <w:vAlign w:val="center"/>
          </w:tcPr>
          <w:p w14:paraId="7B4CB7D0">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19770490">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5F31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restart"/>
            <w:noWrap w:val="0"/>
            <w:vAlign w:val="center"/>
          </w:tcPr>
          <w:p w14:paraId="55507CA3">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应急监测</w:t>
            </w:r>
          </w:p>
        </w:tc>
        <w:tc>
          <w:tcPr>
            <w:tcW w:w="1698" w:type="pct"/>
            <w:noWrap w:val="0"/>
            <w:vAlign w:val="center"/>
          </w:tcPr>
          <w:p w14:paraId="0397DFA5">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测距仪</w:t>
            </w:r>
          </w:p>
        </w:tc>
        <w:tc>
          <w:tcPr>
            <w:tcW w:w="1333" w:type="pct"/>
            <w:vMerge w:val="continue"/>
            <w:noWrap w:val="0"/>
            <w:vAlign w:val="center"/>
          </w:tcPr>
          <w:p w14:paraId="22471AD9">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56DF65D2">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4E2F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continue"/>
            <w:noWrap w:val="0"/>
            <w:vAlign w:val="center"/>
          </w:tcPr>
          <w:p w14:paraId="7509AE43">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1698" w:type="pct"/>
            <w:noWrap w:val="0"/>
            <w:vAlign w:val="center"/>
          </w:tcPr>
          <w:p w14:paraId="55338D01">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手持式光离子化检测仪PID</w:t>
            </w:r>
          </w:p>
        </w:tc>
        <w:tc>
          <w:tcPr>
            <w:tcW w:w="1333" w:type="pct"/>
            <w:vMerge w:val="continue"/>
            <w:noWrap w:val="0"/>
            <w:vAlign w:val="center"/>
          </w:tcPr>
          <w:p w14:paraId="2665C379">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484BA03D">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2F79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continue"/>
            <w:noWrap w:val="0"/>
            <w:vAlign w:val="center"/>
          </w:tcPr>
          <w:p w14:paraId="3D7B4C56">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1698" w:type="pct"/>
            <w:noWrap w:val="0"/>
            <w:vAlign w:val="center"/>
          </w:tcPr>
          <w:p w14:paraId="63EBDB3B">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微风风速仪</w:t>
            </w:r>
          </w:p>
        </w:tc>
        <w:tc>
          <w:tcPr>
            <w:tcW w:w="1333" w:type="pct"/>
            <w:vMerge w:val="continue"/>
            <w:noWrap w:val="0"/>
            <w:vAlign w:val="center"/>
          </w:tcPr>
          <w:p w14:paraId="6C8A547E">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70B3C88C">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bl>
    <w:p w14:paraId="36A54BE4">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87" w:name="_Toc27343"/>
      <w:bookmarkStart w:id="88" w:name="_Toc1837"/>
      <w:r>
        <w:rPr>
          <w:rFonts w:hint="default" w:ascii="Times New Roman" w:hAnsi="Times New Roman" w:eastAsia="仿宋" w:cs="Times New Roman"/>
          <w:color w:val="auto"/>
          <w:kern w:val="0"/>
          <w:sz w:val="32"/>
          <w:lang w:val="en-US" w:eastAsia="zh-CN"/>
        </w:rPr>
        <w:t>3.3兴县现有应急联动机制</w:t>
      </w:r>
      <w:bookmarkEnd w:id="87"/>
      <w:bookmarkEnd w:id="88"/>
    </w:p>
    <w:p w14:paraId="4D69E48B">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9" w:name="_Toc29469"/>
      <w:r>
        <w:rPr>
          <w:rFonts w:hint="default" w:ascii="Times New Roman" w:hAnsi="Times New Roman" w:eastAsia="仿宋" w:cs="Times New Roman"/>
          <w:bCs w:val="0"/>
          <w:color w:val="auto"/>
          <w:kern w:val="0"/>
          <w:sz w:val="30"/>
          <w:szCs w:val="30"/>
          <w:lang w:val="en-US" w:eastAsia="zh-CN"/>
        </w:rPr>
        <w:t>3.3.1部门联动机制</w:t>
      </w:r>
      <w:bookmarkEnd w:id="89"/>
    </w:p>
    <w:p w14:paraId="57DF69D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为共同推进生态文明建设，积极防范和妥善应对突发环境事件，切实保障城镇集中式饮用水水源地安全，按照《中华人民共和国突发事件应对法》等要求，全县各部门共同做好应急能力建设，储备应急物资，切实强化针对饮用水水源地突发环境事件处置和应对能力，各部门建立应急联动工作机制，由县政府统一领导，分工负责。</w:t>
      </w:r>
    </w:p>
    <w:p w14:paraId="3E927950">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90" w:name="_Toc31936"/>
      <w:r>
        <w:rPr>
          <w:rFonts w:hint="default" w:ascii="Times New Roman" w:hAnsi="Times New Roman" w:eastAsia="仿宋" w:cs="Times New Roman"/>
          <w:bCs w:val="0"/>
          <w:color w:val="auto"/>
          <w:kern w:val="0"/>
          <w:sz w:val="30"/>
          <w:szCs w:val="30"/>
          <w:lang w:val="en-US" w:eastAsia="zh-CN"/>
        </w:rPr>
        <w:t>3.3.2区域联动机制</w:t>
      </w:r>
      <w:bookmarkEnd w:id="90"/>
    </w:p>
    <w:p w14:paraId="4BD5A2C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bCs/>
          <w:color w:val="000000" w:themeColor="text1"/>
          <w:sz w:val="28"/>
          <w:szCs w:val="28"/>
          <w:lang w:val="en-US" w:eastAsia="zh-CN"/>
          <w14:textFill>
            <w14:solidFill>
              <w14:schemeClr w14:val="tx1"/>
            </w14:solidFill>
          </w14:textFill>
        </w:rPr>
        <w:t>为快速有效处置跨界流域突发环境应急事件，协调解决跨界、跨流域重大环境问题，切实维护人民群众的环境权益，保障社会稳定，促进经济、社会可持续发展，截至目前，兴县分县局已与周边县建立了环境应急联动机制，实现了跨界联防联控全覆盖。</w:t>
      </w:r>
    </w:p>
    <w:p w14:paraId="4198366F">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91" w:name="_Toc26425"/>
      <w:bookmarkStart w:id="92" w:name="_Toc7596"/>
      <w:r>
        <w:rPr>
          <w:rFonts w:hint="default" w:ascii="Times New Roman" w:hAnsi="Times New Roman" w:eastAsia="仿宋" w:cs="Times New Roman"/>
          <w:color w:val="auto"/>
          <w:kern w:val="0"/>
          <w:sz w:val="32"/>
          <w:lang w:val="en-US" w:eastAsia="zh-CN"/>
        </w:rPr>
        <w:t>3.4兴县环境应急装备</w:t>
      </w:r>
      <w:bookmarkEnd w:id="91"/>
      <w:bookmarkEnd w:id="92"/>
    </w:p>
    <w:p w14:paraId="22047820">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93" w:name="_Toc20186"/>
      <w:r>
        <w:rPr>
          <w:rFonts w:hint="default" w:ascii="Times New Roman" w:hAnsi="Times New Roman" w:eastAsia="仿宋" w:cs="Times New Roman"/>
          <w:bCs w:val="0"/>
          <w:color w:val="auto"/>
          <w:kern w:val="0"/>
          <w:sz w:val="30"/>
          <w:szCs w:val="30"/>
          <w:lang w:val="en-US" w:eastAsia="zh-CN"/>
        </w:rPr>
        <w:t>3.4.1环境应急指挥系统</w:t>
      </w:r>
      <w:bookmarkEnd w:id="93"/>
    </w:p>
    <w:p w14:paraId="7513922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突发环境事件应急组织指挥体系由县突发环境事件应急指挥部及其办公室、各成员单位应急指挥机构和现场指挥部组成。发生一般突发环境事件时，县应急指挥部整体转换成现场指挥部，设指挥长、副指挥长，现场指挥部下设综合协调组、污染处置组、应急监测组、医疗救治组、应急保障组、新闻宣传组、社会稳定组、调查评估组、技术专家组。各组牵头单位负责人为各组组长，各组成员单位配合工作。各组设置和职责可根据实际需要作适当调整，人员组成可吸收各乡镇人民政府和有关部门应急机构人员及涉事单位负责人等。</w:t>
      </w:r>
    </w:p>
    <w:p w14:paraId="785829B1">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613C0A7E">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94" w:name="_Toc22314"/>
      <w:bookmarkStart w:id="95" w:name="_Toc15248"/>
      <w:r>
        <w:rPr>
          <w:rFonts w:hint="default" w:ascii="Times New Roman" w:hAnsi="Times New Roman" w:eastAsia="仿宋" w:cs="Times New Roman"/>
          <w:b/>
          <w:bCs/>
          <w:color w:val="auto"/>
          <w:kern w:val="0"/>
          <w:sz w:val="44"/>
          <w:lang w:val="en-US" w:eastAsia="zh-CN"/>
        </w:rPr>
        <w:t>4环境风险识别</w:t>
      </w:r>
      <w:bookmarkEnd w:id="94"/>
      <w:bookmarkEnd w:id="95"/>
    </w:p>
    <w:p w14:paraId="0E5E50A5">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环境风险是环境风险事件发生及造成损失的可能性和不确定性。按照环境风险系统理论，环境风险事件的发生取决于风险源、初级控制机制、次级控制机制、风险受体。风险源含有大量的风险因子，当初级控制机制失效时，风险源中风险因子释放出来进入环境空间，此时，如果次级控制机制失效，则风险因子在空间中产生转移，形成环境风险场，当环境风险场与受体空间重叠，则环境风险因子与风险受体碰撞，导致风险受体受损，从而发生环境风险事件。风险源和风险受体是环境风险形成的重要因素，而初级、次级控制机制则是控制环境风险发生的重要手段，本报告从环境风险系统理论出发，对兴县域内环境风险进行识别。</w:t>
      </w:r>
    </w:p>
    <w:p w14:paraId="720DFE05">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96" w:name="_Toc9118"/>
      <w:bookmarkStart w:id="97" w:name="_Toc10106"/>
      <w:r>
        <w:rPr>
          <w:rFonts w:hint="default" w:ascii="Times New Roman" w:hAnsi="Times New Roman" w:eastAsia="仿宋" w:cs="Times New Roman"/>
          <w:color w:val="auto"/>
          <w:kern w:val="0"/>
          <w:sz w:val="32"/>
          <w:lang w:val="en-US" w:eastAsia="zh-CN"/>
        </w:rPr>
        <w:t>4.1环境风险受体识别</w:t>
      </w:r>
      <w:bookmarkEnd w:id="96"/>
      <w:bookmarkEnd w:id="97"/>
    </w:p>
    <w:p w14:paraId="42B122F3">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根据现场调查，兴县内及周边环境风险受体主要包括了大气环境风险受体和水环境风险受体。兴县的大气环境风险受体主要有商住、医疗卫生、文化教育、科研机构、火车站、汽车站等主要功能区域内的人群、保护单</w:t>
      </w:r>
      <w:r>
        <w:rPr>
          <w:rFonts w:hint="default" w:ascii="Times New Roman" w:hAnsi="Times New Roman" w:eastAsia="仿宋" w:cs="Times New Roman"/>
          <w:bCs/>
          <w:color w:val="000000" w:themeColor="text1"/>
          <w:sz w:val="28"/>
          <w:szCs w:val="28"/>
          <w:lang w:val="en-US" w:eastAsia="zh-CN"/>
          <w14:textFill>
            <w14:solidFill>
              <w14:schemeClr w14:val="tx1"/>
            </w14:solidFill>
          </w14:textFill>
        </w:rPr>
        <w:t>位，详情见表2.4-2。水</w:t>
      </w:r>
      <w:r>
        <w:rPr>
          <w:rFonts w:hint="default" w:ascii="Times New Roman" w:hAnsi="Times New Roman" w:eastAsia="仿宋" w:cs="Times New Roman"/>
          <w:bCs/>
          <w:color w:val="auto"/>
          <w:sz w:val="28"/>
          <w:szCs w:val="28"/>
          <w:lang w:val="en-US" w:eastAsia="zh-CN"/>
        </w:rPr>
        <w:t>环境风险受体有河流有岚漪河、蔚汾河、湫水河三条河流和16个乡镇集中式供水水源地和3个县城水源地</w:t>
      </w:r>
      <w:r>
        <w:rPr>
          <w:rFonts w:hint="default" w:ascii="Times New Roman" w:hAnsi="Times New Roman" w:eastAsia="仿宋" w:cs="Times New Roman"/>
          <w:bCs/>
          <w:color w:val="000000" w:themeColor="text1"/>
          <w:sz w:val="28"/>
          <w:szCs w:val="28"/>
          <w:lang w:val="en-US" w:eastAsia="zh-CN"/>
          <w14:textFill>
            <w14:solidFill>
              <w14:schemeClr w14:val="tx1"/>
            </w14:solidFill>
          </w14:textFill>
        </w:rPr>
        <w:t>，详细见章节2.1.4.5。</w:t>
      </w:r>
    </w:p>
    <w:p w14:paraId="11E104BA">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98" w:name="_Toc6111"/>
      <w:bookmarkStart w:id="99" w:name="_Toc9033"/>
      <w:r>
        <w:rPr>
          <w:rFonts w:hint="default" w:ascii="Times New Roman" w:hAnsi="Times New Roman" w:eastAsia="仿宋" w:cs="Times New Roman"/>
          <w:color w:val="auto"/>
          <w:kern w:val="0"/>
          <w:sz w:val="32"/>
          <w:lang w:val="en-US" w:eastAsia="zh-CN"/>
        </w:rPr>
        <w:t>4.2环境风险源识别</w:t>
      </w:r>
      <w:bookmarkEnd w:id="98"/>
      <w:bookmarkEnd w:id="99"/>
    </w:p>
    <w:p w14:paraId="19FE7D3C">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spacing w:val="-2"/>
          <w:sz w:val="28"/>
          <w:szCs w:val="28"/>
        </w:rPr>
      </w:pPr>
      <w:r>
        <w:rPr>
          <w:rFonts w:hint="default" w:ascii="Times New Roman" w:hAnsi="Times New Roman" w:eastAsia="仿宋" w:cs="Times New Roman"/>
          <w:bCs/>
          <w:color w:val="auto"/>
          <w:kern w:val="0"/>
          <w:sz w:val="28"/>
          <w:szCs w:val="28"/>
          <w:lang w:val="en-US" w:eastAsia="zh-CN" w:bidi="ar-SA"/>
        </w:rPr>
        <w:t>兴县环境风险主要来源于各个企业，企业在生产、使用、储存等过程中涉及到的危险化学品众多，按照《危险化学品名录》（2022调整版），主要为涉及易燃易爆、有毒、强氧化性、腐蚀性等危险化学品，常见的有：</w:t>
      </w:r>
      <w:r>
        <w:rPr>
          <w:rFonts w:hint="default" w:ascii="Times New Roman" w:hAnsi="Times New Roman" w:eastAsia="仿宋" w:cs="Times New Roman"/>
          <w:bCs/>
          <w:color w:val="auto"/>
          <w:kern w:val="0"/>
          <w:sz w:val="28"/>
          <w:szCs w:val="28"/>
          <w:highlight w:val="none"/>
          <w:lang w:val="en-US" w:eastAsia="zh-CN" w:bidi="ar-SA"/>
        </w:rPr>
        <w:t>煤层气</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液化煤层气</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氢气</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乙烯</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丙烷</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废矿物油</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废导热油</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废脱汞剂</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异戊烷</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废润滑油</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柴油</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含油类废水等。</w:t>
      </w:r>
      <w:r>
        <w:rPr>
          <w:rFonts w:hint="default" w:ascii="Times New Roman" w:hAnsi="Times New Roman" w:eastAsia="仿宋" w:cs="Times New Roman"/>
          <w:bCs/>
          <w:color w:val="auto"/>
          <w:kern w:val="0"/>
          <w:sz w:val="28"/>
          <w:szCs w:val="28"/>
          <w:lang w:val="en-US" w:eastAsia="zh-CN" w:bidi="ar-SA"/>
        </w:rPr>
        <w:t>兴县风险源包括固定风险源和移动风险源。兴县内企业的原料和产品运输途径主要为道路运输。</w:t>
      </w:r>
    </w:p>
    <w:p w14:paraId="53C46465">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00" w:name="_Toc7541"/>
      <w:bookmarkStart w:id="101" w:name="_Toc30119"/>
      <w:r>
        <w:rPr>
          <w:rFonts w:hint="default" w:ascii="Times New Roman" w:hAnsi="Times New Roman" w:eastAsia="仿宋" w:cs="Times New Roman"/>
          <w:color w:val="auto"/>
          <w:kern w:val="0"/>
          <w:sz w:val="32"/>
          <w:lang w:val="en-US" w:eastAsia="zh-CN"/>
        </w:rPr>
        <w:t>4.3“热点”区域识别</w:t>
      </w:r>
      <w:bookmarkEnd w:id="100"/>
      <w:bookmarkEnd w:id="101"/>
    </w:p>
    <w:p w14:paraId="537FB9C0">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将水和大气环境风险源、环境风险受体分布图进行叠加分析，判断出水环境风险、大气环境风险以及综合环境风险“热点”区域（即分布相对集中的区域），结果见表4</w:t>
      </w:r>
      <w:r>
        <w:rPr>
          <w:rFonts w:hint="eastAsia" w:ascii="Times New Roman" w:hAnsi="Times New Roman" w:eastAsia="仿宋" w:cs="Times New Roman"/>
          <w:bCs/>
          <w:color w:val="auto"/>
          <w:kern w:val="0"/>
          <w:sz w:val="28"/>
          <w:szCs w:val="28"/>
          <w:lang w:val="en-US" w:eastAsia="zh-CN" w:bidi="ar-SA"/>
        </w:rPr>
        <w:t>.1-</w:t>
      </w:r>
      <w:r>
        <w:rPr>
          <w:rFonts w:hint="default" w:ascii="Times New Roman" w:hAnsi="Times New Roman" w:eastAsia="仿宋" w:cs="Times New Roman"/>
          <w:bCs/>
          <w:color w:val="auto"/>
          <w:kern w:val="0"/>
          <w:sz w:val="28"/>
          <w:szCs w:val="28"/>
          <w:lang w:val="en-US" w:eastAsia="zh-CN" w:bidi="ar-SA"/>
        </w:rPr>
        <w:t>1。</w:t>
      </w:r>
    </w:p>
    <w:p w14:paraId="38862087">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表4</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 xml:space="preserve">-1 </w:t>
      </w:r>
      <w:r>
        <w:rPr>
          <w:rFonts w:hint="default" w:ascii="Times New Roman" w:hAnsi="Times New Roman" w:cs="Times New Roman"/>
          <w:b/>
          <w:bCs/>
          <w:color w:val="auto"/>
          <w:kern w:val="0"/>
          <w:sz w:val="24"/>
          <w:lang w:val="en-US" w:eastAsia="zh-CN"/>
        </w:rPr>
        <w:t xml:space="preserve"> </w:t>
      </w:r>
      <w:r>
        <w:rPr>
          <w:rFonts w:hint="default" w:ascii="Times New Roman" w:hAnsi="Times New Roman" w:eastAsia="仿宋" w:cs="Times New Roman"/>
          <w:b/>
          <w:bCs/>
          <w:color w:val="auto"/>
          <w:kern w:val="0"/>
          <w:sz w:val="24"/>
          <w:lang w:val="en-US" w:eastAsia="zh-CN"/>
        </w:rPr>
        <w:t>“热点”区域信息表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1732"/>
        <w:gridCol w:w="5065"/>
      </w:tblGrid>
      <w:tr w14:paraId="2C72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25" w:type="dxa"/>
            <w:tcBorders>
              <w:tl2br w:val="nil"/>
              <w:tr2bl w:val="nil"/>
            </w:tcBorders>
            <w:noWrap w:val="0"/>
            <w:vAlign w:val="center"/>
          </w:tcPr>
          <w:p w14:paraId="690B67F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环境风险受体</w:t>
            </w:r>
          </w:p>
        </w:tc>
        <w:tc>
          <w:tcPr>
            <w:tcW w:w="1732" w:type="dxa"/>
            <w:tcBorders>
              <w:tl2br w:val="nil"/>
              <w:tr2bl w:val="nil"/>
            </w:tcBorders>
            <w:noWrap w:val="0"/>
            <w:vAlign w:val="center"/>
          </w:tcPr>
          <w:p w14:paraId="7226C9E6">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环境风险类型</w:t>
            </w:r>
          </w:p>
        </w:tc>
        <w:tc>
          <w:tcPr>
            <w:tcW w:w="5065" w:type="dxa"/>
            <w:tcBorders>
              <w:tl2br w:val="nil"/>
              <w:tr2bl w:val="nil"/>
            </w:tcBorders>
            <w:noWrap w:val="0"/>
            <w:vAlign w:val="center"/>
          </w:tcPr>
          <w:p w14:paraId="1764427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主要环境风险源</w:t>
            </w:r>
          </w:p>
        </w:tc>
      </w:tr>
      <w:tr w14:paraId="1A05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1725" w:type="dxa"/>
            <w:tcBorders>
              <w:tl2br w:val="nil"/>
              <w:tr2bl w:val="nil"/>
            </w:tcBorders>
            <w:noWrap w:val="0"/>
            <w:vAlign w:val="center"/>
          </w:tcPr>
          <w:p w14:paraId="223CD82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瓦塘</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镇</w:t>
            </w:r>
          </w:p>
        </w:tc>
        <w:tc>
          <w:tcPr>
            <w:tcW w:w="1732" w:type="dxa"/>
            <w:tcBorders>
              <w:tl2br w:val="nil"/>
              <w:tr2bl w:val="nil"/>
            </w:tcBorders>
            <w:noWrap w:val="0"/>
            <w:vAlign w:val="center"/>
          </w:tcPr>
          <w:p w14:paraId="414D5FCB">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水污染</w:t>
            </w:r>
          </w:p>
          <w:p w14:paraId="3C4E7B38">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大气污染</w:t>
            </w:r>
          </w:p>
        </w:tc>
        <w:tc>
          <w:tcPr>
            <w:tcW w:w="5065" w:type="dxa"/>
            <w:tcBorders>
              <w:tl2br w:val="nil"/>
              <w:tr2bl w:val="nil"/>
            </w:tcBorders>
            <w:noWrap w:val="0"/>
            <w:vAlign w:val="center"/>
          </w:tcPr>
          <w:p w14:paraId="05E1BA3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煤层气</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液化煤层气</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氢气</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乙烯</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丙烷</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废矿物油</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废导热油</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废脱汞剂</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异戊烷</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废润滑油</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柴油</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含油类废水等</w:t>
            </w:r>
          </w:p>
          <w:p w14:paraId="5D0A169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color w:val="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高锰酸盐指数、总硬度总碱度、溶解性总固体、铝、氟化物、铁、铜、铅、锌、镉、汞、六价铬</w:t>
            </w:r>
          </w:p>
        </w:tc>
      </w:tr>
    </w:tbl>
    <w:p w14:paraId="6031ECCA">
      <w:pPr>
        <w:pStyle w:val="33"/>
        <w:snapToGrid w:val="0"/>
        <w:spacing w:line="480" w:lineRule="exact"/>
        <w:ind w:left="236" w:leftChars="100" w:firstLine="236" w:firstLineChars="100"/>
        <w:rPr>
          <w:rFonts w:hint="default" w:ascii="Times New Roman" w:hAnsi="Times New Roman" w:eastAsia="宋体" w:cs="Times New Roman"/>
          <w:color w:val="auto"/>
          <w:sz w:val="24"/>
          <w:szCs w:val="24"/>
        </w:rPr>
        <w:sectPr>
          <w:pgSz w:w="11906" w:h="16838"/>
          <w:pgMar w:top="1440" w:right="1800" w:bottom="1440" w:left="1800" w:header="851" w:footer="673" w:gutter="0"/>
          <w:pgBorders>
            <w:top w:val="none" w:sz="0" w:space="0"/>
            <w:left w:val="none" w:sz="0" w:space="0"/>
            <w:bottom w:val="none" w:sz="0" w:space="0"/>
            <w:right w:val="none" w:sz="0" w:space="0"/>
          </w:pgBorders>
          <w:pgNumType w:fmt="numberInDash"/>
          <w:cols w:space="720" w:num="1"/>
          <w:docGrid w:type="linesAndChars" w:linePitch="579" w:charSpace="-849"/>
        </w:sectPr>
      </w:pPr>
    </w:p>
    <w:p w14:paraId="2C8BF8C9">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02" w:name="_Toc28369"/>
      <w:bookmarkStart w:id="103" w:name="_Toc18716"/>
      <w:r>
        <w:rPr>
          <w:rFonts w:hint="default" w:ascii="Times New Roman" w:hAnsi="Times New Roman" w:eastAsia="仿宋" w:cs="Times New Roman"/>
          <w:b/>
          <w:bCs/>
          <w:color w:val="auto"/>
          <w:kern w:val="0"/>
          <w:sz w:val="44"/>
          <w:lang w:val="en-US" w:eastAsia="zh-CN"/>
        </w:rPr>
        <w:t>5环境风险评估子区域划分</w:t>
      </w:r>
      <w:bookmarkEnd w:id="102"/>
      <w:bookmarkEnd w:id="103"/>
    </w:p>
    <w:p w14:paraId="4BE7DDE7">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04" w:name="_Toc24858"/>
      <w:bookmarkStart w:id="105" w:name="_Toc29438"/>
      <w:r>
        <w:rPr>
          <w:rFonts w:hint="default" w:ascii="Times New Roman" w:hAnsi="Times New Roman" w:eastAsia="仿宋" w:cs="Times New Roman"/>
          <w:color w:val="auto"/>
          <w:kern w:val="0"/>
          <w:sz w:val="32"/>
          <w:lang w:val="en-US" w:eastAsia="zh-CN"/>
        </w:rPr>
        <w:t>5.1按敏感目标类型划分评估子区域</w:t>
      </w:r>
      <w:bookmarkEnd w:id="104"/>
      <w:bookmarkEnd w:id="105"/>
    </w:p>
    <w:p w14:paraId="1264719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对于受外来环境风险源影响较大的行政区域，可按敏感目标类型划分环境风险评估子区域，包括突发水环境事件风险评估子区域、突发大气环境事件风险评估子区域和综合环境风险评估区域。</w:t>
      </w:r>
    </w:p>
    <w:p w14:paraId="00CE62D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突发水环境、大气环境事件风险评估子区域。根据环境风险受体识别结果，利用地理信息系统缓冲区分析功能，围绕每一个环境风险受体，按照特定规则分别绘制缓冲区；对重叠的缓冲区进行叠加，分别形成突发水环境、大气环境事件风险评估子区域。</w:t>
      </w:r>
    </w:p>
    <w:p w14:paraId="67A2C52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根据本县实际情况，此方法操作复杂，汇水面积难以界定，不易实施。</w:t>
      </w:r>
    </w:p>
    <w:p w14:paraId="69F7DE30">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06" w:name="_Toc28949"/>
      <w:bookmarkStart w:id="107" w:name="_Toc15563"/>
      <w:r>
        <w:rPr>
          <w:rFonts w:hint="default" w:ascii="Times New Roman" w:hAnsi="Times New Roman" w:eastAsia="仿宋" w:cs="Times New Roman"/>
          <w:color w:val="auto"/>
          <w:kern w:val="0"/>
          <w:sz w:val="32"/>
          <w:lang w:val="en-US" w:eastAsia="zh-CN"/>
        </w:rPr>
        <w:t>5.2按下级行政区域边界划分评估子区域</w:t>
      </w:r>
      <w:bookmarkEnd w:id="106"/>
      <w:bookmarkEnd w:id="107"/>
    </w:p>
    <w:p w14:paraId="7D239A5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在不考虑跨界影响的情况下，可按照评估区域的下级行政区域边界划分评估子区域，直接计算每个下级行政区域的风险指数，并进行比较和排序。</w:t>
      </w:r>
    </w:p>
    <w:p w14:paraId="32FE25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000000" w:themeColor="text1"/>
          <w:kern w:val="0"/>
          <w:sz w:val="28"/>
          <w:szCs w:val="28"/>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0"/>
          <w:sz w:val="28"/>
          <w:szCs w:val="28"/>
          <w:lang w:val="en-US" w:eastAsia="zh-CN" w:bidi="ar-SA"/>
          <w14:textFill>
            <w14:solidFill>
              <w14:schemeClr w14:val="tx1"/>
            </w14:solidFill>
          </w14:textFill>
        </w:rPr>
        <w:t>全县共设15个下级单位，以行政边界划分为15个子区域，较为简便可行。</w:t>
      </w:r>
    </w:p>
    <w:p w14:paraId="135BAE12">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08" w:name="_Toc32464"/>
      <w:bookmarkStart w:id="109" w:name="_Toc11389"/>
      <w:r>
        <w:rPr>
          <w:rFonts w:hint="default" w:ascii="Times New Roman" w:hAnsi="Times New Roman" w:eastAsia="仿宋" w:cs="Times New Roman"/>
          <w:color w:val="auto"/>
          <w:kern w:val="0"/>
          <w:sz w:val="32"/>
          <w:lang w:val="en-US" w:eastAsia="zh-CN"/>
        </w:rPr>
        <w:t>5.3按地理空间划分网格区域</w:t>
      </w:r>
      <w:bookmarkEnd w:id="108"/>
      <w:bookmarkEnd w:id="109"/>
    </w:p>
    <w:p w14:paraId="7E6E692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000000" w:themeColor="text1"/>
          <w:kern w:val="0"/>
          <w:sz w:val="28"/>
          <w:szCs w:val="28"/>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0"/>
          <w:sz w:val="28"/>
          <w:szCs w:val="28"/>
          <w:lang w:val="en-US" w:eastAsia="zh-CN" w:bidi="ar-SA"/>
          <w14:textFill>
            <w14:solidFill>
              <w14:schemeClr w14:val="tx1"/>
            </w14:solidFill>
          </w14:textFill>
        </w:rPr>
        <w:t>对于资料数据充分、环境风险源和受体地理坐标较为精确的行政区域，可以按照地理空间将评估区域划分为若干网格区域，以网格为单元进行区域环境风险分析。原则上网格不应大于5km×5km，建议按照1km×1km划分网格。</w:t>
      </w:r>
    </w:p>
    <w:p w14:paraId="10980A9E">
      <w:pPr>
        <w:pStyle w:val="27"/>
        <w:tabs>
          <w:tab w:val="right" w:leader="dot" w:pos="8313"/>
        </w:tabs>
        <w:adjustRightInd w:val="0"/>
        <w:snapToGrid w:val="0"/>
        <w:spacing w:line="560" w:lineRule="exact"/>
        <w:ind w:firstLine="56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 w:cs="Times New Roman"/>
          <w:bCs/>
          <w:color w:val="000000" w:themeColor="text1"/>
          <w:kern w:val="0"/>
          <w:sz w:val="28"/>
          <w:szCs w:val="28"/>
          <w:lang w:val="en-US" w:eastAsia="zh-CN" w:bidi="ar-SA"/>
          <w14:textFill>
            <w14:solidFill>
              <w14:schemeClr w14:val="tx1"/>
            </w14:solidFill>
          </w14:textFill>
        </w:rPr>
        <w:t>本次评估，时间紧任务重，资料收集有限，此方法较难操作，不易实施。</w:t>
      </w:r>
    </w:p>
    <w:p w14:paraId="2B08BC72">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6D2245F0">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10" w:name="_Toc1548"/>
      <w:bookmarkStart w:id="111" w:name="_Toc19402"/>
      <w:r>
        <w:rPr>
          <w:rFonts w:hint="default" w:ascii="Times New Roman" w:hAnsi="Times New Roman" w:eastAsia="仿宋" w:cs="Times New Roman"/>
          <w:b/>
          <w:bCs/>
          <w:color w:val="auto"/>
          <w:kern w:val="0"/>
          <w:sz w:val="44"/>
          <w:lang w:val="en-US" w:eastAsia="zh-CN"/>
        </w:rPr>
        <w:t>6环境风险分析</w:t>
      </w:r>
      <w:bookmarkEnd w:id="110"/>
      <w:bookmarkEnd w:id="111"/>
    </w:p>
    <w:p w14:paraId="2346ACCE">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行政区域突发环境事件风险评估推荐方法》的规定，并结合相关行业的法律、法规、标准、规范，通过定量分析对环境风险源强度指数（S）、环境风险受体脆弱性指数（V）、环境风险防控与应急能力指数（M）的各项指标分别打分并加和，得出指数值，根据水环境、大气环境和综合环境风险指数的数值大小，对兴县进行环境风险等级划分，将区域环境风险划分为高、较高、中、低四级。通过企业资料的调查，兴县涉及环境风险物质的企业有27家，评估子区域为15个乡镇，结合“热区”分析结果，以下选取环境风险源、环境风险受体比较集中的瓦塘镇进行环境风险指数计算列述，其他乡镇风险源较少，不一一罗列，仅统计结果。由于本县无港口码头，相关指标不列入评估，计0分。</w:t>
      </w:r>
    </w:p>
    <w:p w14:paraId="504A8945">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12" w:name="_Toc25001"/>
      <w:bookmarkStart w:id="113" w:name="_Toc25280"/>
      <w:r>
        <w:rPr>
          <w:rFonts w:hint="default" w:ascii="Times New Roman" w:hAnsi="Times New Roman" w:eastAsia="仿宋" w:cs="Times New Roman"/>
          <w:color w:val="auto"/>
          <w:kern w:val="0"/>
          <w:sz w:val="32"/>
          <w:lang w:val="en-US" w:eastAsia="zh-CN"/>
        </w:rPr>
        <w:t>6.1重点区域环境风险指数计算</w:t>
      </w:r>
      <w:bookmarkEnd w:id="112"/>
      <w:bookmarkEnd w:id="113"/>
    </w:p>
    <w:p w14:paraId="678483B4">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14" w:name="_Toc18407"/>
      <w:r>
        <w:rPr>
          <w:rFonts w:hint="default" w:ascii="Times New Roman" w:hAnsi="Times New Roman" w:eastAsia="仿宋" w:cs="Times New Roman"/>
          <w:bCs w:val="0"/>
          <w:color w:val="auto"/>
          <w:kern w:val="0"/>
          <w:sz w:val="30"/>
          <w:szCs w:val="30"/>
          <w:lang w:val="en-US" w:eastAsia="zh-CN"/>
        </w:rPr>
        <w:t>6.1.1水环境风险指数计算与等级划分</w:t>
      </w:r>
      <w:bookmarkEnd w:id="114"/>
    </w:p>
    <w:p w14:paraId="2CB8FEBB">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（一）水环境风险源强度指数（S）</w:t>
      </w:r>
    </w:p>
    <w:p w14:paraId="76981BD4">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①单位面积环境风险企业数量</w:t>
      </w:r>
    </w:p>
    <w:p w14:paraId="79BDDAB0">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通过调查，从2021年至今，27家企业均已完成了突发环境事件风险评估和应急预案的编制以及备案，有25家企业的环境风险为一般环境风险（其中有7家为加油站），环境风险较小，有2家企业为较大环境风险（其中有1家为尾矿库）。</w:t>
      </w:r>
    </w:p>
    <w:p w14:paraId="730394DA">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本次选取企业分布相对集中的区域进行分析，为瓦塘镇，瓦塘镇面积173km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，涉及工业企业8家，单位面积内涉水环境风险企业数量为0.29。</w:t>
      </w:r>
    </w:p>
    <w:p w14:paraId="190F70F1">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②单位面积环境风险物质存量与临界量的比值</w:t>
      </w:r>
    </w:p>
    <w:p w14:paraId="62017924">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通过环保部门收集的企业环境风险评估报告进行统计，其中属于较大和重大环境风险的企业生产运行过程中环境风险物质最大储存量合计见下表。</w:t>
      </w:r>
    </w:p>
    <w:p w14:paraId="7E37FED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lang w:val="zh-CN" w:eastAsia="zh-CN"/>
        </w:rPr>
      </w:pPr>
      <w:r>
        <w:rPr>
          <w:rFonts w:hint="default" w:ascii="Times New Roman" w:hAnsi="Times New Roman" w:eastAsia="仿宋" w:cs="Times New Roman"/>
          <w:b/>
          <w:bCs/>
          <w:color w:val="000000"/>
          <w:kern w:val="0"/>
          <w:sz w:val="24"/>
          <w:lang w:val="zh-CN" w:eastAsia="zh-CN"/>
        </w:rPr>
        <w:t>表</w:t>
      </w:r>
      <w:r>
        <w:rPr>
          <w:rFonts w:hint="default" w:ascii="Times New Roman" w:hAnsi="Times New Roman" w:eastAsia="仿宋" w:cs="Times New Roman"/>
          <w:b/>
          <w:bCs/>
          <w:color w:val="000000"/>
          <w:kern w:val="0"/>
          <w:sz w:val="24"/>
          <w:lang w:val="en-US" w:eastAsia="zh-CN"/>
        </w:rPr>
        <w:t>6</w:t>
      </w:r>
      <w:r>
        <w:rPr>
          <w:rFonts w:hint="eastAsia" w:ascii="Times New Roman" w:hAnsi="Times New Roman" w:cs="Times New Roman"/>
          <w:b/>
          <w:bCs/>
          <w:color w:val="000000"/>
          <w:kern w:val="0"/>
          <w:sz w:val="24"/>
          <w:lang w:val="en-US" w:eastAsia="zh-CN"/>
        </w:rPr>
        <w:t>.1</w:t>
      </w:r>
      <w:r>
        <w:rPr>
          <w:rFonts w:hint="default" w:ascii="Times New Roman" w:hAnsi="Times New Roman" w:eastAsia="仿宋" w:cs="Times New Roman"/>
          <w:b/>
          <w:bCs/>
          <w:color w:val="000000"/>
          <w:kern w:val="0"/>
          <w:sz w:val="24"/>
          <w:lang w:val="en-US" w:eastAsia="zh-CN"/>
        </w:rPr>
        <w:t xml:space="preserve">-1 </w:t>
      </w:r>
      <w:r>
        <w:rPr>
          <w:rFonts w:hint="default" w:ascii="Times New Roman" w:hAnsi="Times New Roman" w:eastAsia="仿宋" w:cs="Times New Roman"/>
          <w:b/>
          <w:bCs/>
          <w:color w:val="000000"/>
          <w:kern w:val="0"/>
          <w:sz w:val="24"/>
          <w:lang w:val="zh-CN" w:eastAsia="zh-CN"/>
        </w:rPr>
        <w:t xml:space="preserve"> </w:t>
      </w:r>
      <w:r>
        <w:rPr>
          <w:rFonts w:hint="default" w:ascii="Times New Roman" w:hAnsi="Times New Roman" w:eastAsia="仿宋" w:cs="Times New Roman"/>
          <w:b/>
          <w:bCs/>
          <w:color w:val="000000"/>
          <w:kern w:val="0"/>
          <w:sz w:val="24"/>
          <w:lang w:val="en-US" w:eastAsia="zh-CN"/>
        </w:rPr>
        <w:t>环境风险</w:t>
      </w:r>
      <w:r>
        <w:rPr>
          <w:rFonts w:hint="default" w:ascii="Times New Roman" w:hAnsi="Times New Roman" w:eastAsia="仿宋" w:cs="Times New Roman"/>
          <w:b/>
          <w:bCs/>
          <w:color w:val="000000"/>
          <w:kern w:val="0"/>
          <w:sz w:val="24"/>
          <w:lang w:val="zh-CN" w:eastAsia="zh-CN"/>
        </w:rPr>
        <w:t>企业</w:t>
      </w:r>
      <w:r>
        <w:rPr>
          <w:rFonts w:hint="default" w:ascii="Times New Roman" w:hAnsi="Times New Roman" w:eastAsia="仿宋" w:cs="Times New Roman"/>
          <w:b/>
          <w:bCs/>
          <w:color w:val="000000"/>
          <w:kern w:val="0"/>
          <w:sz w:val="24"/>
          <w:lang w:val="en-US" w:eastAsia="zh-CN"/>
        </w:rPr>
        <w:t>环境物质的量合计</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1420"/>
        <w:gridCol w:w="1911"/>
        <w:gridCol w:w="1831"/>
        <w:gridCol w:w="1321"/>
        <w:gridCol w:w="1535"/>
      </w:tblGrid>
      <w:tr w14:paraId="7C22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tcBorders>
              <w:tl2br w:val="nil"/>
              <w:tr2bl w:val="nil"/>
            </w:tcBorders>
            <w:noWrap w:val="0"/>
            <w:vAlign w:val="center"/>
          </w:tcPr>
          <w:p w14:paraId="2BE4D5F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eastAsia="zh-CN"/>
              </w:rPr>
            </w:pPr>
            <w:r>
              <w:rPr>
                <w:rFonts w:hint="default" w:ascii="Times New Roman" w:hAnsi="Times New Roman" w:eastAsia="仿宋" w:cs="Times New Roman"/>
                <w:color w:val="auto"/>
                <w:vertAlign w:val="baseline"/>
                <w:lang w:val="en-US" w:eastAsia="zh-CN"/>
              </w:rPr>
              <w:t>序号</w:t>
            </w:r>
          </w:p>
        </w:tc>
        <w:tc>
          <w:tcPr>
            <w:tcW w:w="833" w:type="pct"/>
            <w:tcBorders>
              <w:tl2br w:val="nil"/>
              <w:tr2bl w:val="nil"/>
            </w:tcBorders>
            <w:noWrap w:val="0"/>
            <w:vAlign w:val="center"/>
          </w:tcPr>
          <w:p w14:paraId="4639A6BD">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eastAsia="zh-CN"/>
              </w:rPr>
            </w:pPr>
            <w:r>
              <w:rPr>
                <w:rFonts w:hint="default" w:ascii="Times New Roman" w:hAnsi="Times New Roman" w:eastAsia="仿宋" w:cs="Times New Roman"/>
                <w:color w:val="auto"/>
                <w:vertAlign w:val="baseline"/>
                <w:lang w:val="en-US" w:eastAsia="zh-CN"/>
              </w:rPr>
              <w:t>名称</w:t>
            </w:r>
          </w:p>
        </w:tc>
        <w:tc>
          <w:tcPr>
            <w:tcW w:w="1121" w:type="pct"/>
            <w:tcBorders>
              <w:tl2br w:val="nil"/>
              <w:tr2bl w:val="nil"/>
            </w:tcBorders>
            <w:noWrap w:val="0"/>
            <w:vAlign w:val="center"/>
          </w:tcPr>
          <w:p w14:paraId="1F03E01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风险物质</w:t>
            </w:r>
          </w:p>
        </w:tc>
        <w:tc>
          <w:tcPr>
            <w:tcW w:w="1074" w:type="pct"/>
            <w:tcBorders>
              <w:tl2br w:val="nil"/>
              <w:tr2bl w:val="nil"/>
            </w:tcBorders>
            <w:noWrap w:val="0"/>
            <w:vAlign w:val="center"/>
          </w:tcPr>
          <w:p w14:paraId="3424E8A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存在量t</w:t>
            </w:r>
          </w:p>
        </w:tc>
        <w:tc>
          <w:tcPr>
            <w:tcW w:w="775" w:type="pct"/>
            <w:tcBorders>
              <w:tl2br w:val="nil"/>
              <w:tr2bl w:val="nil"/>
            </w:tcBorders>
            <w:noWrap w:val="0"/>
            <w:vAlign w:val="center"/>
          </w:tcPr>
          <w:p w14:paraId="3CDA2FED">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临界量t</w:t>
            </w:r>
          </w:p>
        </w:tc>
        <w:tc>
          <w:tcPr>
            <w:tcW w:w="900" w:type="pct"/>
            <w:tcBorders>
              <w:tl2br w:val="nil"/>
              <w:tr2bl w:val="nil"/>
            </w:tcBorders>
            <w:noWrap w:val="0"/>
            <w:vAlign w:val="center"/>
          </w:tcPr>
          <w:p w14:paraId="751E192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Q值</w:t>
            </w:r>
          </w:p>
        </w:tc>
      </w:tr>
      <w:tr w14:paraId="0CDA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restart"/>
            <w:tcBorders>
              <w:tl2br w:val="nil"/>
              <w:tr2bl w:val="nil"/>
            </w:tcBorders>
            <w:noWrap w:val="0"/>
            <w:vAlign w:val="center"/>
          </w:tcPr>
          <w:p w14:paraId="7A825D2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w:t>
            </w:r>
          </w:p>
        </w:tc>
        <w:tc>
          <w:tcPr>
            <w:tcW w:w="833" w:type="pct"/>
            <w:vMerge w:val="restart"/>
            <w:tcBorders>
              <w:tl2br w:val="nil"/>
              <w:tr2bl w:val="nil"/>
            </w:tcBorders>
            <w:noWrap w:val="0"/>
            <w:vAlign w:val="center"/>
          </w:tcPr>
          <w:p w14:paraId="30B0EC5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山西泽丰达新能源有限公司</w:t>
            </w:r>
          </w:p>
        </w:tc>
        <w:tc>
          <w:tcPr>
            <w:tcW w:w="1121" w:type="pct"/>
            <w:tcBorders>
              <w:tl2br w:val="nil"/>
              <w:tr2bl w:val="nil"/>
            </w:tcBorders>
            <w:noWrap w:val="0"/>
            <w:vAlign w:val="center"/>
          </w:tcPr>
          <w:p w14:paraId="596C850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煤层气</w:t>
            </w:r>
          </w:p>
        </w:tc>
        <w:tc>
          <w:tcPr>
            <w:tcW w:w="1074" w:type="pct"/>
            <w:tcBorders>
              <w:tl2br w:val="nil"/>
              <w:tr2bl w:val="nil"/>
            </w:tcBorders>
            <w:noWrap w:val="0"/>
            <w:vAlign w:val="center"/>
          </w:tcPr>
          <w:p w14:paraId="3550CBB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17.7</w:t>
            </w:r>
          </w:p>
        </w:tc>
        <w:tc>
          <w:tcPr>
            <w:tcW w:w="775" w:type="pct"/>
            <w:tcBorders>
              <w:tl2br w:val="nil"/>
              <w:tr2bl w:val="nil"/>
            </w:tcBorders>
            <w:noWrap w:val="0"/>
            <w:vAlign w:val="center"/>
          </w:tcPr>
          <w:p w14:paraId="21926DEB">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2E6B7BC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1.707</w:t>
            </w:r>
          </w:p>
        </w:tc>
      </w:tr>
      <w:tr w14:paraId="07C0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593FA41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56A59ED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19CC29D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液化煤层气</w:t>
            </w:r>
          </w:p>
        </w:tc>
        <w:tc>
          <w:tcPr>
            <w:tcW w:w="1074" w:type="pct"/>
            <w:tcBorders>
              <w:tl2br w:val="nil"/>
              <w:tr2bl w:val="nil"/>
            </w:tcBorders>
            <w:noWrap w:val="0"/>
            <w:vAlign w:val="center"/>
          </w:tcPr>
          <w:p w14:paraId="0ED5610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12870</w:t>
            </w:r>
          </w:p>
        </w:tc>
        <w:tc>
          <w:tcPr>
            <w:tcW w:w="775" w:type="pct"/>
            <w:tcBorders>
              <w:tl2br w:val="nil"/>
              <w:tr2bl w:val="nil"/>
            </w:tcBorders>
            <w:noWrap w:val="0"/>
            <w:vAlign w:val="center"/>
          </w:tcPr>
          <w:p w14:paraId="3BB1BE9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7930B00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1287</w:t>
            </w:r>
          </w:p>
        </w:tc>
      </w:tr>
      <w:tr w14:paraId="6EC6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68334CCB">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0D5DD535">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6DCD317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氢气</w:t>
            </w:r>
          </w:p>
        </w:tc>
        <w:tc>
          <w:tcPr>
            <w:tcW w:w="1074" w:type="pct"/>
            <w:tcBorders>
              <w:tl2br w:val="nil"/>
              <w:tr2bl w:val="nil"/>
            </w:tcBorders>
            <w:noWrap w:val="0"/>
            <w:vAlign w:val="center"/>
          </w:tcPr>
          <w:p w14:paraId="7413588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0.011</w:t>
            </w:r>
          </w:p>
        </w:tc>
        <w:tc>
          <w:tcPr>
            <w:tcW w:w="775" w:type="pct"/>
            <w:tcBorders>
              <w:tl2br w:val="nil"/>
              <w:tr2bl w:val="nil"/>
            </w:tcBorders>
            <w:noWrap w:val="0"/>
            <w:vAlign w:val="center"/>
          </w:tcPr>
          <w:p w14:paraId="08CFA1FB">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726F7CC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0.0011</w:t>
            </w:r>
          </w:p>
        </w:tc>
      </w:tr>
      <w:tr w14:paraId="5947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6E9E5AC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708B003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5C68A24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乙烯</w:t>
            </w:r>
          </w:p>
        </w:tc>
        <w:tc>
          <w:tcPr>
            <w:tcW w:w="1074" w:type="pct"/>
            <w:tcBorders>
              <w:tl2br w:val="nil"/>
              <w:tr2bl w:val="nil"/>
            </w:tcBorders>
            <w:noWrap w:val="0"/>
            <w:vAlign w:val="center"/>
          </w:tcPr>
          <w:p w14:paraId="0C02032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0.062</w:t>
            </w:r>
          </w:p>
        </w:tc>
        <w:tc>
          <w:tcPr>
            <w:tcW w:w="775" w:type="pct"/>
            <w:tcBorders>
              <w:tl2br w:val="nil"/>
              <w:tr2bl w:val="nil"/>
            </w:tcBorders>
            <w:noWrap w:val="0"/>
            <w:vAlign w:val="center"/>
          </w:tcPr>
          <w:p w14:paraId="4ECCC65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4DDD4F8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0.0062</w:t>
            </w:r>
          </w:p>
        </w:tc>
      </w:tr>
      <w:tr w14:paraId="2EF3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7DE2A11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6F2D0C1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185BB59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丙烷</w:t>
            </w:r>
          </w:p>
        </w:tc>
        <w:tc>
          <w:tcPr>
            <w:tcW w:w="1074" w:type="pct"/>
            <w:tcBorders>
              <w:tl2br w:val="nil"/>
              <w:tr2bl w:val="nil"/>
            </w:tcBorders>
            <w:noWrap w:val="0"/>
            <w:vAlign w:val="center"/>
          </w:tcPr>
          <w:p w14:paraId="539F0B25">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0.097</w:t>
            </w:r>
          </w:p>
        </w:tc>
        <w:tc>
          <w:tcPr>
            <w:tcW w:w="775" w:type="pct"/>
            <w:tcBorders>
              <w:tl2br w:val="nil"/>
              <w:tr2bl w:val="nil"/>
            </w:tcBorders>
            <w:noWrap w:val="0"/>
            <w:vAlign w:val="center"/>
          </w:tcPr>
          <w:p w14:paraId="606D6D5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6CA42C2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0.0097</w:t>
            </w:r>
          </w:p>
        </w:tc>
      </w:tr>
      <w:tr w14:paraId="0AD9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7E4C88EB">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5EDCAAE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58CBC3C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废矿物油</w:t>
            </w:r>
          </w:p>
        </w:tc>
        <w:tc>
          <w:tcPr>
            <w:tcW w:w="1074" w:type="pct"/>
            <w:tcBorders>
              <w:tl2br w:val="nil"/>
              <w:tr2bl w:val="nil"/>
            </w:tcBorders>
            <w:noWrap w:val="0"/>
            <w:vAlign w:val="center"/>
          </w:tcPr>
          <w:p w14:paraId="6AEB74C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0.5</w:t>
            </w:r>
          </w:p>
        </w:tc>
        <w:tc>
          <w:tcPr>
            <w:tcW w:w="775" w:type="pct"/>
            <w:tcBorders>
              <w:tl2br w:val="nil"/>
              <w:tr2bl w:val="nil"/>
            </w:tcBorders>
            <w:noWrap w:val="0"/>
            <w:vAlign w:val="center"/>
          </w:tcPr>
          <w:p w14:paraId="496C6C0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2500</w:t>
            </w:r>
          </w:p>
        </w:tc>
        <w:tc>
          <w:tcPr>
            <w:tcW w:w="900" w:type="pct"/>
            <w:tcBorders>
              <w:tl2br w:val="nil"/>
              <w:tr2bl w:val="nil"/>
            </w:tcBorders>
            <w:noWrap w:val="0"/>
            <w:vAlign w:val="center"/>
          </w:tcPr>
          <w:p w14:paraId="0DF6555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0.0002</w:t>
            </w:r>
          </w:p>
        </w:tc>
      </w:tr>
      <w:tr w14:paraId="2051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6C73B5B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7E4D5D8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4C2CC30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废导热油</w:t>
            </w:r>
          </w:p>
        </w:tc>
        <w:tc>
          <w:tcPr>
            <w:tcW w:w="1074" w:type="pct"/>
            <w:tcBorders>
              <w:tl2br w:val="nil"/>
              <w:tr2bl w:val="nil"/>
            </w:tcBorders>
            <w:noWrap w:val="0"/>
            <w:vAlign w:val="center"/>
          </w:tcPr>
          <w:p w14:paraId="711E44C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0.5</w:t>
            </w:r>
          </w:p>
        </w:tc>
        <w:tc>
          <w:tcPr>
            <w:tcW w:w="775" w:type="pct"/>
            <w:tcBorders>
              <w:tl2br w:val="nil"/>
              <w:tr2bl w:val="nil"/>
            </w:tcBorders>
            <w:noWrap w:val="0"/>
            <w:vAlign w:val="center"/>
          </w:tcPr>
          <w:p w14:paraId="3D28272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2500</w:t>
            </w:r>
          </w:p>
        </w:tc>
        <w:tc>
          <w:tcPr>
            <w:tcW w:w="900" w:type="pct"/>
            <w:tcBorders>
              <w:tl2br w:val="nil"/>
              <w:tr2bl w:val="nil"/>
            </w:tcBorders>
            <w:noWrap w:val="0"/>
            <w:vAlign w:val="center"/>
          </w:tcPr>
          <w:p w14:paraId="5FBE0A6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0.0002</w:t>
            </w:r>
          </w:p>
        </w:tc>
      </w:tr>
      <w:tr w14:paraId="4875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66AA6ED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237A08D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65A97DE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废脱汞剂</w:t>
            </w:r>
          </w:p>
        </w:tc>
        <w:tc>
          <w:tcPr>
            <w:tcW w:w="1074" w:type="pct"/>
            <w:tcBorders>
              <w:tl2br w:val="nil"/>
              <w:tr2bl w:val="nil"/>
            </w:tcBorders>
            <w:noWrap w:val="0"/>
            <w:vAlign w:val="center"/>
          </w:tcPr>
          <w:p w14:paraId="38496AA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0.1</w:t>
            </w:r>
          </w:p>
        </w:tc>
        <w:tc>
          <w:tcPr>
            <w:tcW w:w="775" w:type="pct"/>
            <w:tcBorders>
              <w:tl2br w:val="nil"/>
              <w:tr2bl w:val="nil"/>
            </w:tcBorders>
            <w:noWrap w:val="0"/>
            <w:vAlign w:val="center"/>
          </w:tcPr>
          <w:p w14:paraId="390EBEE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0.5</w:t>
            </w:r>
          </w:p>
        </w:tc>
        <w:tc>
          <w:tcPr>
            <w:tcW w:w="900" w:type="pct"/>
            <w:tcBorders>
              <w:tl2br w:val="nil"/>
              <w:tr2bl w:val="nil"/>
            </w:tcBorders>
            <w:noWrap w:val="0"/>
            <w:vAlign w:val="center"/>
          </w:tcPr>
          <w:p w14:paraId="01AD00D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0.02</w:t>
            </w:r>
          </w:p>
        </w:tc>
      </w:tr>
      <w:tr w14:paraId="1BFB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76D75A4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28D0304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1831C2B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异戊烷</w:t>
            </w:r>
          </w:p>
        </w:tc>
        <w:tc>
          <w:tcPr>
            <w:tcW w:w="1074" w:type="pct"/>
            <w:tcBorders>
              <w:tl2br w:val="nil"/>
              <w:tr2bl w:val="nil"/>
            </w:tcBorders>
            <w:noWrap w:val="0"/>
            <w:vAlign w:val="center"/>
          </w:tcPr>
          <w:p w14:paraId="468AB4F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32.74</w:t>
            </w:r>
          </w:p>
        </w:tc>
        <w:tc>
          <w:tcPr>
            <w:tcW w:w="775" w:type="pct"/>
            <w:tcBorders>
              <w:tl2br w:val="nil"/>
              <w:tr2bl w:val="nil"/>
            </w:tcBorders>
            <w:noWrap w:val="0"/>
            <w:vAlign w:val="center"/>
          </w:tcPr>
          <w:p w14:paraId="2C93CB8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16B7BAC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3.274</w:t>
            </w:r>
          </w:p>
        </w:tc>
      </w:tr>
      <w:tr w14:paraId="0ECB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19D412C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09C3F0E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7E9F466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废润滑油</w:t>
            </w:r>
          </w:p>
        </w:tc>
        <w:tc>
          <w:tcPr>
            <w:tcW w:w="1074" w:type="pct"/>
            <w:tcBorders>
              <w:tl2br w:val="nil"/>
              <w:tr2bl w:val="nil"/>
            </w:tcBorders>
            <w:noWrap w:val="0"/>
            <w:vAlign w:val="center"/>
          </w:tcPr>
          <w:p w14:paraId="0AF242F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0.5</w:t>
            </w:r>
          </w:p>
        </w:tc>
        <w:tc>
          <w:tcPr>
            <w:tcW w:w="775" w:type="pct"/>
            <w:tcBorders>
              <w:tl2br w:val="nil"/>
              <w:tr2bl w:val="nil"/>
            </w:tcBorders>
            <w:noWrap w:val="0"/>
            <w:vAlign w:val="center"/>
          </w:tcPr>
          <w:p w14:paraId="1D9C1AD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2500</w:t>
            </w:r>
          </w:p>
        </w:tc>
        <w:tc>
          <w:tcPr>
            <w:tcW w:w="900" w:type="pct"/>
            <w:tcBorders>
              <w:tl2br w:val="nil"/>
              <w:tr2bl w:val="nil"/>
            </w:tcBorders>
            <w:noWrap w:val="0"/>
            <w:vAlign w:val="center"/>
          </w:tcPr>
          <w:p w14:paraId="2B3F2DE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0.0002</w:t>
            </w:r>
          </w:p>
        </w:tc>
      </w:tr>
      <w:tr w14:paraId="1A86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57768D0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22CEC92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6A444BA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柴油</w:t>
            </w:r>
          </w:p>
        </w:tc>
        <w:tc>
          <w:tcPr>
            <w:tcW w:w="1074" w:type="pct"/>
            <w:tcBorders>
              <w:tl2br w:val="nil"/>
              <w:tr2bl w:val="nil"/>
            </w:tcBorders>
            <w:noWrap w:val="0"/>
            <w:vAlign w:val="center"/>
          </w:tcPr>
          <w:p w14:paraId="26DD7B4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w:t>
            </w:r>
          </w:p>
        </w:tc>
        <w:tc>
          <w:tcPr>
            <w:tcW w:w="775" w:type="pct"/>
            <w:tcBorders>
              <w:tl2br w:val="nil"/>
              <w:tr2bl w:val="nil"/>
            </w:tcBorders>
            <w:noWrap w:val="0"/>
            <w:vAlign w:val="center"/>
          </w:tcPr>
          <w:p w14:paraId="63B7F55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2500</w:t>
            </w:r>
          </w:p>
        </w:tc>
        <w:tc>
          <w:tcPr>
            <w:tcW w:w="900" w:type="pct"/>
            <w:tcBorders>
              <w:tl2br w:val="nil"/>
              <w:tr2bl w:val="nil"/>
            </w:tcBorders>
            <w:noWrap w:val="0"/>
            <w:vAlign w:val="center"/>
          </w:tcPr>
          <w:p w14:paraId="2FF21C1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0.0004</w:t>
            </w:r>
          </w:p>
        </w:tc>
      </w:tr>
      <w:tr w14:paraId="4711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94" w:type="pct"/>
            <w:vMerge w:val="continue"/>
            <w:tcBorders>
              <w:tl2br w:val="nil"/>
              <w:tr2bl w:val="nil"/>
            </w:tcBorders>
            <w:noWrap w:val="0"/>
            <w:vAlign w:val="center"/>
          </w:tcPr>
          <w:p w14:paraId="6698AC1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68E5218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3866F595">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含油类废水</w:t>
            </w:r>
          </w:p>
        </w:tc>
        <w:tc>
          <w:tcPr>
            <w:tcW w:w="1074" w:type="pct"/>
            <w:tcBorders>
              <w:tl2br w:val="nil"/>
              <w:tr2bl w:val="nil"/>
            </w:tcBorders>
            <w:noWrap w:val="0"/>
            <w:vAlign w:val="center"/>
          </w:tcPr>
          <w:p w14:paraId="5BDED45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w:t>
            </w:r>
          </w:p>
        </w:tc>
        <w:tc>
          <w:tcPr>
            <w:tcW w:w="775" w:type="pct"/>
            <w:tcBorders>
              <w:tl2br w:val="nil"/>
              <w:tr2bl w:val="nil"/>
            </w:tcBorders>
            <w:noWrap w:val="0"/>
            <w:vAlign w:val="center"/>
          </w:tcPr>
          <w:p w14:paraId="30284C8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2500</w:t>
            </w:r>
          </w:p>
        </w:tc>
        <w:tc>
          <w:tcPr>
            <w:tcW w:w="900" w:type="pct"/>
            <w:tcBorders>
              <w:tl2br w:val="nil"/>
              <w:tr2bl w:val="nil"/>
            </w:tcBorders>
            <w:noWrap w:val="0"/>
            <w:vAlign w:val="center"/>
          </w:tcPr>
          <w:p w14:paraId="0A8DA3E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0.0008</w:t>
            </w:r>
          </w:p>
        </w:tc>
      </w:tr>
      <w:tr w14:paraId="5433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4" w:type="pct"/>
            <w:tcBorders>
              <w:tl2br w:val="nil"/>
              <w:tr2bl w:val="nil"/>
            </w:tcBorders>
            <w:noWrap w:val="0"/>
            <w:vAlign w:val="center"/>
          </w:tcPr>
          <w:p w14:paraId="0728859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w:t>
            </w:r>
          </w:p>
        </w:tc>
        <w:tc>
          <w:tcPr>
            <w:tcW w:w="833" w:type="pct"/>
            <w:tcBorders>
              <w:tl2br w:val="nil"/>
              <w:tr2bl w:val="nil"/>
            </w:tcBorders>
            <w:noWrap w:val="0"/>
            <w:vAlign w:val="center"/>
          </w:tcPr>
          <w:p w14:paraId="4C7EFE5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山西华兴钼业有限公司赤泥库</w:t>
            </w:r>
          </w:p>
        </w:tc>
        <w:tc>
          <w:tcPr>
            <w:tcW w:w="1121" w:type="pct"/>
            <w:tcBorders>
              <w:tl2br w:val="nil"/>
              <w:tr2bl w:val="nil"/>
            </w:tcBorders>
            <w:noWrap w:val="0"/>
            <w:vAlign w:val="center"/>
          </w:tcPr>
          <w:p w14:paraId="14E0DBF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高锰酸盐指数、总硬度总碱度、溶解性总固体、铝、氟化物、铁、铜、铅、锌、镉、汞、六价铬</w:t>
            </w:r>
          </w:p>
        </w:tc>
        <w:tc>
          <w:tcPr>
            <w:tcW w:w="1074" w:type="pct"/>
            <w:tcBorders>
              <w:tl2br w:val="nil"/>
              <w:tr2bl w:val="nil"/>
            </w:tcBorders>
            <w:noWrap w:val="0"/>
            <w:vAlign w:val="center"/>
          </w:tcPr>
          <w:p w14:paraId="1BE5F77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w:t>
            </w:r>
          </w:p>
        </w:tc>
        <w:tc>
          <w:tcPr>
            <w:tcW w:w="775" w:type="pct"/>
            <w:tcBorders>
              <w:tl2br w:val="nil"/>
              <w:tr2bl w:val="nil"/>
            </w:tcBorders>
            <w:noWrap w:val="0"/>
            <w:vAlign w:val="center"/>
          </w:tcPr>
          <w:p w14:paraId="77BCE7BD">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w:t>
            </w:r>
          </w:p>
        </w:tc>
        <w:tc>
          <w:tcPr>
            <w:tcW w:w="900" w:type="pct"/>
            <w:tcBorders>
              <w:tl2br w:val="nil"/>
              <w:tr2bl w:val="nil"/>
            </w:tcBorders>
            <w:noWrap w:val="0"/>
            <w:vAlign w:val="center"/>
          </w:tcPr>
          <w:p w14:paraId="2EB5508D">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w:t>
            </w:r>
          </w:p>
        </w:tc>
      </w:tr>
    </w:tbl>
    <w:p w14:paraId="35E6D6C4">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有加油站7座，加油站按照一般规模核算计算风险物质储存量，汽油、柴油由中国石油天然气股份有限公司山西销售分公司或者中国石化销售有限公司山西分公司统一运输。根据以上数据估算可得兴县加油站日常储存量。加油站环境风险物质储存量见下表。</w:t>
      </w:r>
    </w:p>
    <w:p w14:paraId="3C53F88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lang w:val="zh-CN" w:eastAsia="zh-CN"/>
        </w:rPr>
      </w:pPr>
      <w:r>
        <w:rPr>
          <w:rFonts w:hint="default" w:ascii="Times New Roman" w:hAnsi="Times New Roman" w:eastAsia="仿宋" w:cs="Times New Roman"/>
          <w:b/>
          <w:bCs/>
          <w:color w:val="000000"/>
          <w:kern w:val="0"/>
          <w:sz w:val="24"/>
          <w:lang w:val="zh-CN" w:eastAsia="zh-CN"/>
        </w:rPr>
        <w:t>表</w:t>
      </w:r>
      <w:r>
        <w:rPr>
          <w:rFonts w:hint="default" w:ascii="Times New Roman" w:hAnsi="Times New Roman" w:eastAsia="仿宋" w:cs="Times New Roman"/>
          <w:b/>
          <w:bCs/>
          <w:color w:val="000000"/>
          <w:kern w:val="0"/>
          <w:sz w:val="24"/>
          <w:lang w:val="en-US" w:eastAsia="zh-CN"/>
        </w:rPr>
        <w:t>6</w:t>
      </w:r>
      <w:r>
        <w:rPr>
          <w:rFonts w:hint="eastAsia" w:ascii="Times New Roman" w:hAnsi="Times New Roman" w:cs="Times New Roman"/>
          <w:b/>
          <w:bCs/>
          <w:color w:val="000000"/>
          <w:kern w:val="0"/>
          <w:sz w:val="24"/>
          <w:lang w:val="en-US" w:eastAsia="zh-CN"/>
        </w:rPr>
        <w:t>.1</w:t>
      </w:r>
      <w:r>
        <w:rPr>
          <w:rFonts w:hint="default" w:ascii="Times New Roman" w:hAnsi="Times New Roman" w:eastAsia="仿宋" w:cs="Times New Roman"/>
          <w:b/>
          <w:bCs/>
          <w:color w:val="000000"/>
          <w:kern w:val="0"/>
          <w:sz w:val="24"/>
          <w:lang w:val="en-US" w:eastAsia="zh-CN"/>
        </w:rPr>
        <w:t xml:space="preserve">-2 </w:t>
      </w:r>
      <w:r>
        <w:rPr>
          <w:rFonts w:hint="default" w:ascii="Times New Roman" w:hAnsi="Times New Roman" w:eastAsia="仿宋" w:cs="Times New Roman"/>
          <w:b/>
          <w:bCs/>
          <w:color w:val="000000"/>
          <w:kern w:val="0"/>
          <w:sz w:val="24"/>
          <w:lang w:val="zh-CN" w:eastAsia="zh-CN"/>
        </w:rPr>
        <w:t xml:space="preserve"> </w:t>
      </w:r>
      <w:r>
        <w:rPr>
          <w:rFonts w:hint="default" w:ascii="Times New Roman" w:hAnsi="Times New Roman" w:eastAsia="仿宋" w:cs="Times New Roman"/>
          <w:b/>
          <w:bCs/>
          <w:color w:val="000000"/>
          <w:kern w:val="0"/>
          <w:sz w:val="24"/>
          <w:lang w:val="en-US" w:eastAsia="zh-CN"/>
        </w:rPr>
        <w:t>加油站环境风险物质储存量统计</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1"/>
        <w:gridCol w:w="2132"/>
        <w:gridCol w:w="1576"/>
        <w:gridCol w:w="2480"/>
      </w:tblGrid>
      <w:tr w14:paraId="30B0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pct"/>
            <w:tcBorders>
              <w:tl2br w:val="nil"/>
              <w:tr2bl w:val="nil"/>
            </w:tcBorders>
            <w:noWrap w:val="0"/>
            <w:vAlign w:val="center"/>
          </w:tcPr>
          <w:p w14:paraId="108BB1C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名称</w:t>
            </w:r>
          </w:p>
        </w:tc>
        <w:tc>
          <w:tcPr>
            <w:tcW w:w="1251" w:type="pct"/>
            <w:tcBorders>
              <w:tl2br w:val="nil"/>
              <w:tr2bl w:val="nil"/>
            </w:tcBorders>
            <w:noWrap w:val="0"/>
            <w:vAlign w:val="center"/>
          </w:tcPr>
          <w:p w14:paraId="545EC14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存在量t</w:t>
            </w:r>
          </w:p>
        </w:tc>
        <w:tc>
          <w:tcPr>
            <w:tcW w:w="924" w:type="pct"/>
            <w:tcBorders>
              <w:tl2br w:val="nil"/>
              <w:tr2bl w:val="nil"/>
            </w:tcBorders>
            <w:noWrap w:val="0"/>
            <w:vAlign w:val="center"/>
          </w:tcPr>
          <w:p w14:paraId="11F498F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临界量t</w:t>
            </w:r>
          </w:p>
        </w:tc>
        <w:tc>
          <w:tcPr>
            <w:tcW w:w="1455" w:type="pct"/>
            <w:tcBorders>
              <w:tl2br w:val="nil"/>
              <w:tr2bl w:val="nil"/>
            </w:tcBorders>
            <w:noWrap w:val="0"/>
            <w:vAlign w:val="center"/>
          </w:tcPr>
          <w:p w14:paraId="4349B95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Q值</w:t>
            </w:r>
          </w:p>
        </w:tc>
      </w:tr>
      <w:tr w14:paraId="1472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pct"/>
            <w:tcBorders>
              <w:tl2br w:val="nil"/>
              <w:tr2bl w:val="nil"/>
            </w:tcBorders>
            <w:noWrap w:val="0"/>
            <w:vAlign w:val="center"/>
          </w:tcPr>
          <w:p w14:paraId="33B6E65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汽油</w:t>
            </w:r>
          </w:p>
        </w:tc>
        <w:tc>
          <w:tcPr>
            <w:tcW w:w="1251" w:type="pct"/>
            <w:tcBorders>
              <w:tl2br w:val="nil"/>
              <w:tr2bl w:val="nil"/>
            </w:tcBorders>
            <w:noWrap w:val="0"/>
            <w:vAlign w:val="center"/>
          </w:tcPr>
          <w:p w14:paraId="3A621A6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256.5</w:t>
            </w:r>
          </w:p>
        </w:tc>
        <w:tc>
          <w:tcPr>
            <w:tcW w:w="924" w:type="pct"/>
            <w:tcBorders>
              <w:tl2br w:val="nil"/>
              <w:tr2bl w:val="nil"/>
            </w:tcBorders>
            <w:noWrap w:val="0"/>
            <w:vAlign w:val="center"/>
          </w:tcPr>
          <w:p w14:paraId="48015AC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2500</w:t>
            </w:r>
          </w:p>
        </w:tc>
        <w:tc>
          <w:tcPr>
            <w:tcW w:w="1455" w:type="pct"/>
            <w:tcBorders>
              <w:tl2br w:val="nil"/>
              <w:tr2bl w:val="nil"/>
            </w:tcBorders>
            <w:noWrap w:val="0"/>
            <w:vAlign w:val="center"/>
          </w:tcPr>
          <w:p w14:paraId="58BD7FB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0.10248</w:t>
            </w:r>
          </w:p>
        </w:tc>
      </w:tr>
      <w:tr w14:paraId="41DF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368" w:type="pct"/>
            <w:tcBorders>
              <w:tl2br w:val="nil"/>
              <w:tr2bl w:val="nil"/>
            </w:tcBorders>
            <w:noWrap w:val="0"/>
            <w:vAlign w:val="center"/>
          </w:tcPr>
          <w:p w14:paraId="1D5F5E2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柴油</w:t>
            </w:r>
          </w:p>
        </w:tc>
        <w:tc>
          <w:tcPr>
            <w:tcW w:w="1251" w:type="pct"/>
            <w:tcBorders>
              <w:tl2br w:val="nil"/>
              <w:tr2bl w:val="nil"/>
            </w:tcBorders>
            <w:noWrap w:val="0"/>
            <w:vAlign w:val="center"/>
          </w:tcPr>
          <w:p w14:paraId="64A95B2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292.32</w:t>
            </w:r>
          </w:p>
        </w:tc>
        <w:tc>
          <w:tcPr>
            <w:tcW w:w="924" w:type="pct"/>
            <w:tcBorders>
              <w:tl2br w:val="nil"/>
              <w:tr2bl w:val="nil"/>
            </w:tcBorders>
            <w:noWrap w:val="0"/>
            <w:vAlign w:val="center"/>
          </w:tcPr>
          <w:p w14:paraId="34DBF27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2500</w:t>
            </w:r>
          </w:p>
        </w:tc>
        <w:tc>
          <w:tcPr>
            <w:tcW w:w="1455" w:type="pct"/>
            <w:tcBorders>
              <w:tl2br w:val="nil"/>
              <w:tr2bl w:val="nil"/>
            </w:tcBorders>
            <w:noWrap w:val="0"/>
            <w:vAlign w:val="center"/>
          </w:tcPr>
          <w:p w14:paraId="2D753EC5">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0.116928</w:t>
            </w:r>
          </w:p>
        </w:tc>
      </w:tr>
      <w:tr w14:paraId="4502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pct"/>
            <w:gridSpan w:val="3"/>
            <w:tcBorders>
              <w:tl2br w:val="nil"/>
              <w:tr2bl w:val="nil"/>
            </w:tcBorders>
            <w:noWrap w:val="0"/>
            <w:vAlign w:val="center"/>
          </w:tcPr>
          <w:p w14:paraId="2CE1353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总计</w:t>
            </w:r>
          </w:p>
        </w:tc>
        <w:tc>
          <w:tcPr>
            <w:tcW w:w="1455" w:type="pct"/>
            <w:tcBorders>
              <w:tl2br w:val="nil"/>
              <w:tr2bl w:val="nil"/>
            </w:tcBorders>
            <w:noWrap w:val="0"/>
            <w:vAlign w:val="center"/>
          </w:tcPr>
          <w:p w14:paraId="0AB6BDE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0.219408</w:t>
            </w:r>
          </w:p>
        </w:tc>
      </w:tr>
    </w:tbl>
    <w:p w14:paraId="4A87F56A">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瓦塘镇面积173km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，评估区域内各涉水环境风险企业中环境风险物质与临界量的比值加和后与评估区域的比值359.14。</w:t>
      </w:r>
    </w:p>
    <w:p w14:paraId="63DA5165">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③较大以上环境风险企业所占百分比</w:t>
      </w:r>
    </w:p>
    <w:p w14:paraId="5175FA30">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涉及环境风险的企业共计27家，27家企业均已完成了突发环境事件风险评估和应急预案的编制以及备案，有25家企业的环境风险为一般环境风险（其中有7家为加油站），环境风险较小，有2家企业为较大环境风险（其中有1家为尾矿库）。其中瓦塘镇涉及工业企业8家，涉水环境风险在较大、重大的有1家，占环境风险企业数量的百分比为12.5%。</w:t>
      </w:r>
    </w:p>
    <w:p w14:paraId="3B5F4D42">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④港口码头等</w:t>
      </w:r>
    </w:p>
    <w:p w14:paraId="1FD778F5">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兴县行政区域内无港口码头，不涉及危险化学品装卸、暂存的港口码头。行政区域内无以水路运输方式运输的危险化学品。</w:t>
      </w:r>
    </w:p>
    <w:p w14:paraId="12FC3D27">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⑤区域内尾矿库</w:t>
      </w:r>
    </w:p>
    <w:p w14:paraId="5F2ECD5B">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兴县有1家尾矿库（已备案），根据风险评估报告及《尾矿库环境风险评估技术导则（试行）》等级为较大，为山西华兴铝业有限公司赤泥堆场。</w:t>
      </w:r>
    </w:p>
    <w:p w14:paraId="3F400B06">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⑦突发环境事件发生情况</w:t>
      </w:r>
    </w:p>
    <w:p w14:paraId="18BA7ED9">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突发环境事件发生情况主要包括环境风险物质泄漏导致水体污染、自然灾害引发突发环境事故、生产安全事故诱发突发环境事故、其他企业突发环境事故链发突发环境事故，近五年未发生过水体突发环境事件。</w:t>
      </w:r>
    </w:p>
    <w:p w14:paraId="4600C537">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color w:val="auto"/>
          <w:spacing w:val="-2"/>
          <w:sz w:val="28"/>
          <w:szCs w:val="28"/>
        </w:rPr>
      </w:pPr>
      <w:r>
        <w:rPr>
          <w:rFonts w:hint="default" w:ascii="Times New Roman" w:hAnsi="Times New Roman" w:eastAsia="仿宋" w:cs="Times New Roman"/>
          <w:bCs/>
          <w:color w:val="auto"/>
          <w:kern w:val="0"/>
          <w:sz w:val="28"/>
          <w:szCs w:val="28"/>
          <w:lang w:val="en-US" w:eastAsia="zh-CN" w:bidi="ar-SA"/>
        </w:rPr>
        <w:t>水环境风险源强度指数的计算采用评分法对其进行量化，评估指标及分值见表6</w:t>
      </w:r>
      <w:r>
        <w:rPr>
          <w:rFonts w:hint="eastAsia" w:ascii="Times New Roman" w:hAnsi="Times New Roman" w:eastAsia="仿宋" w:cs="Times New Roman"/>
          <w:bCs/>
          <w:color w:val="auto"/>
          <w:kern w:val="0"/>
          <w:sz w:val="28"/>
          <w:szCs w:val="28"/>
          <w:lang w:val="en-US" w:eastAsia="zh-CN" w:bidi="ar-SA"/>
        </w:rPr>
        <w:t>.1</w:t>
      </w:r>
      <w:r>
        <w:rPr>
          <w:rFonts w:hint="default" w:ascii="Times New Roman" w:hAnsi="Times New Roman" w:eastAsia="仿宋" w:cs="Times New Roman"/>
          <w:bCs/>
          <w:color w:val="auto"/>
          <w:kern w:val="0"/>
          <w:sz w:val="28"/>
          <w:szCs w:val="28"/>
          <w:lang w:val="en-US" w:eastAsia="zh-CN" w:bidi="ar-SA"/>
        </w:rPr>
        <w:t>-3。</w:t>
      </w:r>
    </w:p>
    <w:p w14:paraId="394C73D8">
      <w:pPr>
        <w:tabs>
          <w:tab w:val="left" w:pos="180"/>
          <w:tab w:val="left" w:pos="1260"/>
        </w:tabs>
        <w:spacing w:line="360" w:lineRule="exact"/>
        <w:jc w:val="both"/>
        <w:rPr>
          <w:rFonts w:hint="default" w:ascii="Times New Roman" w:hAnsi="Times New Roman" w:eastAsia="宋体" w:cs="Times New Roman"/>
          <w:color w:val="auto"/>
          <w:sz w:val="24"/>
          <w:szCs w:val="24"/>
        </w:rPr>
        <w:sectPr>
          <w:pgSz w:w="11906" w:h="16838"/>
          <w:pgMar w:top="1440" w:right="1800" w:bottom="1440" w:left="1800" w:header="851" w:footer="850" w:gutter="0"/>
          <w:pgBorders>
            <w:top w:val="none" w:sz="0" w:space="0"/>
            <w:left w:val="none" w:sz="0" w:space="0"/>
            <w:bottom w:val="none" w:sz="0" w:space="0"/>
            <w:right w:val="none" w:sz="0" w:space="0"/>
          </w:pgBorders>
          <w:pgNumType w:fmt="numberInDash"/>
          <w:cols w:space="720" w:num="1"/>
          <w:docGrid w:type="linesAndChars" w:linePitch="579" w:charSpace="-849"/>
        </w:sectPr>
      </w:pPr>
    </w:p>
    <w:p w14:paraId="3E05BA1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cs="Times New Roman"/>
          <w:b/>
          <w:bCs/>
          <w:color w:val="auto"/>
          <w:kern w:val="0"/>
          <w:sz w:val="24"/>
          <w:lang w:val="en-US" w:eastAsia="zh-CN"/>
        </w:rPr>
        <w:t>-3</w:t>
      </w:r>
      <w:r>
        <w:rPr>
          <w:rFonts w:hint="eastAsia" w:ascii="Times New Roman" w:hAnsi="Times New Roman" w:cs="Times New Roman"/>
          <w:b/>
          <w:bCs/>
          <w:color w:val="auto"/>
          <w:kern w:val="0"/>
          <w:sz w:val="24"/>
          <w:lang w:val="en-US" w:eastAsia="zh-CN"/>
        </w:rPr>
        <w:t xml:space="preserve"> </w:t>
      </w:r>
      <w:r>
        <w:rPr>
          <w:rFonts w:hint="default" w:ascii="Times New Roman" w:hAnsi="Times New Roman" w:cs="Times New Roman"/>
          <w:b/>
          <w:bCs/>
          <w:color w:val="auto"/>
          <w:kern w:val="0"/>
          <w:sz w:val="24"/>
          <w:lang w:val="en-US" w:eastAsia="zh-CN"/>
        </w:rPr>
        <w:t xml:space="preserve"> 水环境风险源强度（S）评估表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2291"/>
        <w:gridCol w:w="1930"/>
        <w:gridCol w:w="3241"/>
        <w:gridCol w:w="3324"/>
        <w:gridCol w:w="1463"/>
        <w:gridCol w:w="1769"/>
      </w:tblGrid>
      <w:tr w14:paraId="75E3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93" w:type="pct"/>
            <w:tcBorders>
              <w:tl2br w:val="nil"/>
              <w:tr2bl w:val="nil"/>
            </w:tcBorders>
            <w:noWrap w:val="0"/>
            <w:vAlign w:val="center"/>
          </w:tcPr>
          <w:p w14:paraId="5AC4441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序号</w:t>
            </w:r>
          </w:p>
        </w:tc>
        <w:tc>
          <w:tcPr>
            <w:tcW w:w="769" w:type="pct"/>
            <w:tcBorders>
              <w:tl2br w:val="nil"/>
              <w:tr2bl w:val="nil"/>
            </w:tcBorders>
            <w:noWrap w:val="0"/>
            <w:vAlign w:val="center"/>
          </w:tcPr>
          <w:p w14:paraId="3638AE7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评估指标</w:t>
            </w:r>
          </w:p>
        </w:tc>
        <w:tc>
          <w:tcPr>
            <w:tcW w:w="648" w:type="pct"/>
            <w:tcBorders>
              <w:tl2br w:val="nil"/>
              <w:tr2bl w:val="nil"/>
            </w:tcBorders>
            <w:noWrap w:val="0"/>
            <w:vAlign w:val="center"/>
          </w:tcPr>
          <w:p w14:paraId="67B5A91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数据来源</w:t>
            </w:r>
          </w:p>
        </w:tc>
        <w:tc>
          <w:tcPr>
            <w:tcW w:w="2694" w:type="pct"/>
            <w:gridSpan w:val="3"/>
            <w:tcBorders>
              <w:tl2br w:val="nil"/>
              <w:tr2bl w:val="nil"/>
            </w:tcBorders>
            <w:noWrap w:val="0"/>
            <w:vAlign w:val="center"/>
          </w:tcPr>
          <w:p w14:paraId="78DC9CFF">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水环境风险</w:t>
            </w:r>
          </w:p>
        </w:tc>
        <w:tc>
          <w:tcPr>
            <w:tcW w:w="594" w:type="pct"/>
            <w:vMerge w:val="restart"/>
            <w:tcBorders>
              <w:tl2br w:val="nil"/>
              <w:tr2bl w:val="nil"/>
            </w:tcBorders>
            <w:noWrap w:val="0"/>
            <w:vAlign w:val="center"/>
          </w:tcPr>
          <w:p w14:paraId="764AD83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rPr>
              <w:t>瓦塘镇</w:t>
            </w:r>
          </w:p>
        </w:tc>
      </w:tr>
      <w:tr w14:paraId="2A5A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restart"/>
            <w:tcBorders>
              <w:tl2br w:val="nil"/>
              <w:tr2bl w:val="nil"/>
            </w:tcBorders>
            <w:noWrap w:val="0"/>
            <w:vAlign w:val="center"/>
          </w:tcPr>
          <w:p w14:paraId="0C9A415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1</w:t>
            </w:r>
          </w:p>
        </w:tc>
        <w:tc>
          <w:tcPr>
            <w:tcW w:w="769" w:type="pct"/>
            <w:vMerge w:val="restart"/>
            <w:tcBorders>
              <w:tl2br w:val="nil"/>
              <w:tr2bl w:val="nil"/>
            </w:tcBorders>
            <w:noWrap w:val="0"/>
            <w:vAlign w:val="center"/>
          </w:tcPr>
          <w:p w14:paraId="69E707F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单位面积环境风险企业数量</w:t>
            </w:r>
          </w:p>
        </w:tc>
        <w:tc>
          <w:tcPr>
            <w:tcW w:w="648" w:type="pct"/>
            <w:vMerge w:val="restart"/>
            <w:tcBorders>
              <w:tl2br w:val="nil"/>
              <w:tr2bl w:val="nil"/>
            </w:tcBorders>
            <w:noWrap w:val="0"/>
            <w:vAlign w:val="center"/>
          </w:tcPr>
          <w:p w14:paraId="53134B7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环保部门</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rPr>
              <w:t>企业环境风险评估报告</w:t>
            </w:r>
          </w:p>
        </w:tc>
        <w:tc>
          <w:tcPr>
            <w:tcW w:w="1088" w:type="pct"/>
            <w:tcBorders>
              <w:tl2br w:val="nil"/>
              <w:tr2bl w:val="nil"/>
            </w:tcBorders>
            <w:noWrap w:val="0"/>
            <w:vAlign w:val="center"/>
          </w:tcPr>
          <w:p w14:paraId="192DA16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指标说明</w:t>
            </w:r>
          </w:p>
        </w:tc>
        <w:tc>
          <w:tcPr>
            <w:tcW w:w="1116" w:type="pct"/>
            <w:tcBorders>
              <w:tl2br w:val="nil"/>
              <w:tr2bl w:val="nil"/>
            </w:tcBorders>
            <w:noWrap w:val="0"/>
            <w:vAlign w:val="center"/>
          </w:tcPr>
          <w:p w14:paraId="38E2BBE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情况</w:t>
            </w:r>
          </w:p>
        </w:tc>
        <w:tc>
          <w:tcPr>
            <w:tcW w:w="489" w:type="pct"/>
            <w:tcBorders>
              <w:tl2br w:val="nil"/>
              <w:tr2bl w:val="nil"/>
            </w:tcBorders>
            <w:noWrap w:val="0"/>
            <w:vAlign w:val="center"/>
          </w:tcPr>
          <w:p w14:paraId="2A79227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分</w:t>
            </w:r>
            <w:r>
              <w:rPr>
                <w:rFonts w:hint="default" w:ascii="Times New Roman" w:hAnsi="Times New Roman" w:eastAsia="仿宋" w:cs="Times New Roman"/>
                <w:color w:val="auto"/>
                <w:sz w:val="21"/>
                <w:szCs w:val="21"/>
              </w:rPr>
              <w:t>值</w:t>
            </w:r>
          </w:p>
        </w:tc>
        <w:tc>
          <w:tcPr>
            <w:tcW w:w="594" w:type="pct"/>
            <w:vMerge w:val="continue"/>
            <w:tcBorders>
              <w:tl2br w:val="nil"/>
              <w:tr2bl w:val="nil"/>
            </w:tcBorders>
            <w:noWrap w:val="0"/>
            <w:vAlign w:val="center"/>
          </w:tcPr>
          <w:p w14:paraId="52EC414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p>
        </w:tc>
      </w:tr>
      <w:tr w14:paraId="7707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vMerge w:val="continue"/>
            <w:tcBorders>
              <w:tl2br w:val="nil"/>
              <w:tr2bl w:val="nil"/>
            </w:tcBorders>
            <w:noWrap w:val="0"/>
            <w:vAlign w:val="center"/>
          </w:tcPr>
          <w:p w14:paraId="19790FC0">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35BBF411">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0E8BC608">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restart"/>
            <w:tcBorders>
              <w:tl2br w:val="nil"/>
              <w:tr2bl w:val="nil"/>
            </w:tcBorders>
            <w:noWrap w:val="0"/>
            <w:vAlign w:val="center"/>
          </w:tcPr>
          <w:p w14:paraId="534B301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w:t>
            </w:r>
            <w:r>
              <w:rPr>
                <w:rFonts w:hint="default" w:ascii="Times New Roman" w:hAnsi="Times New Roman" w:cs="Times New Roman"/>
                <w:color w:val="auto"/>
                <w:sz w:val="21"/>
                <w:szCs w:val="21"/>
                <w:lang w:val="en-US" w:eastAsia="zh-CN"/>
              </w:rPr>
              <w:t>估</w:t>
            </w:r>
            <w:r>
              <w:rPr>
                <w:rFonts w:hint="default" w:ascii="Times New Roman" w:hAnsi="Times New Roman" w:eastAsia="仿宋" w:cs="Times New Roman"/>
                <w:color w:val="auto"/>
                <w:sz w:val="21"/>
                <w:szCs w:val="21"/>
              </w:rPr>
              <w:t>区域中</w:t>
            </w:r>
            <w:r>
              <w:rPr>
                <w:rFonts w:hint="default" w:ascii="Times New Roman" w:hAnsi="Times New Roman" w:cs="Times New Roman"/>
                <w:color w:val="auto"/>
                <w:sz w:val="21"/>
                <w:szCs w:val="21"/>
                <w:lang w:val="en-US" w:eastAsia="zh-CN"/>
              </w:rPr>
              <w:t>涉</w:t>
            </w:r>
            <w:r>
              <w:rPr>
                <w:rFonts w:hint="default" w:ascii="Times New Roman" w:hAnsi="Times New Roman" w:eastAsia="仿宋" w:cs="Times New Roman"/>
                <w:color w:val="auto"/>
                <w:sz w:val="21"/>
                <w:szCs w:val="21"/>
              </w:rPr>
              <w:t>水环境风险企业数量与评估区域面积的比值。单位</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个</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rPr>
              <w:t>平方公里</w:t>
            </w:r>
          </w:p>
        </w:tc>
        <w:tc>
          <w:tcPr>
            <w:tcW w:w="1116" w:type="pct"/>
            <w:tcBorders>
              <w:tl2br w:val="nil"/>
              <w:tr2bl w:val="nil"/>
            </w:tcBorders>
            <w:noWrap w:val="0"/>
            <w:vAlign w:val="center"/>
          </w:tcPr>
          <w:p w14:paraId="35B1D88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＞0.5</w:t>
            </w:r>
          </w:p>
        </w:tc>
        <w:tc>
          <w:tcPr>
            <w:tcW w:w="489" w:type="pct"/>
            <w:tcBorders>
              <w:tl2br w:val="nil"/>
              <w:tr2bl w:val="nil"/>
            </w:tcBorders>
            <w:noWrap w:val="0"/>
            <w:vAlign w:val="center"/>
          </w:tcPr>
          <w:p w14:paraId="6B2ED3B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7</w:t>
            </w:r>
          </w:p>
        </w:tc>
        <w:tc>
          <w:tcPr>
            <w:tcW w:w="594" w:type="pct"/>
            <w:vMerge w:val="restart"/>
            <w:tcBorders>
              <w:tl2br w:val="nil"/>
              <w:tr2bl w:val="nil"/>
            </w:tcBorders>
            <w:noWrap w:val="0"/>
            <w:vAlign w:val="center"/>
          </w:tcPr>
          <w:p w14:paraId="6714099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14:paraId="2F1E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1F88A27E">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60D4BFEE">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693B61CF">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4936E00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2106EAA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(0.05-0.5]</w:t>
            </w:r>
          </w:p>
        </w:tc>
        <w:tc>
          <w:tcPr>
            <w:tcW w:w="489" w:type="pct"/>
            <w:tcBorders>
              <w:tl2br w:val="nil"/>
              <w:tr2bl w:val="nil"/>
            </w:tcBorders>
            <w:noWrap w:val="0"/>
            <w:vAlign w:val="center"/>
          </w:tcPr>
          <w:p w14:paraId="3415D7A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5</w:t>
            </w:r>
          </w:p>
        </w:tc>
        <w:tc>
          <w:tcPr>
            <w:tcW w:w="594" w:type="pct"/>
            <w:vMerge w:val="continue"/>
            <w:tcBorders>
              <w:tl2br w:val="nil"/>
              <w:tr2bl w:val="nil"/>
            </w:tcBorders>
            <w:noWrap w:val="0"/>
            <w:vAlign w:val="center"/>
          </w:tcPr>
          <w:p w14:paraId="512A73A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4C9E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1AAC312A">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323862C6">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0473D6FD">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48D3701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539FFE5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(0.005-0.05]</w:t>
            </w:r>
          </w:p>
        </w:tc>
        <w:tc>
          <w:tcPr>
            <w:tcW w:w="489" w:type="pct"/>
            <w:tcBorders>
              <w:tl2br w:val="nil"/>
              <w:tr2bl w:val="nil"/>
            </w:tcBorders>
            <w:noWrap w:val="0"/>
            <w:vAlign w:val="center"/>
          </w:tcPr>
          <w:p w14:paraId="7408DF3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594" w:type="pct"/>
            <w:vMerge w:val="continue"/>
            <w:tcBorders>
              <w:tl2br w:val="nil"/>
              <w:tr2bl w:val="nil"/>
            </w:tcBorders>
            <w:noWrap w:val="0"/>
            <w:vAlign w:val="center"/>
          </w:tcPr>
          <w:p w14:paraId="0F64029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14E7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1F43F472">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7332FDEE">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782168B0">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20A3013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0F34FF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[0-0.005]</w:t>
            </w:r>
          </w:p>
        </w:tc>
        <w:tc>
          <w:tcPr>
            <w:tcW w:w="489" w:type="pct"/>
            <w:tcBorders>
              <w:tl2br w:val="nil"/>
              <w:tr2bl w:val="nil"/>
            </w:tcBorders>
            <w:noWrap w:val="0"/>
            <w:vAlign w:val="center"/>
          </w:tcPr>
          <w:p w14:paraId="2FF9C35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w:t>
            </w:r>
          </w:p>
        </w:tc>
        <w:tc>
          <w:tcPr>
            <w:tcW w:w="594" w:type="pct"/>
            <w:vMerge w:val="continue"/>
            <w:tcBorders>
              <w:tl2br w:val="nil"/>
              <w:tr2bl w:val="nil"/>
            </w:tcBorders>
            <w:noWrap w:val="0"/>
            <w:vAlign w:val="center"/>
          </w:tcPr>
          <w:p w14:paraId="615D445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47BA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restart"/>
            <w:tcBorders>
              <w:tl2br w:val="nil"/>
              <w:tr2bl w:val="nil"/>
            </w:tcBorders>
            <w:noWrap w:val="0"/>
            <w:vAlign w:val="center"/>
          </w:tcPr>
          <w:p w14:paraId="604CFFF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2</w:t>
            </w:r>
          </w:p>
        </w:tc>
        <w:tc>
          <w:tcPr>
            <w:tcW w:w="769" w:type="pct"/>
            <w:vMerge w:val="restart"/>
            <w:tcBorders>
              <w:tl2br w:val="nil"/>
              <w:tr2bl w:val="nil"/>
            </w:tcBorders>
            <w:noWrap w:val="0"/>
            <w:vAlign w:val="center"/>
          </w:tcPr>
          <w:p w14:paraId="702922C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单位面积环境风险物质存量与临界量的比值</w:t>
            </w:r>
          </w:p>
        </w:tc>
        <w:tc>
          <w:tcPr>
            <w:tcW w:w="648" w:type="pct"/>
            <w:vMerge w:val="restart"/>
            <w:tcBorders>
              <w:tl2br w:val="nil"/>
              <w:tr2bl w:val="nil"/>
            </w:tcBorders>
            <w:noWrap w:val="0"/>
            <w:vAlign w:val="center"/>
          </w:tcPr>
          <w:p w14:paraId="038970C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环保部门，</w:t>
            </w:r>
          </w:p>
          <w:p w14:paraId="400EF1A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企业环境风险评估报告</w:t>
            </w:r>
          </w:p>
        </w:tc>
        <w:tc>
          <w:tcPr>
            <w:tcW w:w="1088" w:type="pct"/>
            <w:vMerge w:val="restart"/>
            <w:tcBorders>
              <w:tl2br w:val="nil"/>
              <w:tr2bl w:val="nil"/>
            </w:tcBorders>
            <w:noWrap w:val="0"/>
            <w:vAlign w:val="center"/>
          </w:tcPr>
          <w:p w14:paraId="4004D97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评估区成内各个涉水</w:t>
            </w:r>
            <w:r>
              <w:rPr>
                <w:rFonts w:hint="default" w:ascii="Times New Roman" w:hAnsi="Times New Roman" w:eastAsia="仿宋" w:cs="Times New Roman"/>
                <w:color w:val="auto"/>
                <w:sz w:val="21"/>
                <w:szCs w:val="21"/>
                <w:lang w:val="en-US" w:eastAsia="zh-CN"/>
              </w:rPr>
              <w:t>环境</w:t>
            </w:r>
            <w:r>
              <w:rPr>
                <w:rFonts w:hint="default" w:ascii="Times New Roman" w:hAnsi="Times New Roman" w:eastAsia="仿宋" w:cs="Times New Roman"/>
                <w:color w:val="auto"/>
                <w:sz w:val="21"/>
                <w:szCs w:val="21"/>
              </w:rPr>
              <w:t>风险企业中环境风险物质的数量与临界量的比值加和后除以评估区域面积</w:t>
            </w:r>
          </w:p>
        </w:tc>
        <w:tc>
          <w:tcPr>
            <w:tcW w:w="1116" w:type="pct"/>
            <w:tcBorders>
              <w:tl2br w:val="nil"/>
              <w:tr2bl w:val="nil"/>
            </w:tcBorders>
            <w:noWrap w:val="0"/>
            <w:vAlign w:val="center"/>
          </w:tcPr>
          <w:p w14:paraId="5C279B4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＞50</w:t>
            </w:r>
          </w:p>
        </w:tc>
        <w:tc>
          <w:tcPr>
            <w:tcW w:w="489" w:type="pct"/>
            <w:tcBorders>
              <w:tl2br w:val="nil"/>
              <w:tr2bl w:val="nil"/>
            </w:tcBorders>
            <w:noWrap w:val="0"/>
            <w:vAlign w:val="center"/>
          </w:tcPr>
          <w:p w14:paraId="42633BC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7</w:t>
            </w:r>
          </w:p>
        </w:tc>
        <w:tc>
          <w:tcPr>
            <w:tcW w:w="594" w:type="pct"/>
            <w:vMerge w:val="restart"/>
            <w:tcBorders>
              <w:tl2br w:val="nil"/>
              <w:tr2bl w:val="nil"/>
            </w:tcBorders>
            <w:noWrap w:val="0"/>
            <w:vAlign w:val="center"/>
          </w:tcPr>
          <w:p w14:paraId="01D49ED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r>
              <w:rPr>
                <w:rFonts w:hint="default" w:ascii="Times New Roman" w:hAnsi="Times New Roman" w:cs="Times New Roman"/>
                <w:color w:val="auto"/>
                <w:sz w:val="21"/>
                <w:szCs w:val="21"/>
                <w:highlight w:val="none"/>
                <w:lang w:val="en-US" w:eastAsia="zh-CN"/>
              </w:rPr>
              <w:t>3</w:t>
            </w:r>
          </w:p>
        </w:tc>
      </w:tr>
      <w:tr w14:paraId="378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93" w:type="pct"/>
            <w:vMerge w:val="continue"/>
            <w:tcBorders>
              <w:tl2br w:val="nil"/>
              <w:tr2bl w:val="nil"/>
            </w:tcBorders>
            <w:noWrap w:val="0"/>
            <w:vAlign w:val="center"/>
          </w:tcPr>
          <w:p w14:paraId="4272F1F0">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1823F0A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648" w:type="pct"/>
            <w:vMerge w:val="continue"/>
            <w:tcBorders>
              <w:tl2br w:val="nil"/>
              <w:tr2bl w:val="nil"/>
            </w:tcBorders>
            <w:noWrap w:val="0"/>
            <w:vAlign w:val="center"/>
          </w:tcPr>
          <w:p w14:paraId="20CCA1F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088" w:type="pct"/>
            <w:vMerge w:val="continue"/>
            <w:tcBorders>
              <w:tl2br w:val="nil"/>
              <w:tr2bl w:val="nil"/>
            </w:tcBorders>
            <w:noWrap w:val="0"/>
            <w:vAlign w:val="center"/>
          </w:tcPr>
          <w:p w14:paraId="64A6608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13F6DF4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（25，50]</w:t>
            </w:r>
          </w:p>
        </w:tc>
        <w:tc>
          <w:tcPr>
            <w:tcW w:w="489" w:type="pct"/>
            <w:tcBorders>
              <w:tl2br w:val="nil"/>
              <w:tr2bl w:val="nil"/>
            </w:tcBorders>
            <w:noWrap w:val="0"/>
            <w:vAlign w:val="center"/>
          </w:tcPr>
          <w:p w14:paraId="0717C62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594" w:type="pct"/>
            <w:vMerge w:val="continue"/>
            <w:tcBorders>
              <w:tl2br w:val="nil"/>
              <w:tr2bl w:val="nil"/>
            </w:tcBorders>
            <w:noWrap w:val="0"/>
            <w:vAlign w:val="center"/>
          </w:tcPr>
          <w:p w14:paraId="735C6FA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4EFC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115CFCD5">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1B5DE90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648" w:type="pct"/>
            <w:vMerge w:val="continue"/>
            <w:tcBorders>
              <w:tl2br w:val="nil"/>
              <w:tr2bl w:val="nil"/>
            </w:tcBorders>
            <w:noWrap w:val="0"/>
            <w:vAlign w:val="center"/>
          </w:tcPr>
          <w:p w14:paraId="429DFAB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088" w:type="pct"/>
            <w:vMerge w:val="continue"/>
            <w:tcBorders>
              <w:tl2br w:val="nil"/>
              <w:tr2bl w:val="nil"/>
            </w:tcBorders>
            <w:noWrap w:val="0"/>
            <w:vAlign w:val="center"/>
          </w:tcPr>
          <w:p w14:paraId="60441A4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1A0DFEA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≤25</w:t>
            </w:r>
          </w:p>
        </w:tc>
        <w:tc>
          <w:tcPr>
            <w:tcW w:w="489" w:type="pct"/>
            <w:tcBorders>
              <w:tl2br w:val="nil"/>
              <w:tr2bl w:val="nil"/>
            </w:tcBorders>
            <w:noWrap w:val="0"/>
            <w:vAlign w:val="center"/>
          </w:tcPr>
          <w:p w14:paraId="7FADD3B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w:t>
            </w:r>
          </w:p>
        </w:tc>
        <w:tc>
          <w:tcPr>
            <w:tcW w:w="594" w:type="pct"/>
            <w:vMerge w:val="continue"/>
            <w:tcBorders>
              <w:tl2br w:val="nil"/>
              <w:tr2bl w:val="nil"/>
            </w:tcBorders>
            <w:noWrap w:val="0"/>
            <w:vAlign w:val="center"/>
          </w:tcPr>
          <w:p w14:paraId="3EE4BA0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16C9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restart"/>
            <w:tcBorders>
              <w:tl2br w:val="nil"/>
              <w:tr2bl w:val="nil"/>
            </w:tcBorders>
            <w:noWrap w:val="0"/>
            <w:vAlign w:val="center"/>
          </w:tcPr>
          <w:p w14:paraId="1F0F3CD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lang w:val="en-US" w:eastAsia="zh-CN"/>
              </w:rPr>
              <w:t>3</w:t>
            </w:r>
          </w:p>
        </w:tc>
        <w:tc>
          <w:tcPr>
            <w:tcW w:w="769" w:type="pct"/>
            <w:vMerge w:val="restart"/>
            <w:tcBorders>
              <w:tl2br w:val="nil"/>
              <w:tr2bl w:val="nil"/>
            </w:tcBorders>
            <w:noWrap w:val="0"/>
            <w:vAlign w:val="center"/>
          </w:tcPr>
          <w:p w14:paraId="2A529DB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较大以上环境风险企业所占百分比</w:t>
            </w:r>
          </w:p>
        </w:tc>
        <w:tc>
          <w:tcPr>
            <w:tcW w:w="648" w:type="pct"/>
            <w:vMerge w:val="restart"/>
            <w:tcBorders>
              <w:tl2br w:val="nil"/>
              <w:tr2bl w:val="nil"/>
            </w:tcBorders>
            <w:noWrap w:val="0"/>
            <w:vAlign w:val="center"/>
          </w:tcPr>
          <w:p w14:paraId="0FC5424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环保部门，</w:t>
            </w:r>
          </w:p>
          <w:p w14:paraId="341AC5D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企业环境风险评估报告</w:t>
            </w:r>
          </w:p>
        </w:tc>
        <w:tc>
          <w:tcPr>
            <w:tcW w:w="1088" w:type="pct"/>
            <w:vMerge w:val="restart"/>
            <w:tcBorders>
              <w:tl2br w:val="nil"/>
              <w:tr2bl w:val="nil"/>
            </w:tcBorders>
            <w:noWrap w:val="0"/>
            <w:vAlign w:val="center"/>
          </w:tcPr>
          <w:p w14:paraId="41CC633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依据企业环境风险</w:t>
            </w:r>
            <w:r>
              <w:rPr>
                <w:rFonts w:hint="default" w:ascii="Times New Roman" w:hAnsi="Times New Roman" w:eastAsia="仿宋" w:cs="Times New Roman"/>
                <w:color w:val="auto"/>
                <w:sz w:val="21"/>
                <w:szCs w:val="21"/>
                <w:highlight w:val="none"/>
              </w:rPr>
              <w:t>等级</w:t>
            </w:r>
          </w:p>
          <w:p w14:paraId="3FA718D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划分相关文件。等级为较大</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重大的涉水</w:t>
            </w:r>
            <w:r>
              <w:rPr>
                <w:rFonts w:hint="default" w:ascii="Times New Roman" w:hAnsi="Times New Roman" w:eastAsia="仿宋" w:cs="Times New Roman"/>
                <w:color w:val="auto"/>
                <w:sz w:val="21"/>
                <w:szCs w:val="21"/>
                <w:highlight w:val="none"/>
                <w:lang w:val="en-US" w:eastAsia="zh-CN"/>
              </w:rPr>
              <w:t>环境风险企业</w:t>
            </w:r>
            <w:r>
              <w:rPr>
                <w:rFonts w:hint="default" w:ascii="Times New Roman" w:hAnsi="Times New Roman" w:eastAsia="仿宋" w:cs="Times New Roman"/>
                <w:color w:val="auto"/>
                <w:sz w:val="21"/>
                <w:szCs w:val="21"/>
                <w:highlight w:val="none"/>
              </w:rPr>
              <w:t>数量占评估区域所有环境风险企业数量的百分</w:t>
            </w:r>
            <w:r>
              <w:rPr>
                <w:rFonts w:hint="default" w:ascii="Times New Roman" w:hAnsi="Times New Roman" w:eastAsia="仿宋" w:cs="Times New Roman"/>
                <w:color w:val="auto"/>
                <w:sz w:val="21"/>
                <w:szCs w:val="21"/>
                <w:highlight w:val="none"/>
                <w:lang w:val="en-US" w:eastAsia="zh-CN"/>
              </w:rPr>
              <w:t>数</w:t>
            </w:r>
          </w:p>
        </w:tc>
        <w:tc>
          <w:tcPr>
            <w:tcW w:w="1116" w:type="pct"/>
            <w:tcBorders>
              <w:tl2br w:val="nil"/>
              <w:tr2bl w:val="nil"/>
            </w:tcBorders>
            <w:noWrap w:val="0"/>
            <w:vAlign w:val="center"/>
          </w:tcPr>
          <w:p w14:paraId="364DEC7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&gt;50</w:t>
            </w:r>
          </w:p>
        </w:tc>
        <w:tc>
          <w:tcPr>
            <w:tcW w:w="489" w:type="pct"/>
            <w:tcBorders>
              <w:tl2br w:val="nil"/>
              <w:tr2bl w:val="nil"/>
            </w:tcBorders>
            <w:noWrap w:val="0"/>
            <w:vAlign w:val="center"/>
          </w:tcPr>
          <w:p w14:paraId="20A7F3C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6</w:t>
            </w:r>
          </w:p>
        </w:tc>
        <w:tc>
          <w:tcPr>
            <w:tcW w:w="594" w:type="pct"/>
            <w:vMerge w:val="restart"/>
            <w:tcBorders>
              <w:tl2br w:val="nil"/>
              <w:tr2bl w:val="nil"/>
            </w:tcBorders>
            <w:noWrap w:val="0"/>
            <w:vAlign w:val="center"/>
          </w:tcPr>
          <w:p w14:paraId="12A3190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r>
              <w:rPr>
                <w:rFonts w:hint="default" w:ascii="Times New Roman" w:hAnsi="Times New Roman" w:cs="Times New Roman"/>
                <w:color w:val="auto"/>
                <w:sz w:val="21"/>
                <w:szCs w:val="21"/>
                <w:highlight w:val="none"/>
                <w:lang w:val="en-US" w:eastAsia="zh-CN"/>
              </w:rPr>
              <w:t>0</w:t>
            </w:r>
          </w:p>
        </w:tc>
      </w:tr>
      <w:tr w14:paraId="023A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366649AC">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4E44AA0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648" w:type="pct"/>
            <w:vMerge w:val="continue"/>
            <w:tcBorders>
              <w:tl2br w:val="nil"/>
              <w:tr2bl w:val="nil"/>
            </w:tcBorders>
            <w:noWrap w:val="0"/>
            <w:vAlign w:val="center"/>
          </w:tcPr>
          <w:p w14:paraId="691960E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088" w:type="pct"/>
            <w:vMerge w:val="continue"/>
            <w:tcBorders>
              <w:tl2br w:val="nil"/>
              <w:tr2bl w:val="nil"/>
            </w:tcBorders>
            <w:noWrap w:val="0"/>
            <w:vAlign w:val="center"/>
          </w:tcPr>
          <w:p w14:paraId="1A2F3BE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116" w:type="pct"/>
            <w:tcBorders>
              <w:tl2br w:val="nil"/>
              <w:tr2bl w:val="nil"/>
            </w:tcBorders>
            <w:noWrap w:val="0"/>
            <w:vAlign w:val="center"/>
          </w:tcPr>
          <w:p w14:paraId="4325229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（20-50]</w:t>
            </w:r>
          </w:p>
        </w:tc>
        <w:tc>
          <w:tcPr>
            <w:tcW w:w="489" w:type="pct"/>
            <w:tcBorders>
              <w:tl2br w:val="nil"/>
              <w:tr2bl w:val="nil"/>
            </w:tcBorders>
            <w:noWrap w:val="0"/>
            <w:vAlign w:val="center"/>
          </w:tcPr>
          <w:p w14:paraId="764676C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4</w:t>
            </w:r>
          </w:p>
        </w:tc>
        <w:tc>
          <w:tcPr>
            <w:tcW w:w="594" w:type="pct"/>
            <w:vMerge w:val="continue"/>
            <w:tcBorders>
              <w:tl2br w:val="nil"/>
              <w:tr2bl w:val="nil"/>
            </w:tcBorders>
            <w:noWrap w:val="0"/>
            <w:vAlign w:val="center"/>
          </w:tcPr>
          <w:p w14:paraId="523D5DB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2565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93" w:type="pct"/>
            <w:vMerge w:val="continue"/>
            <w:tcBorders>
              <w:tl2br w:val="nil"/>
              <w:tr2bl w:val="nil"/>
            </w:tcBorders>
            <w:noWrap w:val="0"/>
            <w:vAlign w:val="center"/>
          </w:tcPr>
          <w:p w14:paraId="6BC7C9A4">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4D2BB24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648" w:type="pct"/>
            <w:vMerge w:val="continue"/>
            <w:tcBorders>
              <w:tl2br w:val="nil"/>
              <w:tr2bl w:val="nil"/>
            </w:tcBorders>
            <w:noWrap w:val="0"/>
            <w:vAlign w:val="center"/>
          </w:tcPr>
          <w:p w14:paraId="5B3FF17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088" w:type="pct"/>
            <w:vMerge w:val="continue"/>
            <w:tcBorders>
              <w:tl2br w:val="nil"/>
              <w:tr2bl w:val="nil"/>
            </w:tcBorders>
            <w:noWrap w:val="0"/>
            <w:vAlign w:val="center"/>
          </w:tcPr>
          <w:p w14:paraId="107A4DD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116" w:type="pct"/>
            <w:tcBorders>
              <w:tl2br w:val="nil"/>
              <w:tr2bl w:val="nil"/>
            </w:tcBorders>
            <w:noWrap w:val="0"/>
            <w:vAlign w:val="center"/>
          </w:tcPr>
          <w:p w14:paraId="069964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（10-20]</w:t>
            </w:r>
          </w:p>
        </w:tc>
        <w:tc>
          <w:tcPr>
            <w:tcW w:w="489" w:type="pct"/>
            <w:tcBorders>
              <w:tl2br w:val="nil"/>
              <w:tr2bl w:val="nil"/>
            </w:tcBorders>
            <w:noWrap w:val="0"/>
            <w:vAlign w:val="center"/>
          </w:tcPr>
          <w:p w14:paraId="7BDACB4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2</w:t>
            </w:r>
          </w:p>
        </w:tc>
        <w:tc>
          <w:tcPr>
            <w:tcW w:w="594" w:type="pct"/>
            <w:vMerge w:val="continue"/>
            <w:tcBorders>
              <w:tl2br w:val="nil"/>
              <w:tr2bl w:val="nil"/>
            </w:tcBorders>
            <w:noWrap w:val="0"/>
            <w:vAlign w:val="center"/>
          </w:tcPr>
          <w:p w14:paraId="25EA67E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0E60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93" w:type="pct"/>
            <w:vMerge w:val="continue"/>
            <w:tcBorders>
              <w:tl2br w:val="nil"/>
              <w:tr2bl w:val="nil"/>
            </w:tcBorders>
            <w:noWrap w:val="0"/>
            <w:vAlign w:val="center"/>
          </w:tcPr>
          <w:p w14:paraId="20F0CF96">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23629C4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648" w:type="pct"/>
            <w:vMerge w:val="continue"/>
            <w:tcBorders>
              <w:tl2br w:val="nil"/>
              <w:tr2bl w:val="nil"/>
            </w:tcBorders>
            <w:noWrap w:val="0"/>
            <w:vAlign w:val="center"/>
          </w:tcPr>
          <w:p w14:paraId="1373A33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088" w:type="pct"/>
            <w:vMerge w:val="continue"/>
            <w:tcBorders>
              <w:tl2br w:val="nil"/>
              <w:tr2bl w:val="nil"/>
            </w:tcBorders>
            <w:noWrap w:val="0"/>
            <w:vAlign w:val="center"/>
          </w:tcPr>
          <w:p w14:paraId="0DCD15F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116" w:type="pct"/>
            <w:tcBorders>
              <w:tl2br w:val="nil"/>
              <w:tr2bl w:val="nil"/>
            </w:tcBorders>
            <w:noWrap w:val="0"/>
            <w:vAlign w:val="center"/>
          </w:tcPr>
          <w:p w14:paraId="1228E63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≤10</w:t>
            </w:r>
          </w:p>
        </w:tc>
        <w:tc>
          <w:tcPr>
            <w:tcW w:w="489" w:type="pct"/>
            <w:tcBorders>
              <w:tl2br w:val="nil"/>
              <w:tr2bl w:val="nil"/>
            </w:tcBorders>
            <w:noWrap w:val="0"/>
            <w:vAlign w:val="center"/>
          </w:tcPr>
          <w:p w14:paraId="39CF12C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0</w:t>
            </w:r>
          </w:p>
        </w:tc>
        <w:tc>
          <w:tcPr>
            <w:tcW w:w="594" w:type="pct"/>
            <w:vMerge w:val="continue"/>
            <w:tcBorders>
              <w:tl2br w:val="nil"/>
              <w:tr2bl w:val="nil"/>
            </w:tcBorders>
            <w:noWrap w:val="0"/>
            <w:vAlign w:val="center"/>
          </w:tcPr>
          <w:p w14:paraId="37816A8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3382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93" w:type="pct"/>
            <w:vMerge w:val="restart"/>
            <w:tcBorders>
              <w:tl2br w:val="nil"/>
              <w:tr2bl w:val="nil"/>
            </w:tcBorders>
            <w:noWrap w:val="0"/>
            <w:vAlign w:val="center"/>
          </w:tcPr>
          <w:p w14:paraId="2DAFDDB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lang w:val="en-US" w:eastAsia="zh-CN"/>
              </w:rPr>
              <w:t>4</w:t>
            </w:r>
          </w:p>
        </w:tc>
        <w:tc>
          <w:tcPr>
            <w:tcW w:w="769" w:type="pct"/>
            <w:vMerge w:val="restart"/>
            <w:tcBorders>
              <w:tl2br w:val="nil"/>
              <w:tr2bl w:val="nil"/>
            </w:tcBorders>
            <w:noWrap w:val="0"/>
            <w:vAlign w:val="center"/>
          </w:tcPr>
          <w:p w14:paraId="3949627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道路年运输危险化学品数量</w:t>
            </w:r>
          </w:p>
        </w:tc>
        <w:tc>
          <w:tcPr>
            <w:tcW w:w="648" w:type="pct"/>
            <w:vMerge w:val="restart"/>
            <w:tcBorders>
              <w:tl2br w:val="nil"/>
              <w:tr2bl w:val="nil"/>
            </w:tcBorders>
            <w:noWrap w:val="0"/>
            <w:vAlign w:val="center"/>
          </w:tcPr>
          <w:p w14:paraId="4E3FC4E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交通部</w:t>
            </w:r>
            <w:r>
              <w:rPr>
                <w:rFonts w:hint="default" w:ascii="Times New Roman" w:hAnsi="Times New Roman" w:eastAsia="仿宋" w:cs="Times New Roman"/>
                <w:color w:val="auto"/>
                <w:sz w:val="21"/>
                <w:szCs w:val="21"/>
              </w:rPr>
              <w:t>门</w:t>
            </w:r>
          </w:p>
        </w:tc>
        <w:tc>
          <w:tcPr>
            <w:tcW w:w="1088" w:type="pct"/>
            <w:vMerge w:val="restart"/>
            <w:tcBorders>
              <w:tl2br w:val="nil"/>
              <w:tr2bl w:val="nil"/>
            </w:tcBorders>
            <w:noWrap w:val="0"/>
            <w:vAlign w:val="center"/>
          </w:tcPr>
          <w:p w14:paraId="0F2D0D7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评估区域内每年以道路运输方式运输的危险化学品</w:t>
            </w:r>
            <w:r>
              <w:rPr>
                <w:rFonts w:hint="default" w:ascii="Times New Roman" w:hAnsi="Times New Roman" w:cs="Times New Roman"/>
                <w:color w:val="auto"/>
                <w:sz w:val="21"/>
                <w:szCs w:val="21"/>
                <w:lang w:val="en-US" w:eastAsia="zh-CN"/>
              </w:rPr>
              <w:t>数</w:t>
            </w:r>
            <w:r>
              <w:rPr>
                <w:rFonts w:hint="default" w:ascii="Times New Roman" w:hAnsi="Times New Roman" w:eastAsia="仿宋" w:cs="Times New Roman"/>
                <w:color w:val="auto"/>
                <w:sz w:val="21"/>
                <w:szCs w:val="21"/>
              </w:rPr>
              <w:t>量</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涉水</w:t>
            </w:r>
            <w:r>
              <w:rPr>
                <w:rFonts w:hint="default" w:ascii="Times New Roman" w:hAnsi="Times New Roman" w:cs="Times New Roman"/>
                <w:color w:val="auto"/>
                <w:sz w:val="21"/>
                <w:szCs w:val="21"/>
                <w:lang w:eastAsia="zh-CN"/>
              </w:rPr>
              <w:t>）</w:t>
            </w:r>
          </w:p>
          <w:p w14:paraId="21C104F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万</w:t>
            </w:r>
            <w:r>
              <w:rPr>
                <w:rFonts w:hint="default" w:ascii="Times New Roman" w:hAnsi="Times New Roman" w:eastAsia="仿宋" w:cs="Times New Roman"/>
                <w:color w:val="auto"/>
                <w:sz w:val="21"/>
                <w:szCs w:val="21"/>
              </w:rPr>
              <w:t>吨</w:t>
            </w:r>
          </w:p>
        </w:tc>
        <w:tc>
          <w:tcPr>
            <w:tcW w:w="1116" w:type="pct"/>
            <w:tcBorders>
              <w:tl2br w:val="nil"/>
              <w:tr2bl w:val="nil"/>
            </w:tcBorders>
            <w:noWrap w:val="0"/>
            <w:vAlign w:val="center"/>
          </w:tcPr>
          <w:p w14:paraId="007A7F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30</w:t>
            </w:r>
            <w:r>
              <w:rPr>
                <w:rFonts w:hint="default" w:ascii="Times New Roman" w:hAnsi="Times New Roman" w:eastAsia="仿宋" w:cs="Times New Roman"/>
                <w:color w:val="auto"/>
                <w:sz w:val="21"/>
                <w:szCs w:val="21"/>
              </w:rPr>
              <w:t>0</w:t>
            </w:r>
          </w:p>
        </w:tc>
        <w:tc>
          <w:tcPr>
            <w:tcW w:w="489" w:type="pct"/>
            <w:tcBorders>
              <w:tl2br w:val="nil"/>
              <w:tr2bl w:val="nil"/>
            </w:tcBorders>
            <w:noWrap w:val="0"/>
            <w:vAlign w:val="center"/>
          </w:tcPr>
          <w:p w14:paraId="4EE84DD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r>
              <w:rPr>
                <w:rFonts w:hint="default" w:ascii="Times New Roman" w:hAnsi="Times New Roman" w:eastAsia="仿宋" w:cs="Times New Roman"/>
                <w:color w:val="auto"/>
                <w:sz w:val="21"/>
                <w:szCs w:val="21"/>
              </w:rPr>
              <w:t>5</w:t>
            </w:r>
          </w:p>
        </w:tc>
        <w:tc>
          <w:tcPr>
            <w:tcW w:w="594" w:type="pct"/>
            <w:vMerge w:val="restart"/>
            <w:tcBorders>
              <w:tl2br w:val="nil"/>
              <w:tr2bl w:val="nil"/>
            </w:tcBorders>
            <w:noWrap w:val="0"/>
            <w:vAlign w:val="center"/>
          </w:tcPr>
          <w:p w14:paraId="140354A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r>
              <w:rPr>
                <w:rFonts w:hint="default" w:ascii="Times New Roman" w:hAnsi="Times New Roman" w:cs="Times New Roman"/>
                <w:color w:val="auto"/>
                <w:sz w:val="21"/>
                <w:szCs w:val="21"/>
                <w:highlight w:val="none"/>
                <w:lang w:val="en-US" w:eastAsia="zh-CN"/>
              </w:rPr>
              <w:t>0</w:t>
            </w:r>
          </w:p>
        </w:tc>
      </w:tr>
      <w:tr w14:paraId="66FF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93" w:type="pct"/>
            <w:vMerge w:val="continue"/>
            <w:tcBorders>
              <w:tl2br w:val="nil"/>
              <w:tr2bl w:val="nil"/>
            </w:tcBorders>
            <w:noWrap w:val="0"/>
            <w:vAlign w:val="center"/>
          </w:tcPr>
          <w:p w14:paraId="76087CE6">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4B0038A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648" w:type="pct"/>
            <w:vMerge w:val="continue"/>
            <w:tcBorders>
              <w:tl2br w:val="nil"/>
              <w:tr2bl w:val="nil"/>
            </w:tcBorders>
            <w:noWrap w:val="0"/>
            <w:vAlign w:val="center"/>
          </w:tcPr>
          <w:p w14:paraId="39BC7F1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088" w:type="pct"/>
            <w:vMerge w:val="continue"/>
            <w:tcBorders>
              <w:tl2br w:val="nil"/>
              <w:tr2bl w:val="nil"/>
            </w:tcBorders>
            <w:noWrap w:val="0"/>
            <w:vAlign w:val="center"/>
          </w:tcPr>
          <w:p w14:paraId="46BDFB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6B689F4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300</w:t>
            </w:r>
            <w:r>
              <w:rPr>
                <w:rFonts w:hint="default" w:ascii="Times New Roman" w:hAnsi="Times New Roman" w:eastAsia="仿宋" w:cs="Times New Roman"/>
                <w:color w:val="auto"/>
                <w:sz w:val="21"/>
                <w:szCs w:val="21"/>
              </w:rPr>
              <w:t>]</w:t>
            </w:r>
          </w:p>
        </w:tc>
        <w:tc>
          <w:tcPr>
            <w:tcW w:w="489" w:type="pct"/>
            <w:tcBorders>
              <w:tl2br w:val="nil"/>
              <w:tr2bl w:val="nil"/>
            </w:tcBorders>
            <w:noWrap w:val="0"/>
            <w:vAlign w:val="center"/>
          </w:tcPr>
          <w:p w14:paraId="18F19AC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9</w:t>
            </w:r>
          </w:p>
        </w:tc>
        <w:tc>
          <w:tcPr>
            <w:tcW w:w="594" w:type="pct"/>
            <w:vMerge w:val="continue"/>
            <w:tcBorders>
              <w:tl2br w:val="nil"/>
              <w:tr2bl w:val="nil"/>
            </w:tcBorders>
            <w:noWrap w:val="0"/>
            <w:vAlign w:val="center"/>
          </w:tcPr>
          <w:p w14:paraId="1A5FA0E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2A27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93" w:type="pct"/>
            <w:vMerge w:val="continue"/>
            <w:tcBorders>
              <w:tl2br w:val="nil"/>
              <w:tr2bl w:val="nil"/>
            </w:tcBorders>
            <w:noWrap w:val="0"/>
            <w:vAlign w:val="center"/>
          </w:tcPr>
          <w:p w14:paraId="2D348A03">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5B53092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648" w:type="pct"/>
            <w:vMerge w:val="continue"/>
            <w:tcBorders>
              <w:tl2br w:val="nil"/>
              <w:tr2bl w:val="nil"/>
            </w:tcBorders>
            <w:noWrap w:val="0"/>
            <w:vAlign w:val="center"/>
          </w:tcPr>
          <w:p w14:paraId="3736D24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088" w:type="pct"/>
            <w:vMerge w:val="continue"/>
            <w:tcBorders>
              <w:tl2br w:val="nil"/>
              <w:tr2bl w:val="nil"/>
            </w:tcBorders>
            <w:noWrap w:val="0"/>
            <w:vAlign w:val="center"/>
          </w:tcPr>
          <w:p w14:paraId="2839215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3548C87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30</w:t>
            </w:r>
            <w:r>
              <w:rPr>
                <w:rFonts w:hint="default" w:ascii="Times New Roman" w:hAnsi="Times New Roman" w:eastAsia="仿宋" w:cs="Times New Roman"/>
                <w:color w:val="auto"/>
                <w:sz w:val="21"/>
                <w:szCs w:val="21"/>
              </w:rPr>
              <w:t>]</w:t>
            </w:r>
          </w:p>
        </w:tc>
        <w:tc>
          <w:tcPr>
            <w:tcW w:w="489" w:type="pct"/>
            <w:tcBorders>
              <w:tl2br w:val="nil"/>
              <w:tr2bl w:val="nil"/>
            </w:tcBorders>
            <w:noWrap w:val="0"/>
            <w:vAlign w:val="center"/>
          </w:tcPr>
          <w:p w14:paraId="2977955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594" w:type="pct"/>
            <w:vMerge w:val="continue"/>
            <w:tcBorders>
              <w:tl2br w:val="nil"/>
              <w:tr2bl w:val="nil"/>
            </w:tcBorders>
            <w:noWrap w:val="0"/>
            <w:vAlign w:val="center"/>
          </w:tcPr>
          <w:p w14:paraId="00C5AE4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4D5A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93" w:type="pct"/>
            <w:vMerge w:val="continue"/>
            <w:tcBorders>
              <w:tl2br w:val="nil"/>
              <w:tr2bl w:val="nil"/>
            </w:tcBorders>
            <w:noWrap w:val="0"/>
            <w:vAlign w:val="center"/>
          </w:tcPr>
          <w:p w14:paraId="5423F839">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592CC2D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648" w:type="pct"/>
            <w:vMerge w:val="continue"/>
            <w:tcBorders>
              <w:tl2br w:val="nil"/>
              <w:tr2bl w:val="nil"/>
            </w:tcBorders>
            <w:noWrap w:val="0"/>
            <w:vAlign w:val="center"/>
          </w:tcPr>
          <w:p w14:paraId="69E0EEE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088" w:type="pct"/>
            <w:vMerge w:val="continue"/>
            <w:tcBorders>
              <w:tl2br w:val="nil"/>
              <w:tr2bl w:val="nil"/>
            </w:tcBorders>
            <w:noWrap w:val="0"/>
            <w:vAlign w:val="center"/>
          </w:tcPr>
          <w:p w14:paraId="7691210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241B7B5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w:t>
            </w:r>
          </w:p>
        </w:tc>
        <w:tc>
          <w:tcPr>
            <w:tcW w:w="489" w:type="pct"/>
            <w:tcBorders>
              <w:tl2br w:val="nil"/>
              <w:tr2bl w:val="nil"/>
            </w:tcBorders>
            <w:noWrap w:val="0"/>
            <w:vAlign w:val="center"/>
          </w:tcPr>
          <w:p w14:paraId="633FFF6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w:t>
            </w:r>
          </w:p>
        </w:tc>
        <w:tc>
          <w:tcPr>
            <w:tcW w:w="594" w:type="pct"/>
            <w:vMerge w:val="continue"/>
            <w:tcBorders>
              <w:tl2br w:val="nil"/>
              <w:tr2bl w:val="nil"/>
            </w:tcBorders>
            <w:noWrap w:val="0"/>
            <w:vAlign w:val="center"/>
          </w:tcPr>
          <w:p w14:paraId="746E501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6EE8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93" w:type="pct"/>
            <w:vMerge w:val="restart"/>
            <w:tcBorders>
              <w:tl2br w:val="nil"/>
              <w:tr2bl w:val="nil"/>
            </w:tcBorders>
            <w:noWrap w:val="0"/>
            <w:vAlign w:val="center"/>
          </w:tcPr>
          <w:p w14:paraId="5CE7972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lang w:val="en-US" w:eastAsia="zh-CN"/>
              </w:rPr>
              <w:t>5</w:t>
            </w:r>
          </w:p>
        </w:tc>
        <w:tc>
          <w:tcPr>
            <w:tcW w:w="769" w:type="pct"/>
            <w:vMerge w:val="restart"/>
            <w:tcBorders>
              <w:tl2br w:val="nil"/>
              <w:tr2bl w:val="nil"/>
            </w:tcBorders>
            <w:noWrap w:val="0"/>
            <w:vAlign w:val="center"/>
          </w:tcPr>
          <w:p w14:paraId="543C2AE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环境风险等级为较大及以上的尾矿库数量</w:t>
            </w:r>
          </w:p>
        </w:tc>
        <w:tc>
          <w:tcPr>
            <w:tcW w:w="648" w:type="pct"/>
            <w:vMerge w:val="restart"/>
            <w:tcBorders>
              <w:tl2br w:val="nil"/>
              <w:tr2bl w:val="nil"/>
            </w:tcBorders>
            <w:noWrap w:val="0"/>
            <w:vAlign w:val="center"/>
          </w:tcPr>
          <w:p w14:paraId="771477A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环保部门</w:t>
            </w:r>
          </w:p>
        </w:tc>
        <w:tc>
          <w:tcPr>
            <w:tcW w:w="1088" w:type="pct"/>
            <w:vMerge w:val="restart"/>
            <w:tcBorders>
              <w:tl2br w:val="nil"/>
              <w:tr2bl w:val="nil"/>
            </w:tcBorders>
            <w:noWrap w:val="0"/>
            <w:vAlign w:val="center"/>
          </w:tcPr>
          <w:p w14:paraId="6441EA3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lang w:val="en-US" w:eastAsia="zh-CN"/>
              </w:rPr>
              <w:t>依据《尾矿库</w:t>
            </w:r>
            <w:r>
              <w:rPr>
                <w:rFonts w:hint="default" w:ascii="Times New Roman" w:hAnsi="Times New Roman" w:eastAsia="仿宋" w:cs="Times New Roman"/>
                <w:color w:val="auto"/>
                <w:sz w:val="21"/>
                <w:szCs w:val="21"/>
              </w:rPr>
              <w:t>环境风险</w:t>
            </w:r>
          </w:p>
          <w:p w14:paraId="3909A4E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评估技术导则《试行》</w:t>
            </w:r>
          </w:p>
          <w:p w14:paraId="29A95C2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等级为较大</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重大的</w:t>
            </w:r>
          </w:p>
          <w:p w14:paraId="111C391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尾矿库数量《涉水）</w:t>
            </w:r>
          </w:p>
          <w:p w14:paraId="6CD3638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座</w:t>
            </w:r>
          </w:p>
        </w:tc>
        <w:tc>
          <w:tcPr>
            <w:tcW w:w="1116" w:type="pct"/>
            <w:tcBorders>
              <w:tl2br w:val="nil"/>
              <w:tr2bl w:val="nil"/>
            </w:tcBorders>
            <w:noWrap w:val="0"/>
            <w:vAlign w:val="center"/>
          </w:tcPr>
          <w:p w14:paraId="587ED57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489" w:type="pct"/>
            <w:tcBorders>
              <w:tl2br w:val="nil"/>
              <w:tr2bl w:val="nil"/>
            </w:tcBorders>
            <w:noWrap w:val="0"/>
            <w:vAlign w:val="center"/>
          </w:tcPr>
          <w:p w14:paraId="2752B3F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5</w:t>
            </w:r>
          </w:p>
        </w:tc>
        <w:tc>
          <w:tcPr>
            <w:tcW w:w="594" w:type="pct"/>
            <w:vMerge w:val="restart"/>
            <w:tcBorders>
              <w:tl2br w:val="nil"/>
              <w:tr2bl w:val="nil"/>
            </w:tcBorders>
            <w:noWrap w:val="0"/>
            <w:vAlign w:val="center"/>
          </w:tcPr>
          <w:p w14:paraId="1107C8A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1865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7EFF5C95">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24B71A55">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1A509BC6">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063A479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1C15113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w:t>
            </w:r>
          </w:p>
        </w:tc>
        <w:tc>
          <w:tcPr>
            <w:tcW w:w="489" w:type="pct"/>
            <w:tcBorders>
              <w:tl2br w:val="nil"/>
              <w:tr2bl w:val="nil"/>
            </w:tcBorders>
            <w:noWrap w:val="0"/>
            <w:vAlign w:val="center"/>
          </w:tcPr>
          <w:p w14:paraId="6952F6F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594" w:type="pct"/>
            <w:vMerge w:val="continue"/>
            <w:tcBorders>
              <w:tl2br w:val="nil"/>
              <w:tr2bl w:val="nil"/>
            </w:tcBorders>
            <w:noWrap w:val="0"/>
            <w:vAlign w:val="center"/>
          </w:tcPr>
          <w:p w14:paraId="5EE8E8F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24FB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4C05A6AC">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0A0AF72E">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6D2CFB7D">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758FB4C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50D4A06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w:t>
            </w:r>
          </w:p>
        </w:tc>
        <w:tc>
          <w:tcPr>
            <w:tcW w:w="489" w:type="pct"/>
            <w:tcBorders>
              <w:tl2br w:val="nil"/>
              <w:tr2bl w:val="nil"/>
            </w:tcBorders>
            <w:noWrap w:val="0"/>
            <w:vAlign w:val="center"/>
          </w:tcPr>
          <w:p w14:paraId="5F4CBD0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w:t>
            </w:r>
          </w:p>
        </w:tc>
        <w:tc>
          <w:tcPr>
            <w:tcW w:w="594" w:type="pct"/>
            <w:vMerge w:val="continue"/>
            <w:tcBorders>
              <w:tl2br w:val="nil"/>
              <w:tr2bl w:val="nil"/>
            </w:tcBorders>
            <w:noWrap w:val="0"/>
            <w:vAlign w:val="center"/>
          </w:tcPr>
          <w:p w14:paraId="4622841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19F2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93" w:type="pct"/>
            <w:vMerge w:val="continue"/>
            <w:tcBorders>
              <w:tl2br w:val="nil"/>
              <w:tr2bl w:val="nil"/>
            </w:tcBorders>
            <w:noWrap w:val="0"/>
            <w:vAlign w:val="center"/>
          </w:tcPr>
          <w:p w14:paraId="73B6BB5C">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30FD13E8">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74F6C99C">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5F07A51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6FEE79C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无</w:t>
            </w:r>
          </w:p>
        </w:tc>
        <w:tc>
          <w:tcPr>
            <w:tcW w:w="489" w:type="pct"/>
            <w:tcBorders>
              <w:tl2br w:val="nil"/>
              <w:tr2bl w:val="nil"/>
            </w:tcBorders>
            <w:noWrap w:val="0"/>
            <w:vAlign w:val="center"/>
          </w:tcPr>
          <w:p w14:paraId="39EE23F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w:t>
            </w:r>
          </w:p>
        </w:tc>
        <w:tc>
          <w:tcPr>
            <w:tcW w:w="594" w:type="pct"/>
            <w:vMerge w:val="continue"/>
            <w:tcBorders>
              <w:tl2br w:val="nil"/>
              <w:tr2bl w:val="nil"/>
            </w:tcBorders>
            <w:noWrap w:val="0"/>
            <w:vAlign w:val="center"/>
          </w:tcPr>
          <w:p w14:paraId="4F16011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60D3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restart"/>
            <w:tcBorders>
              <w:tl2br w:val="nil"/>
              <w:tr2bl w:val="nil"/>
            </w:tcBorders>
            <w:noWrap w:val="0"/>
            <w:vAlign w:val="center"/>
          </w:tcPr>
          <w:p w14:paraId="2D49E69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lang w:val="en-US" w:eastAsia="zh-CN"/>
              </w:rPr>
              <w:t>6</w:t>
            </w:r>
          </w:p>
        </w:tc>
        <w:tc>
          <w:tcPr>
            <w:tcW w:w="769" w:type="pct"/>
            <w:vMerge w:val="restart"/>
            <w:tcBorders>
              <w:tl2br w:val="nil"/>
              <w:tr2bl w:val="nil"/>
            </w:tcBorders>
            <w:noWrap w:val="0"/>
            <w:vAlign w:val="center"/>
          </w:tcPr>
          <w:p w14:paraId="72319F8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近五年突发环境事件发生数量及影响</w:t>
            </w:r>
          </w:p>
        </w:tc>
        <w:tc>
          <w:tcPr>
            <w:tcW w:w="648" w:type="pct"/>
            <w:vMerge w:val="restart"/>
            <w:tcBorders>
              <w:tl2br w:val="nil"/>
              <w:tr2bl w:val="nil"/>
            </w:tcBorders>
            <w:noWrap w:val="0"/>
            <w:vAlign w:val="center"/>
          </w:tcPr>
          <w:p w14:paraId="77AF63C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环保部门</w:t>
            </w:r>
          </w:p>
        </w:tc>
        <w:tc>
          <w:tcPr>
            <w:tcW w:w="1088" w:type="pct"/>
            <w:vMerge w:val="restart"/>
            <w:tcBorders>
              <w:tl2br w:val="nil"/>
              <w:tr2bl w:val="nil"/>
            </w:tcBorders>
            <w:noWrap w:val="0"/>
            <w:vAlign w:val="center"/>
          </w:tcPr>
          <w:p w14:paraId="2E25F9E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参照</w:t>
            </w:r>
            <w:r>
              <w:rPr>
                <w:rFonts w:hint="default" w:ascii="Times New Roman" w:hAnsi="Times New Roman" w:eastAsia="仿宋" w:cs="Times New Roman"/>
                <w:color w:val="auto"/>
                <w:sz w:val="21"/>
                <w:szCs w:val="21"/>
              </w:rPr>
              <w:t>《国家</w:t>
            </w:r>
            <w:r>
              <w:rPr>
                <w:rFonts w:hint="default" w:ascii="Times New Roman" w:hAnsi="Times New Roman" w:cs="Times New Roman"/>
                <w:color w:val="auto"/>
                <w:sz w:val="21"/>
                <w:szCs w:val="21"/>
                <w:lang w:val="en-US" w:eastAsia="zh-CN"/>
              </w:rPr>
              <w:t>突发环境事件</w:t>
            </w:r>
            <w:r>
              <w:rPr>
                <w:rFonts w:hint="default" w:ascii="Times New Roman" w:hAnsi="Times New Roman" w:eastAsia="仿宋" w:cs="Times New Roman"/>
                <w:color w:val="auto"/>
                <w:sz w:val="21"/>
                <w:szCs w:val="21"/>
              </w:rPr>
              <w:t>应急预案》评估区域内近五年突发水环境事件发生</w:t>
            </w:r>
            <w:r>
              <w:rPr>
                <w:rFonts w:hint="default" w:ascii="Times New Roman" w:hAnsi="Times New Roman" w:cs="Times New Roman"/>
                <w:color w:val="auto"/>
                <w:sz w:val="21"/>
                <w:szCs w:val="21"/>
                <w:lang w:val="en-US" w:eastAsia="zh-CN"/>
              </w:rPr>
              <w:t>数</w:t>
            </w:r>
            <w:r>
              <w:rPr>
                <w:rFonts w:hint="default" w:ascii="Times New Roman" w:hAnsi="Times New Roman" w:eastAsia="仿宋" w:cs="Times New Roman"/>
                <w:color w:val="auto"/>
                <w:sz w:val="21"/>
                <w:szCs w:val="21"/>
              </w:rPr>
              <w:t>量及影</w:t>
            </w:r>
            <w:r>
              <w:rPr>
                <w:rFonts w:hint="default" w:ascii="Times New Roman" w:hAnsi="Times New Roman" w:cs="Times New Roman"/>
                <w:color w:val="auto"/>
                <w:sz w:val="21"/>
                <w:szCs w:val="21"/>
                <w:lang w:val="en-US" w:eastAsia="zh-CN"/>
              </w:rPr>
              <w:t>响</w:t>
            </w:r>
          </w:p>
          <w:p w14:paraId="6340008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6B97119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突发水环境事件数量≥1且较大及以上等级的突发水环境事件发生数量≥1</w:t>
            </w:r>
          </w:p>
        </w:tc>
        <w:tc>
          <w:tcPr>
            <w:tcW w:w="489" w:type="pct"/>
            <w:tcBorders>
              <w:tl2br w:val="nil"/>
              <w:tr2bl w:val="nil"/>
            </w:tcBorders>
            <w:noWrap w:val="0"/>
            <w:vAlign w:val="center"/>
          </w:tcPr>
          <w:p w14:paraId="2D7DE87D">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outlineLvl w:val="9"/>
              <w:rPr>
                <w:rFonts w:hint="default" w:ascii="Times New Roman" w:hAnsi="Times New Roman" w:eastAsia="仿宋" w:cs="Times New Roman"/>
                <w:color w:val="auto"/>
                <w:sz w:val="21"/>
                <w:szCs w:val="21"/>
              </w:rPr>
            </w:pPr>
          </w:p>
          <w:p w14:paraId="01913E6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20</w:t>
            </w:r>
          </w:p>
        </w:tc>
        <w:tc>
          <w:tcPr>
            <w:tcW w:w="594" w:type="pct"/>
            <w:vMerge w:val="restart"/>
            <w:tcBorders>
              <w:tl2br w:val="nil"/>
              <w:tr2bl w:val="nil"/>
            </w:tcBorders>
            <w:noWrap w:val="0"/>
            <w:vAlign w:val="center"/>
          </w:tcPr>
          <w:p w14:paraId="22B4BE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r>
      <w:tr w14:paraId="5981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0D2FE099">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5C8B357B">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7CE12521">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55DFD53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4BBFD8A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突发水环境事件数量≥1，无较大及以上等级的突发水环 境事件</w:t>
            </w:r>
          </w:p>
        </w:tc>
        <w:tc>
          <w:tcPr>
            <w:tcW w:w="489" w:type="pct"/>
            <w:tcBorders>
              <w:tl2br w:val="nil"/>
              <w:tr2bl w:val="nil"/>
            </w:tcBorders>
            <w:noWrap w:val="0"/>
            <w:vAlign w:val="center"/>
          </w:tcPr>
          <w:p w14:paraId="06E7156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10</w:t>
            </w:r>
          </w:p>
        </w:tc>
        <w:tc>
          <w:tcPr>
            <w:tcW w:w="594" w:type="pct"/>
            <w:vMerge w:val="continue"/>
            <w:tcBorders>
              <w:tl2br w:val="nil"/>
              <w:tr2bl w:val="nil"/>
            </w:tcBorders>
            <w:noWrap w:val="0"/>
            <w:vAlign w:val="center"/>
          </w:tcPr>
          <w:p w14:paraId="61CE94C4">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r>
      <w:tr w14:paraId="5429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315D977A">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5A58DE76">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65B2A8F4">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4357EDE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2FAC3E5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无突发水环境事件发生</w:t>
            </w:r>
          </w:p>
        </w:tc>
        <w:tc>
          <w:tcPr>
            <w:tcW w:w="489" w:type="pct"/>
            <w:tcBorders>
              <w:tl2br w:val="nil"/>
              <w:tr2bl w:val="nil"/>
            </w:tcBorders>
            <w:noWrap w:val="0"/>
            <w:vAlign w:val="center"/>
          </w:tcPr>
          <w:p w14:paraId="426BDF0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w:t>
            </w:r>
          </w:p>
        </w:tc>
        <w:tc>
          <w:tcPr>
            <w:tcW w:w="594" w:type="pct"/>
            <w:vMerge w:val="continue"/>
            <w:tcBorders>
              <w:tl2br w:val="nil"/>
              <w:tr2bl w:val="nil"/>
            </w:tcBorders>
            <w:noWrap w:val="0"/>
            <w:vAlign w:val="center"/>
          </w:tcPr>
          <w:p w14:paraId="707F9741">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r>
      <w:tr w14:paraId="40BE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5" w:type="pct"/>
            <w:gridSpan w:val="6"/>
            <w:tcBorders>
              <w:tl2br w:val="nil"/>
              <w:tr2bl w:val="nil"/>
            </w:tcBorders>
            <w:noWrap w:val="0"/>
            <w:vAlign w:val="center"/>
          </w:tcPr>
          <w:p w14:paraId="10AA88B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cs="Times New Roman"/>
                <w:color w:val="auto"/>
                <w:vertAlign w:val="baseline"/>
                <w:lang w:val="en-US" w:eastAsia="zh-CN"/>
              </w:rPr>
              <w:t>合计</w:t>
            </w:r>
          </w:p>
        </w:tc>
        <w:tc>
          <w:tcPr>
            <w:tcW w:w="594" w:type="pct"/>
            <w:tcBorders>
              <w:tl2br w:val="nil"/>
              <w:tr2bl w:val="nil"/>
            </w:tcBorders>
            <w:noWrap w:val="0"/>
            <w:vAlign w:val="center"/>
          </w:tcPr>
          <w:p w14:paraId="69B6C61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7</w:t>
            </w:r>
          </w:p>
        </w:tc>
      </w:tr>
    </w:tbl>
    <w:p w14:paraId="597673F8">
      <w:pPr>
        <w:ind w:left="0" w:leftChars="0" w:firstLine="0" w:firstLineChars="0"/>
        <w:outlineLvl w:val="9"/>
        <w:rPr>
          <w:rFonts w:hint="default" w:ascii="Times New Roman" w:hAnsi="Times New Roman" w:eastAsia="仿宋" w:cs="Times New Roman"/>
          <w:color w:val="auto"/>
          <w:spacing w:val="-2"/>
          <w:sz w:val="28"/>
          <w:szCs w:val="28"/>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489B9D3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（二）环境风险受体脆弱性指数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v</w:t>
      </w:r>
      <w:r>
        <w:rPr>
          <w:rFonts w:hint="eastAsia" w:ascii="Times New Roman" w:hAnsi="Times New Roman" w:eastAsia="仿宋" w:cs="Times New Roman"/>
          <w:bCs/>
          <w:color w:val="auto"/>
          <w:kern w:val="0"/>
          <w:sz w:val="28"/>
          <w:szCs w:val="28"/>
          <w:lang w:val="en-US" w:eastAsia="zh-CN" w:bidi="ar-SA"/>
        </w:rPr>
        <w:t>）</w:t>
      </w:r>
    </w:p>
    <w:p w14:paraId="227AF55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①重要水体流通渠道类别</w:t>
      </w:r>
    </w:p>
    <w:p w14:paraId="55B1A8C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兴县境内主要河流包括岚漪河、蔚汾河、湫水河等五条黄河一级支流，河网密集。</w:t>
      </w:r>
    </w:p>
    <w:p w14:paraId="58B22B6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②水网密度指数</w:t>
      </w:r>
    </w:p>
    <w:p w14:paraId="63C6554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水网密度指数为评价区域内水的丰富程度，利用评价区域内单位面积河流总长度、水域面积和水资源量表示。当水网密度指数大于100时，则取100。</w:t>
      </w:r>
    </w:p>
    <w:p w14:paraId="6101723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参照《生态环境状况评价技术规范</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实行</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HI/T192-2006</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计算，计算方法：</w:t>
      </w:r>
    </w:p>
    <w:p w14:paraId="0780615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水网密度指数=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Ariv×河流长度/区域面积+Alak×水域面积</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湖泊、水库河渠和近海</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/区域面积+Ares×水资源量*/区域面积</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/3</w:t>
      </w:r>
    </w:p>
    <w:p w14:paraId="04603FF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式中</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Ariv--河流长度的归一化系数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参考值为84.3704083981；</w:t>
      </w:r>
    </w:p>
    <w:p w14:paraId="3C346B0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Alak--水域面积的归一化系数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参考值为591.7908642005；</w:t>
      </w:r>
    </w:p>
    <w:p w14:paraId="587168E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Ares--水资源量的归一化系数，参考值为86.3869548281；</w:t>
      </w:r>
    </w:p>
    <w:p w14:paraId="312B87F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水资源量计算方法</w:t>
      </w:r>
      <w:r>
        <w:rPr>
          <w:rFonts w:hint="eastAsia" w:ascii="Times New Roman" w:hAnsi="Times New Roman" w:eastAsia="仿宋" w:cs="Times New Roman"/>
          <w:bCs/>
          <w:color w:val="auto"/>
          <w:kern w:val="0"/>
          <w:sz w:val="28"/>
          <w:szCs w:val="28"/>
          <w:lang w:val="en-US" w:eastAsia="zh-CN" w:bidi="ar-SA"/>
        </w:rPr>
        <w:t>：</w:t>
      </w:r>
    </w:p>
    <w:p w14:paraId="5B3FCF91">
      <w:pPr>
        <w:ind w:left="0" w:leftChars="0" w:firstLine="0" w:firstLineChars="0"/>
        <w:rPr>
          <w:rFonts w:hint="default" w:ascii="Times New Roman" w:hAnsi="Times New Roman" w:eastAsia="仿宋" w:cs="Times New Roman"/>
          <w:color w:val="auto"/>
          <w:spacing w:val="-2"/>
          <w:sz w:val="28"/>
          <w:szCs w:val="28"/>
        </w:rPr>
      </w:pPr>
      <w:r>
        <w:rPr>
          <w:rFonts w:hint="default" w:ascii="Times New Roman" w:hAnsi="Times New Roman" w:eastAsia="仿宋" w:cs="Times New Roman"/>
          <w:bCs/>
          <w:color w:val="auto"/>
          <w:kern w:val="0"/>
          <w:sz w:val="28"/>
          <w:szCs w:val="28"/>
          <w:lang w:val="en-US" w:eastAsia="zh-CN" w:bidi="ar-SA"/>
        </w:rPr>
        <w:drawing>
          <wp:inline distT="0" distB="0" distL="114300" distR="114300">
            <wp:extent cx="5632450" cy="1453515"/>
            <wp:effectExtent l="0" t="0" r="6350" b="1333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6">
                      <a:lum contrast="17999"/>
                    </a:blip>
                    <a:srcRect b="21744"/>
                    <a:stretch>
                      <a:fillRect/>
                    </a:stretch>
                  </pic:blipFill>
                  <pic:spPr>
                    <a:xfrm>
                      <a:off x="0" y="0"/>
                      <a:ext cx="5632450" cy="1453515"/>
                    </a:xfrm>
                    <a:prstGeom prst="rect">
                      <a:avLst/>
                    </a:prstGeom>
                    <a:noFill/>
                    <a:ln>
                      <a:noFill/>
                    </a:ln>
                  </pic:spPr>
                </pic:pic>
              </a:graphicData>
            </a:graphic>
          </wp:inline>
        </w:drawing>
      </w:r>
    </w:p>
    <w:p w14:paraId="6467AE9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兴县内河流总长度为606.5公里；水域面积3451.55km</w:t>
      </w:r>
      <w:r>
        <w:rPr>
          <w:rFonts w:hint="default" w:ascii="Times New Roman" w:hAnsi="Times New Roman" w:eastAsia="仿宋" w:cs="Times New Roman"/>
          <w:bCs/>
          <w:color w:val="auto"/>
          <w:kern w:val="0"/>
          <w:sz w:val="28"/>
          <w:szCs w:val="28"/>
          <w:vertAlign w:val="superscript"/>
          <w:lang w:val="en-US" w:eastAsia="zh-CN" w:bidi="ar-SA"/>
        </w:rPr>
        <w:t>2</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区域面积为3168km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w:t>
      </w:r>
    </w:p>
    <w:p w14:paraId="6DE7080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根据水资源量计算方法，兴县内水资源量为16005万m</w:t>
      </w:r>
      <w:r>
        <w:rPr>
          <w:rFonts w:hint="default" w:ascii="Times New Roman" w:hAnsi="Times New Roman" w:eastAsia="仿宋" w:cs="Times New Roman"/>
          <w:bCs/>
          <w:color w:val="auto"/>
          <w:kern w:val="0"/>
          <w:sz w:val="28"/>
          <w:szCs w:val="28"/>
          <w:vertAlign w:val="superscript"/>
          <w:lang w:val="en-US" w:eastAsia="zh-CN" w:bidi="ar-SA"/>
        </w:rPr>
        <w:t>3</w:t>
      </w:r>
      <w:r>
        <w:rPr>
          <w:rFonts w:hint="default" w:ascii="Times New Roman" w:hAnsi="Times New Roman" w:eastAsia="仿宋" w:cs="Times New Roman"/>
          <w:bCs/>
          <w:color w:val="auto"/>
          <w:kern w:val="0"/>
          <w:sz w:val="28"/>
          <w:szCs w:val="28"/>
          <w:lang w:val="en-US" w:eastAsia="zh-CN" w:bidi="ar-SA"/>
        </w:rPr>
        <w:t>。</w:t>
      </w:r>
    </w:p>
    <w:p w14:paraId="1C0B63C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水网密度指数：</w:t>
      </w:r>
    </w:p>
    <w:p w14:paraId="2D85A3F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=(84.3704083981×606.5/3168+591.7908642005×3451.55/3168+86.3869548281×16005/3468)/3=648.66</w:t>
      </w:r>
    </w:p>
    <w:p w14:paraId="422F690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根据水网密度指数定义可知，当水网密度指数大于100时，则取100。</w:t>
      </w:r>
    </w:p>
    <w:p w14:paraId="6A0E784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③单位面积环境风险受体数量</w:t>
      </w:r>
    </w:p>
    <w:p w14:paraId="2170D78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瓦塘镇面积173km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，涉及工业企业8家，单位面积内涉水环境风险企业数量为0.29。</w:t>
      </w:r>
    </w:p>
    <w:p w14:paraId="71FAE70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④人均GDP</w:t>
      </w:r>
    </w:p>
    <w:p w14:paraId="76EFFA4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auto"/>
          <w:spacing w:val="-2"/>
          <w:sz w:val="28"/>
          <w:szCs w:val="28"/>
          <w:lang w:val="en-US" w:eastAsia="zh-CN"/>
        </w:rPr>
      </w:pPr>
      <w:r>
        <w:rPr>
          <w:rFonts w:hint="default" w:ascii="Times New Roman" w:hAnsi="Times New Roman" w:eastAsia="仿宋" w:cs="Times New Roman"/>
          <w:bCs/>
          <w:color w:val="auto"/>
          <w:kern w:val="0"/>
          <w:sz w:val="28"/>
          <w:szCs w:val="28"/>
          <w:lang w:val="en-US" w:eastAsia="zh-CN" w:bidi="ar-SA"/>
        </w:rPr>
        <w:t>2023年，全年全县地区生产总值2019700万元，常住人口183484，人均GDP115000元。</w:t>
      </w:r>
    </w:p>
    <w:p w14:paraId="40B02741">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jc w:val="left"/>
        <w:textAlignment w:val="auto"/>
        <w:rPr>
          <w:rFonts w:hint="default" w:ascii="Times New Roman" w:hAnsi="Times New Roman" w:eastAsia="仿宋" w:cs="Times New Roman"/>
          <w:color w:val="auto"/>
          <w:spacing w:val="-2"/>
          <w:sz w:val="28"/>
          <w:szCs w:val="28"/>
          <w:lang w:val="en-US" w:eastAsia="zh-CN"/>
        </w:rPr>
      </w:pPr>
    </w:p>
    <w:p w14:paraId="28C57574">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仿宋" w:cs="Times New Roman"/>
          <w:color w:val="auto"/>
          <w:spacing w:val="-2"/>
          <w:sz w:val="28"/>
          <w:szCs w:val="28"/>
          <w:lang w:val="en-US" w:eastAsia="zh-CN"/>
        </w:rPr>
      </w:pPr>
    </w:p>
    <w:p w14:paraId="49E0CB8E">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仿宋" w:cs="Times New Roman"/>
          <w:color w:val="auto"/>
          <w:spacing w:val="-2"/>
          <w:sz w:val="28"/>
          <w:szCs w:val="28"/>
          <w:lang w:val="en-US" w:eastAsia="zh-CN"/>
        </w:rPr>
        <w:sectPr>
          <w:pgSz w:w="11920" w:h="16838"/>
          <w:pgMar w:top="1440" w:right="1803" w:bottom="1440" w:left="1803"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2151CAE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4</w:t>
      </w:r>
      <w:r>
        <w:rPr>
          <w:rFonts w:hint="default" w:ascii="Times New Roman" w:hAnsi="Times New Roman" w:eastAsia="仿宋" w:cs="Times New Roman"/>
          <w:b/>
          <w:bCs/>
          <w:color w:val="auto"/>
          <w:kern w:val="0"/>
          <w:sz w:val="24"/>
          <w:lang w:val="en-US" w:eastAsia="zh-CN"/>
        </w:rPr>
        <w:t xml:space="preserve">  水环境风险受体脆弱性（V）评估表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3213"/>
        <w:gridCol w:w="1320"/>
        <w:gridCol w:w="5985"/>
        <w:gridCol w:w="1710"/>
        <w:gridCol w:w="1050"/>
        <w:gridCol w:w="1012"/>
      </w:tblGrid>
      <w:tr w14:paraId="22A5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noWrap w:val="0"/>
            <w:vAlign w:val="center"/>
          </w:tcPr>
          <w:p w14:paraId="2C89E84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3213" w:type="dxa"/>
            <w:vMerge w:val="restart"/>
            <w:tcBorders>
              <w:tl2br w:val="nil"/>
              <w:tr2bl w:val="nil"/>
            </w:tcBorders>
            <w:noWrap w:val="0"/>
            <w:vAlign w:val="center"/>
          </w:tcPr>
          <w:p w14:paraId="1C82865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评估指标</w:t>
            </w:r>
          </w:p>
        </w:tc>
        <w:tc>
          <w:tcPr>
            <w:tcW w:w="1320" w:type="dxa"/>
            <w:vMerge w:val="restart"/>
            <w:tcBorders>
              <w:tl2br w:val="nil"/>
              <w:tr2bl w:val="nil"/>
            </w:tcBorders>
            <w:noWrap w:val="0"/>
            <w:vAlign w:val="center"/>
          </w:tcPr>
          <w:p w14:paraId="242435E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数据来源</w:t>
            </w:r>
          </w:p>
        </w:tc>
        <w:tc>
          <w:tcPr>
            <w:tcW w:w="8745" w:type="dxa"/>
            <w:gridSpan w:val="3"/>
            <w:tcBorders>
              <w:tl2br w:val="nil"/>
              <w:tr2bl w:val="nil"/>
            </w:tcBorders>
            <w:noWrap w:val="0"/>
            <w:vAlign w:val="center"/>
          </w:tcPr>
          <w:p w14:paraId="6D1FF05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水环境风险</w:t>
            </w:r>
          </w:p>
        </w:tc>
        <w:tc>
          <w:tcPr>
            <w:tcW w:w="1012" w:type="dxa"/>
            <w:vMerge w:val="restart"/>
            <w:tcBorders>
              <w:tl2br w:val="nil"/>
              <w:tr2bl w:val="nil"/>
            </w:tcBorders>
            <w:noWrap w:val="0"/>
            <w:vAlign w:val="center"/>
          </w:tcPr>
          <w:p w14:paraId="229F66C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r>
      <w:tr w14:paraId="4ABC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1A2CC68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49E6AF8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391A32A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tcBorders>
              <w:tl2br w:val="nil"/>
              <w:tr2bl w:val="nil"/>
            </w:tcBorders>
            <w:noWrap w:val="0"/>
            <w:vAlign w:val="center"/>
          </w:tcPr>
          <w:p w14:paraId="16C2037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指标说明</w:t>
            </w:r>
          </w:p>
        </w:tc>
        <w:tc>
          <w:tcPr>
            <w:tcW w:w="1710" w:type="dxa"/>
            <w:tcBorders>
              <w:tl2br w:val="nil"/>
              <w:tr2bl w:val="nil"/>
            </w:tcBorders>
            <w:noWrap w:val="0"/>
            <w:vAlign w:val="center"/>
          </w:tcPr>
          <w:p w14:paraId="7F390EF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情况</w:t>
            </w:r>
          </w:p>
        </w:tc>
        <w:tc>
          <w:tcPr>
            <w:tcW w:w="1050" w:type="dxa"/>
            <w:tcBorders>
              <w:tl2br w:val="nil"/>
              <w:tr2bl w:val="nil"/>
            </w:tcBorders>
            <w:noWrap w:val="0"/>
            <w:vAlign w:val="center"/>
          </w:tcPr>
          <w:p w14:paraId="3ABD233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分</w:t>
            </w:r>
            <w:r>
              <w:rPr>
                <w:rFonts w:hint="default" w:ascii="Times New Roman" w:hAnsi="Times New Roman" w:eastAsia="仿宋" w:cs="Times New Roman"/>
                <w:color w:val="auto"/>
                <w:sz w:val="21"/>
                <w:szCs w:val="21"/>
              </w:rPr>
              <w:t>值</w:t>
            </w:r>
          </w:p>
        </w:tc>
        <w:tc>
          <w:tcPr>
            <w:tcW w:w="1012" w:type="dxa"/>
            <w:vMerge w:val="continue"/>
            <w:tcBorders>
              <w:tl2br w:val="nil"/>
              <w:tr2bl w:val="nil"/>
            </w:tcBorders>
            <w:noWrap w:val="0"/>
            <w:vAlign w:val="center"/>
          </w:tcPr>
          <w:p w14:paraId="746DC55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370A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Merge w:val="restart"/>
            <w:tcBorders>
              <w:tl2br w:val="nil"/>
              <w:tr2bl w:val="nil"/>
            </w:tcBorders>
            <w:noWrap w:val="0"/>
            <w:vAlign w:val="center"/>
          </w:tcPr>
          <w:p w14:paraId="18A0960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3213" w:type="dxa"/>
            <w:vMerge w:val="restart"/>
            <w:tcBorders>
              <w:tl2br w:val="nil"/>
              <w:tr2bl w:val="nil"/>
            </w:tcBorders>
            <w:noWrap w:val="0"/>
            <w:vAlign w:val="center"/>
          </w:tcPr>
          <w:p w14:paraId="2BFA898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lang w:val="en-US" w:eastAsia="zh-CN"/>
              </w:rPr>
              <w:t>重</w:t>
            </w:r>
            <w:r>
              <w:rPr>
                <w:rFonts w:hint="default" w:ascii="Times New Roman" w:hAnsi="Times New Roman" w:eastAsia="仿宋" w:cs="Times New Roman"/>
                <w:color w:val="auto"/>
                <w:sz w:val="21"/>
                <w:szCs w:val="21"/>
              </w:rPr>
              <w:t>要水体流通渠</w:t>
            </w:r>
          </w:p>
          <w:p w14:paraId="4FC1ED9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道水质类别</w:t>
            </w:r>
          </w:p>
        </w:tc>
        <w:tc>
          <w:tcPr>
            <w:tcW w:w="1320" w:type="dxa"/>
            <w:vMerge w:val="restart"/>
            <w:tcBorders>
              <w:tl2br w:val="nil"/>
              <w:tr2bl w:val="nil"/>
            </w:tcBorders>
            <w:noWrap w:val="0"/>
            <w:vAlign w:val="center"/>
          </w:tcPr>
          <w:p w14:paraId="374CA30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水利部门</w:t>
            </w:r>
          </w:p>
          <w:p w14:paraId="3D124F0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农业部门</w:t>
            </w:r>
          </w:p>
          <w:p w14:paraId="5079943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环保部门</w:t>
            </w:r>
          </w:p>
        </w:tc>
        <w:tc>
          <w:tcPr>
            <w:tcW w:w="5985" w:type="dxa"/>
            <w:vMerge w:val="restart"/>
            <w:tcBorders>
              <w:tl2br w:val="nil"/>
              <w:tr2bl w:val="nil"/>
            </w:tcBorders>
            <w:noWrap w:val="0"/>
            <w:vAlign w:val="center"/>
          </w:tcPr>
          <w:p w14:paraId="2F469C4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河道</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湖泊水质类别，如Ⅰ类、Ⅱ类、</w:t>
            </w:r>
          </w:p>
          <w:p w14:paraId="4677E28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Ⅲ类、Ⅳ类、Ⅴ类、劣Ⅴ类</w:t>
            </w:r>
          </w:p>
          <w:p w14:paraId="7A3D9FE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（若存在多个水质类别，取高值）</w:t>
            </w:r>
          </w:p>
        </w:tc>
        <w:tc>
          <w:tcPr>
            <w:tcW w:w="1710" w:type="dxa"/>
            <w:tcBorders>
              <w:tl2br w:val="nil"/>
              <w:tr2bl w:val="nil"/>
            </w:tcBorders>
            <w:noWrap w:val="0"/>
            <w:vAlign w:val="center"/>
          </w:tcPr>
          <w:p w14:paraId="580CD0C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Ⅰ类、Ⅱ类</w:t>
            </w:r>
          </w:p>
        </w:tc>
        <w:tc>
          <w:tcPr>
            <w:tcW w:w="1050" w:type="dxa"/>
            <w:tcBorders>
              <w:tl2br w:val="nil"/>
              <w:tr2bl w:val="nil"/>
            </w:tcBorders>
            <w:noWrap w:val="0"/>
            <w:vAlign w:val="center"/>
          </w:tcPr>
          <w:p w14:paraId="4081D29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1012" w:type="dxa"/>
            <w:vMerge w:val="restart"/>
            <w:tcBorders>
              <w:tl2br w:val="nil"/>
              <w:tr2bl w:val="nil"/>
            </w:tcBorders>
            <w:noWrap w:val="0"/>
            <w:vAlign w:val="center"/>
          </w:tcPr>
          <w:p w14:paraId="5EFAF28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r>
      <w:tr w14:paraId="1540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0" w:type="auto"/>
            <w:vMerge w:val="continue"/>
            <w:tcBorders>
              <w:tl2br w:val="nil"/>
              <w:tr2bl w:val="nil"/>
            </w:tcBorders>
            <w:noWrap w:val="0"/>
            <w:vAlign w:val="center"/>
          </w:tcPr>
          <w:p w14:paraId="04F159B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4083E8B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0F208A4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6B093DC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7FE32C1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Ⅲ类、Ⅳ类</w:t>
            </w:r>
          </w:p>
        </w:tc>
        <w:tc>
          <w:tcPr>
            <w:tcW w:w="1050" w:type="dxa"/>
            <w:tcBorders>
              <w:tl2br w:val="nil"/>
              <w:tr2bl w:val="nil"/>
            </w:tcBorders>
            <w:noWrap w:val="0"/>
            <w:vAlign w:val="center"/>
          </w:tcPr>
          <w:p w14:paraId="5181173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1012" w:type="dxa"/>
            <w:vMerge w:val="continue"/>
            <w:tcBorders>
              <w:tl2br w:val="nil"/>
              <w:tr2bl w:val="nil"/>
            </w:tcBorders>
            <w:noWrap w:val="0"/>
            <w:vAlign w:val="center"/>
          </w:tcPr>
          <w:p w14:paraId="76A67EC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74A7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0" w:type="auto"/>
            <w:vMerge w:val="continue"/>
            <w:tcBorders>
              <w:tl2br w:val="nil"/>
              <w:tr2bl w:val="nil"/>
            </w:tcBorders>
            <w:noWrap w:val="0"/>
            <w:vAlign w:val="center"/>
          </w:tcPr>
          <w:p w14:paraId="1193E5E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7F3F850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163543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5C12CC9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7686E51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Ⅴ类、劣Ⅴ类</w:t>
            </w:r>
          </w:p>
        </w:tc>
        <w:tc>
          <w:tcPr>
            <w:tcW w:w="1050" w:type="dxa"/>
            <w:tcBorders>
              <w:tl2br w:val="nil"/>
              <w:tr2bl w:val="nil"/>
            </w:tcBorders>
            <w:noWrap w:val="0"/>
            <w:vAlign w:val="center"/>
          </w:tcPr>
          <w:p w14:paraId="3660913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3501931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66A8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0" w:type="auto"/>
            <w:vMerge w:val="restart"/>
            <w:tcBorders>
              <w:tl2br w:val="nil"/>
              <w:tr2bl w:val="nil"/>
            </w:tcBorders>
            <w:noWrap w:val="0"/>
            <w:vAlign w:val="center"/>
          </w:tcPr>
          <w:p w14:paraId="4065976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3213" w:type="dxa"/>
            <w:vMerge w:val="restart"/>
            <w:tcBorders>
              <w:tl2br w:val="nil"/>
              <w:tr2bl w:val="nil"/>
            </w:tcBorders>
            <w:noWrap w:val="0"/>
            <w:vAlign w:val="center"/>
          </w:tcPr>
          <w:p w14:paraId="6A39D52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水网密度指数</w:t>
            </w:r>
          </w:p>
        </w:tc>
        <w:tc>
          <w:tcPr>
            <w:tcW w:w="1320" w:type="dxa"/>
            <w:vMerge w:val="restart"/>
            <w:tcBorders>
              <w:tl2br w:val="nil"/>
              <w:tr2bl w:val="nil"/>
            </w:tcBorders>
            <w:noWrap w:val="0"/>
            <w:vAlign w:val="center"/>
          </w:tcPr>
          <w:p w14:paraId="611444B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5985" w:type="dxa"/>
            <w:vMerge w:val="restart"/>
            <w:tcBorders>
              <w:tl2br w:val="nil"/>
              <w:tr2bl w:val="nil"/>
            </w:tcBorders>
            <w:noWrap w:val="0"/>
            <w:vAlign w:val="center"/>
          </w:tcPr>
          <w:p w14:paraId="1050914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参照《生态环境状况评价技术规范》</w:t>
            </w:r>
          </w:p>
        </w:tc>
        <w:tc>
          <w:tcPr>
            <w:tcW w:w="1710" w:type="dxa"/>
            <w:tcBorders>
              <w:tl2br w:val="nil"/>
              <w:tr2bl w:val="nil"/>
            </w:tcBorders>
            <w:noWrap w:val="0"/>
            <w:vAlign w:val="center"/>
          </w:tcPr>
          <w:p w14:paraId="29996DC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&gt;50</w:t>
            </w:r>
          </w:p>
        </w:tc>
        <w:tc>
          <w:tcPr>
            <w:tcW w:w="1050" w:type="dxa"/>
            <w:tcBorders>
              <w:tl2br w:val="nil"/>
              <w:tr2bl w:val="nil"/>
            </w:tcBorders>
            <w:noWrap w:val="0"/>
            <w:vAlign w:val="center"/>
          </w:tcPr>
          <w:p w14:paraId="3036633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1012" w:type="dxa"/>
            <w:vMerge w:val="restart"/>
            <w:tcBorders>
              <w:tl2br w:val="nil"/>
              <w:tr2bl w:val="nil"/>
            </w:tcBorders>
            <w:noWrap w:val="0"/>
            <w:vAlign w:val="center"/>
          </w:tcPr>
          <w:p w14:paraId="7BF3BA3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r>
      <w:tr w14:paraId="28C5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61B5D69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635F0259">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0418392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058D8FF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6044BB1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(25</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50]</w:t>
            </w:r>
          </w:p>
        </w:tc>
        <w:tc>
          <w:tcPr>
            <w:tcW w:w="1050" w:type="dxa"/>
            <w:tcBorders>
              <w:tl2br w:val="nil"/>
              <w:tr2bl w:val="nil"/>
            </w:tcBorders>
            <w:noWrap w:val="0"/>
            <w:vAlign w:val="center"/>
          </w:tcPr>
          <w:p w14:paraId="565D987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1012" w:type="dxa"/>
            <w:vMerge w:val="continue"/>
            <w:tcBorders>
              <w:tl2br w:val="nil"/>
              <w:tr2bl w:val="nil"/>
            </w:tcBorders>
            <w:noWrap w:val="0"/>
            <w:vAlign w:val="center"/>
          </w:tcPr>
          <w:p w14:paraId="0D636B3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1977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4CBD580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60B5150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13B08F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6D97737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3216FB8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0</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lang w:val="en-US" w:eastAsia="zh-CN"/>
              </w:rPr>
              <w:t>25</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01D5927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554E650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09D1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noWrap w:val="0"/>
            <w:vAlign w:val="center"/>
          </w:tcPr>
          <w:p w14:paraId="60573AA9">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3213" w:type="dxa"/>
            <w:vMerge w:val="restart"/>
            <w:tcBorders>
              <w:tl2br w:val="nil"/>
              <w:tr2bl w:val="nil"/>
            </w:tcBorders>
            <w:noWrap w:val="0"/>
            <w:vAlign w:val="center"/>
          </w:tcPr>
          <w:p w14:paraId="181CF829">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单位面积环境风险受体数量</w:t>
            </w:r>
          </w:p>
          <w:p w14:paraId="74EA9B0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（个/</w:t>
            </w:r>
            <w:r>
              <w:rPr>
                <w:rFonts w:hint="default" w:ascii="Times New Roman" w:hAnsi="Times New Roman" w:eastAsia="仿宋" w:cs="Times New Roman"/>
                <w:color w:val="auto"/>
                <w:sz w:val="21"/>
                <w:szCs w:val="21"/>
                <w:lang w:val="en-US" w:eastAsia="zh-CN"/>
              </w:rPr>
              <w:t>平方公里）</w:t>
            </w:r>
          </w:p>
        </w:tc>
        <w:tc>
          <w:tcPr>
            <w:tcW w:w="1320" w:type="dxa"/>
            <w:vMerge w:val="restart"/>
            <w:tcBorders>
              <w:tl2br w:val="nil"/>
              <w:tr2bl w:val="nil"/>
            </w:tcBorders>
            <w:noWrap w:val="0"/>
            <w:vAlign w:val="center"/>
          </w:tcPr>
          <w:p w14:paraId="0724DB6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环保部门</w:t>
            </w:r>
          </w:p>
        </w:tc>
        <w:tc>
          <w:tcPr>
            <w:tcW w:w="5985" w:type="dxa"/>
            <w:vMerge w:val="restart"/>
            <w:tcBorders>
              <w:tl2br w:val="nil"/>
              <w:tr2bl w:val="nil"/>
            </w:tcBorders>
            <w:noWrap w:val="0"/>
            <w:vAlign w:val="center"/>
          </w:tcPr>
          <w:p w14:paraId="07589B4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单位面积中水环境风险受体数量，</w:t>
            </w:r>
          </w:p>
          <w:p w14:paraId="6D892EF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单位：个/平方公里</w:t>
            </w:r>
          </w:p>
        </w:tc>
        <w:tc>
          <w:tcPr>
            <w:tcW w:w="1710" w:type="dxa"/>
            <w:tcBorders>
              <w:tl2br w:val="nil"/>
              <w:tr2bl w:val="nil"/>
            </w:tcBorders>
            <w:noWrap w:val="0"/>
            <w:vAlign w:val="center"/>
          </w:tcPr>
          <w:p w14:paraId="47442A5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≥0.5</w:t>
            </w:r>
          </w:p>
        </w:tc>
        <w:tc>
          <w:tcPr>
            <w:tcW w:w="1050" w:type="dxa"/>
            <w:tcBorders>
              <w:tl2br w:val="nil"/>
              <w:tr2bl w:val="nil"/>
            </w:tcBorders>
            <w:noWrap w:val="0"/>
            <w:vAlign w:val="center"/>
          </w:tcPr>
          <w:p w14:paraId="61988C39">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1012" w:type="dxa"/>
            <w:vMerge w:val="restart"/>
            <w:tcBorders>
              <w:tl2br w:val="nil"/>
              <w:tr2bl w:val="nil"/>
            </w:tcBorders>
            <w:noWrap w:val="0"/>
            <w:vAlign w:val="center"/>
          </w:tcPr>
          <w:p w14:paraId="46DA2C9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14:paraId="63CA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65D43A9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2AE44DD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3179D5A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09D576D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0853471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[0.1-0.5)</w:t>
            </w:r>
          </w:p>
        </w:tc>
        <w:tc>
          <w:tcPr>
            <w:tcW w:w="1050" w:type="dxa"/>
            <w:tcBorders>
              <w:tl2br w:val="nil"/>
              <w:tr2bl w:val="nil"/>
            </w:tcBorders>
            <w:noWrap w:val="0"/>
            <w:vAlign w:val="center"/>
          </w:tcPr>
          <w:p w14:paraId="54806474">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012" w:type="dxa"/>
            <w:vMerge w:val="continue"/>
            <w:tcBorders>
              <w:tl2br w:val="nil"/>
              <w:tr2bl w:val="nil"/>
            </w:tcBorders>
            <w:noWrap w:val="0"/>
            <w:vAlign w:val="center"/>
          </w:tcPr>
          <w:p w14:paraId="77129B3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088D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027F8FB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4188B27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38784C6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22735CF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023A8BA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1-0.</w:t>
            </w:r>
            <w:r>
              <w:rPr>
                <w:rFonts w:hint="default"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1A346F4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1012" w:type="dxa"/>
            <w:vMerge w:val="continue"/>
            <w:tcBorders>
              <w:tl2br w:val="nil"/>
              <w:tr2bl w:val="nil"/>
            </w:tcBorders>
            <w:noWrap w:val="0"/>
            <w:vAlign w:val="center"/>
          </w:tcPr>
          <w:p w14:paraId="58752AA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3CCE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33AAEB7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48ACF83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2657007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7C144CA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0E61106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＜0.01</w:t>
            </w:r>
          </w:p>
        </w:tc>
        <w:tc>
          <w:tcPr>
            <w:tcW w:w="1050" w:type="dxa"/>
            <w:tcBorders>
              <w:tl2br w:val="nil"/>
              <w:tr2bl w:val="nil"/>
            </w:tcBorders>
            <w:noWrap w:val="0"/>
            <w:vAlign w:val="center"/>
          </w:tcPr>
          <w:p w14:paraId="00A1288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7630956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4B41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noWrap w:val="0"/>
            <w:vAlign w:val="center"/>
          </w:tcPr>
          <w:p w14:paraId="79E432B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3213" w:type="dxa"/>
            <w:vMerge w:val="restart"/>
            <w:tcBorders>
              <w:tl2br w:val="nil"/>
              <w:tr2bl w:val="nil"/>
            </w:tcBorders>
            <w:noWrap w:val="0"/>
            <w:vAlign w:val="center"/>
          </w:tcPr>
          <w:p w14:paraId="17ED578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乡镇及以上集中式饮用水水源地数量</w:t>
            </w:r>
          </w:p>
        </w:tc>
        <w:tc>
          <w:tcPr>
            <w:tcW w:w="1320" w:type="dxa"/>
            <w:vMerge w:val="restart"/>
            <w:tcBorders>
              <w:tl2br w:val="nil"/>
              <w:tr2bl w:val="nil"/>
            </w:tcBorders>
            <w:noWrap w:val="0"/>
            <w:vAlign w:val="center"/>
          </w:tcPr>
          <w:p w14:paraId="3C915B7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地方政府</w:t>
            </w:r>
          </w:p>
          <w:p w14:paraId="3829B0D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环保部门</w:t>
            </w:r>
          </w:p>
        </w:tc>
        <w:tc>
          <w:tcPr>
            <w:tcW w:w="5985" w:type="dxa"/>
            <w:vMerge w:val="restart"/>
            <w:tcBorders>
              <w:tl2br w:val="nil"/>
              <w:tr2bl w:val="nil"/>
            </w:tcBorders>
            <w:noWrap w:val="0"/>
            <w:vAlign w:val="center"/>
          </w:tcPr>
          <w:p w14:paraId="451D93A4">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提供居民生活及公共服务用水的水源地的 个数，包括河流、湖泊水库等，单位：个</w:t>
            </w:r>
          </w:p>
        </w:tc>
        <w:tc>
          <w:tcPr>
            <w:tcW w:w="1710" w:type="dxa"/>
            <w:tcBorders>
              <w:tl2br w:val="nil"/>
              <w:tr2bl w:val="nil"/>
            </w:tcBorders>
            <w:noWrap w:val="0"/>
            <w:vAlign w:val="center"/>
          </w:tcPr>
          <w:p w14:paraId="150461A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&gt;1</w:t>
            </w:r>
          </w:p>
        </w:tc>
        <w:tc>
          <w:tcPr>
            <w:tcW w:w="1050" w:type="dxa"/>
            <w:tcBorders>
              <w:tl2br w:val="nil"/>
              <w:tr2bl w:val="nil"/>
            </w:tcBorders>
            <w:noWrap w:val="0"/>
            <w:vAlign w:val="center"/>
          </w:tcPr>
          <w:p w14:paraId="45F98B6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1012" w:type="dxa"/>
            <w:vMerge w:val="restart"/>
            <w:tcBorders>
              <w:tl2br w:val="nil"/>
              <w:tr2bl w:val="nil"/>
            </w:tcBorders>
            <w:noWrap w:val="0"/>
            <w:vAlign w:val="center"/>
          </w:tcPr>
          <w:p w14:paraId="555A576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14:paraId="1071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46FF865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6E6BE6E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17434AF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00B06A2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6165AC5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10]</w:t>
            </w:r>
          </w:p>
        </w:tc>
        <w:tc>
          <w:tcPr>
            <w:tcW w:w="1050" w:type="dxa"/>
            <w:tcBorders>
              <w:tl2br w:val="nil"/>
              <w:tr2bl w:val="nil"/>
            </w:tcBorders>
            <w:noWrap w:val="0"/>
            <w:vAlign w:val="center"/>
          </w:tcPr>
          <w:p w14:paraId="77A1DF9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012" w:type="dxa"/>
            <w:vMerge w:val="continue"/>
            <w:tcBorders>
              <w:tl2br w:val="nil"/>
              <w:tr2bl w:val="nil"/>
            </w:tcBorders>
            <w:noWrap w:val="0"/>
            <w:vAlign w:val="center"/>
          </w:tcPr>
          <w:p w14:paraId="21AFB4D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2562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3190C95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0FA4F7B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1A0402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748A3C5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2A85EE3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1</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lang w:val="en-US" w:eastAsia="zh-CN"/>
              </w:rPr>
              <w:t>4</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46F569D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1012" w:type="dxa"/>
            <w:vMerge w:val="continue"/>
            <w:tcBorders>
              <w:tl2br w:val="nil"/>
              <w:tr2bl w:val="nil"/>
            </w:tcBorders>
            <w:noWrap w:val="0"/>
            <w:vAlign w:val="center"/>
          </w:tcPr>
          <w:p w14:paraId="19BD5B3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6BC6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0" w:type="auto"/>
            <w:vMerge w:val="continue"/>
            <w:tcBorders>
              <w:tl2br w:val="nil"/>
              <w:tr2bl w:val="nil"/>
            </w:tcBorders>
            <w:noWrap w:val="0"/>
            <w:vAlign w:val="center"/>
          </w:tcPr>
          <w:p w14:paraId="74B3211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3071587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A0DA09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704736E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5BE2722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50" w:type="dxa"/>
            <w:tcBorders>
              <w:tl2br w:val="nil"/>
              <w:tr2bl w:val="nil"/>
            </w:tcBorders>
            <w:noWrap w:val="0"/>
            <w:vAlign w:val="center"/>
          </w:tcPr>
          <w:p w14:paraId="03B897D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50687520">
            <w:pPr>
              <w:pStyle w:val="17"/>
              <w:jc w:val="center"/>
              <w:rPr>
                <w:rFonts w:hint="default" w:ascii="Times New Roman" w:hAnsi="Times New Roman" w:cs="Times New Roman"/>
                <w:color w:val="auto"/>
                <w:vertAlign w:val="baseline"/>
              </w:rPr>
            </w:pPr>
          </w:p>
        </w:tc>
      </w:tr>
      <w:tr w14:paraId="712E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noWrap w:val="0"/>
            <w:vAlign w:val="center"/>
          </w:tcPr>
          <w:p w14:paraId="3DE0459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3213" w:type="dxa"/>
            <w:vMerge w:val="restart"/>
            <w:tcBorders>
              <w:tl2br w:val="nil"/>
              <w:tr2bl w:val="nil"/>
            </w:tcBorders>
            <w:noWrap w:val="0"/>
            <w:vAlign w:val="center"/>
          </w:tcPr>
          <w:p w14:paraId="515751C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乡镇及以上集中式饮用水水源地服务人口数量</w:t>
            </w:r>
          </w:p>
        </w:tc>
        <w:tc>
          <w:tcPr>
            <w:tcW w:w="1320" w:type="dxa"/>
            <w:vMerge w:val="restart"/>
            <w:tcBorders>
              <w:tl2br w:val="nil"/>
              <w:tr2bl w:val="nil"/>
            </w:tcBorders>
            <w:noWrap w:val="0"/>
            <w:vAlign w:val="center"/>
          </w:tcPr>
          <w:p w14:paraId="476CD2B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地方政府</w:t>
            </w:r>
          </w:p>
        </w:tc>
        <w:tc>
          <w:tcPr>
            <w:tcW w:w="5985" w:type="dxa"/>
            <w:vMerge w:val="restart"/>
            <w:tcBorders>
              <w:tl2br w:val="nil"/>
              <w:tr2bl w:val="nil"/>
            </w:tcBorders>
            <w:noWrap w:val="0"/>
            <w:vAlign w:val="center"/>
          </w:tcPr>
          <w:p w14:paraId="3F2A44D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以乡镇及以上饮用水水源地为取水来源的 人口数量，单位</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万人</w:t>
            </w:r>
          </w:p>
        </w:tc>
        <w:tc>
          <w:tcPr>
            <w:tcW w:w="1710" w:type="dxa"/>
            <w:tcBorders>
              <w:tl2br w:val="nil"/>
              <w:tr2bl w:val="nil"/>
            </w:tcBorders>
            <w:noWrap w:val="0"/>
            <w:vAlign w:val="center"/>
          </w:tcPr>
          <w:p w14:paraId="185A4D3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&gt;10</w:t>
            </w:r>
          </w:p>
        </w:tc>
        <w:tc>
          <w:tcPr>
            <w:tcW w:w="1050" w:type="dxa"/>
            <w:tcBorders>
              <w:tl2br w:val="nil"/>
              <w:tr2bl w:val="nil"/>
            </w:tcBorders>
            <w:noWrap w:val="0"/>
            <w:vAlign w:val="center"/>
          </w:tcPr>
          <w:p w14:paraId="064D45B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1012" w:type="dxa"/>
            <w:vMerge w:val="restart"/>
            <w:tcBorders>
              <w:tl2br w:val="nil"/>
              <w:tr2bl w:val="nil"/>
            </w:tcBorders>
            <w:noWrap w:val="0"/>
            <w:vAlign w:val="center"/>
          </w:tcPr>
          <w:p w14:paraId="1424CFF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0B44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703343B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66AD33B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432AEE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41D8E7D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409E222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7</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10]</w:t>
            </w:r>
          </w:p>
        </w:tc>
        <w:tc>
          <w:tcPr>
            <w:tcW w:w="1050" w:type="dxa"/>
            <w:tcBorders>
              <w:tl2br w:val="nil"/>
              <w:tr2bl w:val="nil"/>
            </w:tcBorders>
            <w:noWrap w:val="0"/>
            <w:vAlign w:val="center"/>
          </w:tcPr>
          <w:p w14:paraId="5F6E3FD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1012" w:type="dxa"/>
            <w:vMerge w:val="continue"/>
            <w:tcBorders>
              <w:tl2br w:val="nil"/>
              <w:tr2bl w:val="nil"/>
            </w:tcBorders>
            <w:noWrap w:val="0"/>
            <w:vAlign w:val="center"/>
          </w:tcPr>
          <w:p w14:paraId="0A24941D">
            <w:pPr>
              <w:pStyle w:val="17"/>
              <w:jc w:val="center"/>
              <w:rPr>
                <w:rFonts w:hint="default" w:ascii="Times New Roman" w:hAnsi="Times New Roman" w:cs="Times New Roman"/>
                <w:color w:val="auto"/>
                <w:vertAlign w:val="baseline"/>
              </w:rPr>
            </w:pPr>
          </w:p>
        </w:tc>
      </w:tr>
      <w:tr w14:paraId="3AAF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169744D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050CA83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2E89FF0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6AE71A8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2AC603A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3</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2035273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1012" w:type="dxa"/>
            <w:vMerge w:val="continue"/>
            <w:tcBorders>
              <w:tl2br w:val="nil"/>
              <w:tr2bl w:val="nil"/>
            </w:tcBorders>
            <w:noWrap w:val="0"/>
            <w:vAlign w:val="center"/>
          </w:tcPr>
          <w:p w14:paraId="5DF69183">
            <w:pPr>
              <w:pStyle w:val="17"/>
              <w:jc w:val="center"/>
              <w:rPr>
                <w:rFonts w:hint="default" w:ascii="Times New Roman" w:hAnsi="Times New Roman" w:cs="Times New Roman"/>
                <w:color w:val="auto"/>
                <w:vertAlign w:val="baseline"/>
              </w:rPr>
            </w:pPr>
          </w:p>
        </w:tc>
      </w:tr>
      <w:tr w14:paraId="2C31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5B42E0BB">
            <w:pPr>
              <w:pStyle w:val="17"/>
              <w:jc w:val="center"/>
              <w:rPr>
                <w:rFonts w:hint="default" w:ascii="Times New Roman" w:hAnsi="Times New Roman" w:cs="Times New Roman"/>
                <w:color w:val="auto"/>
                <w:vertAlign w:val="baseline"/>
              </w:rPr>
            </w:pPr>
          </w:p>
        </w:tc>
        <w:tc>
          <w:tcPr>
            <w:tcW w:w="3213" w:type="dxa"/>
            <w:vMerge w:val="continue"/>
            <w:tcBorders>
              <w:tl2br w:val="nil"/>
              <w:tr2bl w:val="nil"/>
            </w:tcBorders>
            <w:noWrap w:val="0"/>
            <w:vAlign w:val="center"/>
          </w:tcPr>
          <w:p w14:paraId="5B446B94">
            <w:pPr>
              <w:pStyle w:val="17"/>
              <w:jc w:val="center"/>
              <w:rPr>
                <w:rFonts w:hint="default" w:ascii="Times New Roman" w:hAnsi="Times New Roman" w:cs="Times New Roman"/>
                <w:color w:val="auto"/>
                <w:vertAlign w:val="baseline"/>
              </w:rPr>
            </w:pPr>
          </w:p>
        </w:tc>
        <w:tc>
          <w:tcPr>
            <w:tcW w:w="1320" w:type="dxa"/>
            <w:vMerge w:val="continue"/>
            <w:tcBorders>
              <w:tl2br w:val="nil"/>
              <w:tr2bl w:val="nil"/>
            </w:tcBorders>
            <w:noWrap w:val="0"/>
            <w:vAlign w:val="center"/>
          </w:tcPr>
          <w:p w14:paraId="1F820303">
            <w:pPr>
              <w:pStyle w:val="17"/>
              <w:jc w:val="center"/>
              <w:rPr>
                <w:rFonts w:hint="default" w:ascii="Times New Roman" w:hAnsi="Times New Roman" w:cs="Times New Roman"/>
                <w:color w:val="auto"/>
                <w:vertAlign w:val="baseline"/>
              </w:rPr>
            </w:pPr>
          </w:p>
        </w:tc>
        <w:tc>
          <w:tcPr>
            <w:tcW w:w="5985" w:type="dxa"/>
            <w:vMerge w:val="continue"/>
            <w:tcBorders>
              <w:tl2br w:val="nil"/>
              <w:tr2bl w:val="nil"/>
            </w:tcBorders>
            <w:noWrap w:val="0"/>
            <w:vAlign w:val="center"/>
          </w:tcPr>
          <w:p w14:paraId="2CACEA9E">
            <w:pPr>
              <w:pStyle w:val="35"/>
              <w:kinsoku w:val="0"/>
              <w:overflowPunct w:val="0"/>
              <w:spacing w:beforeLines="0" w:afterLines="0" w:line="327" w:lineRule="exact"/>
              <w:ind w:left="340" w:leftChars="0" w:firstLine="0" w:firstLineChars="0"/>
              <w:jc w:val="center"/>
              <w:rPr>
                <w:rFonts w:hint="default" w:ascii="Times New Roman" w:hAnsi="Times New Roman" w:eastAsia="宋体" w:cs="Times New Roman"/>
                <w:color w:val="auto"/>
                <w:spacing w:val="-1"/>
                <w:sz w:val="21"/>
                <w:szCs w:val="21"/>
              </w:rPr>
            </w:pPr>
          </w:p>
        </w:tc>
        <w:tc>
          <w:tcPr>
            <w:tcW w:w="1710" w:type="dxa"/>
            <w:tcBorders>
              <w:tl2br w:val="nil"/>
              <w:tr2bl w:val="nil"/>
            </w:tcBorders>
            <w:noWrap w:val="0"/>
            <w:vAlign w:val="center"/>
          </w:tcPr>
          <w:p w14:paraId="3DA5BDA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3</w:t>
            </w:r>
          </w:p>
        </w:tc>
        <w:tc>
          <w:tcPr>
            <w:tcW w:w="1050" w:type="dxa"/>
            <w:tcBorders>
              <w:tl2br w:val="nil"/>
              <w:tr2bl w:val="nil"/>
            </w:tcBorders>
            <w:noWrap w:val="0"/>
            <w:vAlign w:val="center"/>
          </w:tcPr>
          <w:p w14:paraId="1700207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100BCD0A">
            <w:pPr>
              <w:pStyle w:val="17"/>
              <w:jc w:val="center"/>
              <w:rPr>
                <w:rFonts w:hint="default" w:ascii="Times New Roman" w:hAnsi="Times New Roman" w:cs="Times New Roman"/>
                <w:color w:val="auto"/>
                <w:vertAlign w:val="baseline"/>
              </w:rPr>
            </w:pPr>
          </w:p>
        </w:tc>
      </w:tr>
      <w:tr w14:paraId="0680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noWrap w:val="0"/>
            <w:vAlign w:val="center"/>
          </w:tcPr>
          <w:p w14:paraId="77561E9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3213" w:type="dxa"/>
            <w:vMerge w:val="restart"/>
            <w:tcBorders>
              <w:tl2br w:val="nil"/>
              <w:tr2bl w:val="nil"/>
            </w:tcBorders>
            <w:noWrap w:val="0"/>
            <w:vAlign w:val="center"/>
          </w:tcPr>
          <w:p w14:paraId="41D40DE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人均GDP水平</w:t>
            </w:r>
          </w:p>
        </w:tc>
        <w:tc>
          <w:tcPr>
            <w:tcW w:w="1320" w:type="dxa"/>
            <w:vMerge w:val="restart"/>
            <w:tcBorders>
              <w:tl2br w:val="nil"/>
              <w:tr2bl w:val="nil"/>
            </w:tcBorders>
            <w:noWrap w:val="0"/>
            <w:vAlign w:val="center"/>
          </w:tcPr>
          <w:p w14:paraId="129F180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统计部门</w:t>
            </w:r>
          </w:p>
        </w:tc>
        <w:tc>
          <w:tcPr>
            <w:tcW w:w="5985" w:type="dxa"/>
            <w:vMerge w:val="restart"/>
            <w:tcBorders>
              <w:tl2br w:val="nil"/>
              <w:tr2bl w:val="nil"/>
            </w:tcBorders>
            <w:noWrap w:val="0"/>
            <w:vAlign w:val="center"/>
          </w:tcPr>
          <w:p w14:paraId="5C89CAA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 xml:space="preserve">评估子区域所在地市或区县上一年度 </w:t>
            </w:r>
          </w:p>
          <w:p w14:paraId="1A17203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GDP与当地常住人口数量的比值，</w:t>
            </w:r>
          </w:p>
          <w:p w14:paraId="0BBD167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万元/人</w:t>
            </w:r>
          </w:p>
        </w:tc>
        <w:tc>
          <w:tcPr>
            <w:tcW w:w="1710" w:type="dxa"/>
            <w:tcBorders>
              <w:tl2br w:val="nil"/>
              <w:tr2bl w:val="nil"/>
            </w:tcBorders>
            <w:noWrap w:val="0"/>
            <w:vAlign w:val="center"/>
          </w:tcPr>
          <w:p w14:paraId="7F27353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3</w:t>
            </w:r>
          </w:p>
        </w:tc>
        <w:tc>
          <w:tcPr>
            <w:tcW w:w="1050" w:type="dxa"/>
            <w:tcBorders>
              <w:tl2br w:val="nil"/>
              <w:tr2bl w:val="nil"/>
            </w:tcBorders>
            <w:noWrap w:val="0"/>
            <w:vAlign w:val="center"/>
          </w:tcPr>
          <w:p w14:paraId="7B886E4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1012" w:type="dxa"/>
            <w:vMerge w:val="restart"/>
            <w:tcBorders>
              <w:tl2br w:val="nil"/>
              <w:tr2bl w:val="nil"/>
            </w:tcBorders>
            <w:noWrap w:val="0"/>
            <w:vAlign w:val="center"/>
          </w:tcPr>
          <w:p w14:paraId="12055A84">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62F4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1E231E7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03B3FE0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5A804304">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6BC94D7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7D21F25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3</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2302AF0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1012" w:type="dxa"/>
            <w:vMerge w:val="continue"/>
            <w:tcBorders>
              <w:tl2br w:val="nil"/>
              <w:tr2bl w:val="nil"/>
            </w:tcBorders>
            <w:noWrap w:val="0"/>
            <w:vAlign w:val="center"/>
          </w:tcPr>
          <w:p w14:paraId="2B87454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5751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5EE2172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4F7A7C3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39F378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575E599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3EB661B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5</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lang w:val="en-US" w:eastAsia="zh-CN"/>
              </w:rPr>
              <w:t>10</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3F700A9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1012" w:type="dxa"/>
            <w:vMerge w:val="continue"/>
            <w:tcBorders>
              <w:tl2br w:val="nil"/>
              <w:tr2bl w:val="nil"/>
            </w:tcBorders>
            <w:noWrap w:val="0"/>
            <w:vAlign w:val="center"/>
          </w:tcPr>
          <w:p w14:paraId="5FE19BA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6340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45732DC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2E5A279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4CC25A6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2E24C86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52F0C25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≥10</w:t>
            </w:r>
          </w:p>
        </w:tc>
        <w:tc>
          <w:tcPr>
            <w:tcW w:w="1050" w:type="dxa"/>
            <w:tcBorders>
              <w:tl2br w:val="nil"/>
              <w:tr2bl w:val="nil"/>
            </w:tcBorders>
            <w:noWrap w:val="0"/>
            <w:vAlign w:val="center"/>
          </w:tcPr>
          <w:p w14:paraId="6B26EB7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51974FF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3D5C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2" w:type="dxa"/>
            <w:gridSpan w:val="6"/>
            <w:tcBorders>
              <w:tl2br w:val="nil"/>
              <w:tr2bl w:val="nil"/>
            </w:tcBorders>
            <w:noWrap w:val="0"/>
            <w:vAlign w:val="center"/>
          </w:tcPr>
          <w:p w14:paraId="12321CF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1012" w:type="dxa"/>
            <w:tcBorders>
              <w:tl2br w:val="nil"/>
              <w:tr2bl w:val="nil"/>
            </w:tcBorders>
            <w:noWrap w:val="0"/>
            <w:vAlign w:val="center"/>
          </w:tcPr>
          <w:p w14:paraId="6FCD820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32</w:t>
            </w:r>
          </w:p>
        </w:tc>
      </w:tr>
    </w:tbl>
    <w:p w14:paraId="63BD8C1D">
      <w:pPr>
        <w:ind w:firstLine="480"/>
        <w:rPr>
          <w:rFonts w:hint="default" w:ascii="Times New Roman" w:hAnsi="Times New Roman" w:eastAsia="仿宋" w:cs="Times New Roman"/>
          <w:color w:val="auto"/>
          <w:spacing w:val="-2"/>
          <w:sz w:val="28"/>
          <w:szCs w:val="28"/>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65043BA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（三）环境风险防控与应急能力（M）</w:t>
      </w:r>
    </w:p>
    <w:p w14:paraId="176158C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①行政区域环境风险防控能力建设</w:t>
      </w:r>
    </w:p>
    <w:p w14:paraId="2BC5B4B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兴县区域内定期对区域内的重点水域和重点排污单位进行检测。其中环境质量检测包括</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地表水水质监测、城镇集中饮用水源监测、乡镇集中饮用水源监测。</w:t>
      </w:r>
    </w:p>
    <w:p w14:paraId="3512994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②污染物拦截能力</w:t>
      </w:r>
    </w:p>
    <w:p w14:paraId="3D82DBC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区域内蔚汾河、岚漪河等及其支流交汇处均修筑多级拦截坝，拦截上游来水并利用铁丝网、支架、防水布和沙包等简易材料对坝体进行快速加固加高，减缓下游污染物推移速度，减轻截污压力。</w:t>
      </w:r>
    </w:p>
    <w:p w14:paraId="187ED4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③环境应急预案编制情况</w:t>
      </w:r>
    </w:p>
    <w:p w14:paraId="30DD9CD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兴县人民政府办公室于2021年编制了《兴县突发环境事件应急预案》。成立了应急工作组，建立了预防和预警机制。</w:t>
      </w:r>
    </w:p>
    <w:p w14:paraId="46342A7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兴县区域内已有27家企业进行了突发环境事件应急预案编制和备案工作，企业应急人员的总数量与区域环境风险企业数量的比值大于10人/家，但是人员学历及培训上岗率低于50%。</w:t>
      </w:r>
    </w:p>
    <w:p w14:paraId="43AAA34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④企业应急物资储备情况</w:t>
      </w:r>
    </w:p>
    <w:p w14:paraId="237E932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根据兴县已备案应急预案中得知，企业中已配备有一定量的应急物资</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可以应对各企业内发生的一般应急事故</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将事故控制在厂区内，涉及水污染事故的企业中部分企业废水总排口设有闸阀，可在发生事故后关闭闸阀，将污染源控制在厂内；未设置闸阀企业配备有消防沙袋及堵塞物资，可在发生事故后对总排口进行封闭处理；其他企业整改事项中已计划对废水总排口控制措施进行整改。</w:t>
      </w:r>
    </w:p>
    <w:p w14:paraId="3A64595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吕梁市生态环境局兴县分局配备有一定量的应急物资</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可在企业应急物资不足时，对企业进行支援。</w:t>
      </w:r>
    </w:p>
    <w:p w14:paraId="602AE8A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⑤应急监测能力</w:t>
      </w:r>
    </w:p>
    <w:p w14:paraId="6528FF9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sectPr>
          <w:pgSz w:w="11920" w:h="16838"/>
          <w:pgMar w:top="1440" w:right="1803" w:bottom="1440" w:left="1803" w:header="850" w:footer="850" w:gutter="0"/>
          <w:pgBorders>
            <w:top w:val="none" w:sz="0" w:space="0"/>
            <w:left w:val="none" w:sz="0" w:space="0"/>
            <w:bottom w:val="none" w:sz="0" w:space="0"/>
            <w:right w:val="none" w:sz="0" w:space="0"/>
          </w:pgBorders>
          <w:lnNumType w:countBy="0" w:distance="360"/>
          <w:pgNumType w:fmt="numberInDash"/>
          <w:cols w:space="720" w:num="1"/>
        </w:sectPr>
      </w:pPr>
      <w:r>
        <w:rPr>
          <w:rFonts w:hint="default" w:ascii="Times New Roman" w:hAnsi="Times New Roman" w:eastAsia="仿宋" w:cs="Times New Roman"/>
          <w:bCs/>
          <w:color w:val="auto"/>
          <w:kern w:val="0"/>
          <w:sz w:val="28"/>
          <w:szCs w:val="28"/>
          <w:lang w:val="en-US" w:eastAsia="zh-CN" w:bidi="ar-SA"/>
        </w:rPr>
        <w:t>山西省吕梁生态环境监测中心具有检验检测机构资质认定：监测站现有人员的水平和数量、环境监测仪器设备、应急监测车等环境应急监测综合水平不能满足应急监测需求，当发生事故应急物资不足时调用企业物资。</w:t>
      </w:r>
    </w:p>
    <w:p w14:paraId="0D9881A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5</w:t>
      </w:r>
      <w:r>
        <w:rPr>
          <w:rFonts w:hint="default" w:ascii="Times New Roman" w:hAnsi="Times New Roman" w:eastAsia="仿宋" w:cs="Times New Roman"/>
          <w:b/>
          <w:bCs/>
          <w:color w:val="auto"/>
          <w:kern w:val="0"/>
          <w:sz w:val="24"/>
          <w:lang w:val="en-US" w:eastAsia="zh-CN"/>
        </w:rPr>
        <w:t xml:space="preserve">  水环境风险防控与应急能力指数（M）评估表</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1289"/>
        <w:gridCol w:w="1295"/>
        <w:gridCol w:w="4224"/>
        <w:gridCol w:w="5493"/>
        <w:gridCol w:w="732"/>
        <w:gridCol w:w="1340"/>
      </w:tblGrid>
      <w:tr w14:paraId="760B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restart"/>
            <w:tcBorders>
              <w:tl2br w:val="nil"/>
              <w:tr2bl w:val="nil"/>
            </w:tcBorders>
            <w:noWrap w:val="0"/>
            <w:vAlign w:val="center"/>
          </w:tcPr>
          <w:p w14:paraId="4FF030E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433" w:type="pct"/>
            <w:vMerge w:val="restart"/>
            <w:tcBorders>
              <w:tl2br w:val="nil"/>
              <w:tr2bl w:val="nil"/>
            </w:tcBorders>
            <w:noWrap w:val="0"/>
            <w:vAlign w:val="center"/>
          </w:tcPr>
          <w:p w14:paraId="7739FF5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评估指标</w:t>
            </w:r>
          </w:p>
        </w:tc>
        <w:tc>
          <w:tcPr>
            <w:tcW w:w="435" w:type="pct"/>
            <w:vMerge w:val="restart"/>
            <w:tcBorders>
              <w:tl2br w:val="nil"/>
              <w:tr2bl w:val="nil"/>
            </w:tcBorders>
            <w:noWrap w:val="0"/>
            <w:vAlign w:val="center"/>
          </w:tcPr>
          <w:p w14:paraId="076D5FE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数据来源</w:t>
            </w:r>
          </w:p>
        </w:tc>
        <w:tc>
          <w:tcPr>
            <w:tcW w:w="3508" w:type="pct"/>
            <w:gridSpan w:val="3"/>
            <w:tcBorders>
              <w:tl2br w:val="nil"/>
              <w:tr2bl w:val="nil"/>
            </w:tcBorders>
            <w:noWrap w:val="0"/>
            <w:vAlign w:val="center"/>
          </w:tcPr>
          <w:p w14:paraId="795BA3F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水环境风险</w:t>
            </w:r>
          </w:p>
        </w:tc>
        <w:tc>
          <w:tcPr>
            <w:tcW w:w="450" w:type="pct"/>
            <w:vMerge w:val="restart"/>
            <w:tcBorders>
              <w:tl2br w:val="nil"/>
              <w:tr2bl w:val="nil"/>
            </w:tcBorders>
            <w:noWrap w:val="0"/>
            <w:vAlign w:val="center"/>
          </w:tcPr>
          <w:p w14:paraId="738B5CB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kern w:val="0"/>
                <w:sz w:val="21"/>
                <w:szCs w:val="21"/>
              </w:rPr>
              <w:t>瓦塘镇</w:t>
            </w:r>
          </w:p>
        </w:tc>
      </w:tr>
      <w:tr w14:paraId="41E3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6BD4EFC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3BACBDA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3251961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tcBorders>
              <w:tl2br w:val="nil"/>
              <w:tr2bl w:val="nil"/>
            </w:tcBorders>
            <w:noWrap w:val="0"/>
            <w:vAlign w:val="center"/>
          </w:tcPr>
          <w:p w14:paraId="0B37444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指标说明</w:t>
            </w:r>
          </w:p>
        </w:tc>
        <w:tc>
          <w:tcPr>
            <w:tcW w:w="1845" w:type="pct"/>
            <w:tcBorders>
              <w:tl2br w:val="nil"/>
              <w:tr2bl w:val="nil"/>
            </w:tcBorders>
            <w:noWrap w:val="0"/>
            <w:vAlign w:val="center"/>
          </w:tcPr>
          <w:p w14:paraId="043BF4E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情况</w:t>
            </w:r>
          </w:p>
        </w:tc>
        <w:tc>
          <w:tcPr>
            <w:tcW w:w="244" w:type="pct"/>
            <w:tcBorders>
              <w:tl2br w:val="nil"/>
              <w:tr2bl w:val="nil"/>
            </w:tcBorders>
            <w:noWrap w:val="0"/>
            <w:vAlign w:val="center"/>
          </w:tcPr>
          <w:p w14:paraId="34D22CD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分</w:t>
            </w:r>
            <w:r>
              <w:rPr>
                <w:rFonts w:hint="default" w:ascii="Times New Roman" w:hAnsi="Times New Roman" w:eastAsia="仿宋" w:cs="Times New Roman"/>
                <w:color w:val="auto"/>
                <w:sz w:val="21"/>
                <w:szCs w:val="21"/>
              </w:rPr>
              <w:t>值</w:t>
            </w:r>
          </w:p>
        </w:tc>
        <w:tc>
          <w:tcPr>
            <w:tcW w:w="450" w:type="pct"/>
            <w:vMerge w:val="continue"/>
            <w:tcBorders>
              <w:tl2br w:val="nil"/>
              <w:tr2bl w:val="nil"/>
            </w:tcBorders>
            <w:noWrap w:val="0"/>
            <w:vAlign w:val="center"/>
          </w:tcPr>
          <w:p w14:paraId="3C81B642">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r>
      <w:tr w14:paraId="2F53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restart"/>
            <w:tcBorders>
              <w:tl2br w:val="nil"/>
              <w:tr2bl w:val="nil"/>
            </w:tcBorders>
            <w:noWrap w:val="0"/>
            <w:vAlign w:val="center"/>
          </w:tcPr>
          <w:p w14:paraId="655F7D7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433" w:type="pct"/>
            <w:vMerge w:val="restart"/>
            <w:tcBorders>
              <w:tl2br w:val="nil"/>
              <w:tr2bl w:val="nil"/>
            </w:tcBorders>
            <w:noWrap w:val="0"/>
            <w:vAlign w:val="center"/>
          </w:tcPr>
          <w:p w14:paraId="739DB49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监测预警能力</w:t>
            </w:r>
          </w:p>
        </w:tc>
        <w:tc>
          <w:tcPr>
            <w:tcW w:w="435" w:type="pct"/>
            <w:vMerge w:val="restart"/>
            <w:tcBorders>
              <w:tl2br w:val="nil"/>
              <w:tr2bl w:val="nil"/>
            </w:tcBorders>
            <w:noWrap w:val="0"/>
            <w:vAlign w:val="center"/>
          </w:tcPr>
          <w:p w14:paraId="1C247D0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19" w:type="pct"/>
            <w:vMerge w:val="restart"/>
            <w:tcBorders>
              <w:tl2br w:val="nil"/>
              <w:tr2bl w:val="nil"/>
            </w:tcBorders>
            <w:noWrap w:val="0"/>
            <w:vAlign w:val="center"/>
          </w:tcPr>
          <w:p w14:paraId="1393744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评估区域内，通过设置水环境应急监测点 位预测预警突发水环境事件的能力</w:t>
            </w:r>
          </w:p>
        </w:tc>
        <w:tc>
          <w:tcPr>
            <w:tcW w:w="1845" w:type="pct"/>
            <w:tcBorders>
              <w:tl2br w:val="nil"/>
              <w:tr2bl w:val="nil"/>
            </w:tcBorders>
            <w:noWrap w:val="0"/>
            <w:vAlign w:val="center"/>
          </w:tcPr>
          <w:p w14:paraId="4E6D3FB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未设置应急监测、环境质量监测点位</w:t>
            </w:r>
          </w:p>
        </w:tc>
        <w:tc>
          <w:tcPr>
            <w:tcW w:w="244" w:type="pct"/>
            <w:tcBorders>
              <w:tl2br w:val="nil"/>
              <w:tr2bl w:val="nil"/>
            </w:tcBorders>
            <w:noWrap w:val="0"/>
            <w:vAlign w:val="center"/>
          </w:tcPr>
          <w:p w14:paraId="18B7D8E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450" w:type="pct"/>
            <w:vMerge w:val="restart"/>
            <w:tcBorders>
              <w:tl2br w:val="nil"/>
              <w:tr2bl w:val="nil"/>
            </w:tcBorders>
            <w:noWrap w:val="0"/>
            <w:vAlign w:val="center"/>
          </w:tcPr>
          <w:p w14:paraId="712E140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14:paraId="1F0E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0525045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5EB4BA2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02A04B4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0F0F5AA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729A873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仅设置环境质量监测点位</w:t>
            </w:r>
          </w:p>
        </w:tc>
        <w:tc>
          <w:tcPr>
            <w:tcW w:w="244" w:type="pct"/>
            <w:tcBorders>
              <w:tl2br w:val="nil"/>
              <w:tr2bl w:val="nil"/>
            </w:tcBorders>
            <w:noWrap w:val="0"/>
            <w:vAlign w:val="center"/>
          </w:tcPr>
          <w:p w14:paraId="24E8D8A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450" w:type="pct"/>
            <w:vMerge w:val="continue"/>
            <w:tcBorders>
              <w:tl2br w:val="nil"/>
              <w:tr2bl w:val="nil"/>
            </w:tcBorders>
            <w:noWrap w:val="0"/>
            <w:vAlign w:val="center"/>
          </w:tcPr>
          <w:p w14:paraId="2EB2882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9A7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71" w:type="pct"/>
            <w:vMerge w:val="continue"/>
            <w:tcBorders>
              <w:tl2br w:val="nil"/>
              <w:tr2bl w:val="nil"/>
            </w:tcBorders>
            <w:noWrap w:val="0"/>
            <w:vAlign w:val="center"/>
          </w:tcPr>
          <w:p w14:paraId="5AEEBA9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289358D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492CD25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64AC71D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292F6B6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设置应急监测及环境质量监测点位</w:t>
            </w:r>
          </w:p>
        </w:tc>
        <w:tc>
          <w:tcPr>
            <w:tcW w:w="244" w:type="pct"/>
            <w:tcBorders>
              <w:tl2br w:val="nil"/>
              <w:tr2bl w:val="nil"/>
            </w:tcBorders>
            <w:noWrap w:val="0"/>
            <w:vAlign w:val="center"/>
          </w:tcPr>
          <w:p w14:paraId="77E69903">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0" w:type="pct"/>
            <w:vMerge w:val="continue"/>
            <w:tcBorders>
              <w:tl2br w:val="nil"/>
              <w:tr2bl w:val="nil"/>
            </w:tcBorders>
            <w:noWrap w:val="0"/>
            <w:vAlign w:val="center"/>
          </w:tcPr>
          <w:p w14:paraId="78F59D7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5758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71" w:type="pct"/>
            <w:vMerge w:val="restart"/>
            <w:tcBorders>
              <w:tl2br w:val="nil"/>
              <w:tr2bl w:val="nil"/>
            </w:tcBorders>
            <w:noWrap w:val="0"/>
            <w:vAlign w:val="center"/>
          </w:tcPr>
          <w:p w14:paraId="5C1F43B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433" w:type="pct"/>
            <w:vMerge w:val="restart"/>
            <w:tcBorders>
              <w:tl2br w:val="nil"/>
              <w:tr2bl w:val="nil"/>
            </w:tcBorders>
            <w:noWrap w:val="0"/>
            <w:vAlign w:val="center"/>
          </w:tcPr>
          <w:p w14:paraId="3FDFC5F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污染物的拦截、</w:t>
            </w:r>
            <w:r>
              <w:rPr>
                <w:rFonts w:hint="default" w:ascii="Times New Roman" w:hAnsi="Times New Roman" w:cs="Times New Roman"/>
                <w:color w:val="auto"/>
                <w:sz w:val="21"/>
                <w:szCs w:val="21"/>
                <w:lang w:val="en-US" w:eastAsia="zh-CN"/>
              </w:rPr>
              <w:t>稀释</w:t>
            </w:r>
            <w:r>
              <w:rPr>
                <w:rFonts w:hint="default" w:ascii="Times New Roman" w:hAnsi="Times New Roman" w:eastAsia="仿宋" w:cs="Times New Roman"/>
                <w:color w:val="auto"/>
                <w:sz w:val="21"/>
                <w:szCs w:val="21"/>
                <w:lang w:val="en-US" w:eastAsia="zh-CN"/>
              </w:rPr>
              <w:t>和处置能力</w:t>
            </w:r>
          </w:p>
        </w:tc>
        <w:tc>
          <w:tcPr>
            <w:tcW w:w="435" w:type="pct"/>
            <w:vMerge w:val="restart"/>
            <w:tcBorders>
              <w:tl2br w:val="nil"/>
              <w:tr2bl w:val="nil"/>
            </w:tcBorders>
            <w:noWrap w:val="0"/>
            <w:vAlign w:val="center"/>
          </w:tcPr>
          <w:p w14:paraId="1C79839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政府应急部门</w:t>
            </w:r>
          </w:p>
        </w:tc>
        <w:tc>
          <w:tcPr>
            <w:tcW w:w="1419" w:type="pct"/>
            <w:vMerge w:val="restart"/>
            <w:tcBorders>
              <w:tl2br w:val="nil"/>
              <w:tr2bl w:val="nil"/>
            </w:tcBorders>
            <w:noWrap w:val="0"/>
            <w:vAlign w:val="center"/>
          </w:tcPr>
          <w:p w14:paraId="0E38983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当突发环境事件发生时</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评估区域内通过筑坝、导流等方式对污染物的拦截能力</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通过上游调水降低水体中污染物浓度的能力</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通过物化处理、吸附等方式对污染物就地处置或异地处置能力</w:t>
            </w:r>
          </w:p>
        </w:tc>
        <w:tc>
          <w:tcPr>
            <w:tcW w:w="1845" w:type="pct"/>
            <w:tcBorders>
              <w:tl2br w:val="nil"/>
              <w:tr2bl w:val="nil"/>
            </w:tcBorders>
            <w:noWrap w:val="0"/>
            <w:vAlign w:val="center"/>
          </w:tcPr>
          <w:p w14:paraId="25FB5015">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拦截、导流、稀释及物理化学处理能力皆不具备</w:t>
            </w:r>
          </w:p>
        </w:tc>
        <w:tc>
          <w:tcPr>
            <w:tcW w:w="244" w:type="pct"/>
            <w:tcBorders>
              <w:tl2br w:val="nil"/>
              <w:tr2bl w:val="nil"/>
            </w:tcBorders>
            <w:noWrap w:val="0"/>
            <w:vAlign w:val="center"/>
          </w:tcPr>
          <w:p w14:paraId="3874DE0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450" w:type="pct"/>
            <w:vMerge w:val="restart"/>
            <w:tcBorders>
              <w:tl2br w:val="nil"/>
              <w:tr2bl w:val="nil"/>
            </w:tcBorders>
            <w:noWrap w:val="0"/>
            <w:vAlign w:val="center"/>
          </w:tcPr>
          <w:p w14:paraId="1CC436C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0DE2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38E3F8B9">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2C4A8D2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4D431B5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07C8591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7D2EEB4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具备拦截、导流、稀释及物理化学处理其中任意一种能力</w:t>
            </w:r>
          </w:p>
        </w:tc>
        <w:tc>
          <w:tcPr>
            <w:tcW w:w="244" w:type="pct"/>
            <w:tcBorders>
              <w:tl2br w:val="nil"/>
              <w:tr2bl w:val="nil"/>
            </w:tcBorders>
            <w:noWrap w:val="0"/>
            <w:vAlign w:val="center"/>
          </w:tcPr>
          <w:p w14:paraId="72481C03">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450" w:type="pct"/>
            <w:vMerge w:val="continue"/>
            <w:tcBorders>
              <w:tl2br w:val="nil"/>
              <w:tr2bl w:val="nil"/>
            </w:tcBorders>
            <w:noWrap w:val="0"/>
            <w:vAlign w:val="center"/>
          </w:tcPr>
          <w:p w14:paraId="42E323E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1C1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2E9C0BC8">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3" w:type="pct"/>
            <w:vMerge w:val="continue"/>
            <w:tcBorders>
              <w:tl2br w:val="nil"/>
              <w:tr2bl w:val="nil"/>
            </w:tcBorders>
            <w:noWrap w:val="0"/>
            <w:vAlign w:val="center"/>
          </w:tcPr>
          <w:p w14:paraId="725EDDAB">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5" w:type="pct"/>
            <w:vMerge w:val="continue"/>
            <w:tcBorders>
              <w:tl2br w:val="nil"/>
              <w:tr2bl w:val="nil"/>
            </w:tcBorders>
            <w:noWrap w:val="0"/>
            <w:vAlign w:val="center"/>
          </w:tcPr>
          <w:p w14:paraId="0A9F0C44">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1419" w:type="pct"/>
            <w:vMerge w:val="continue"/>
            <w:tcBorders>
              <w:tl2br w:val="nil"/>
              <w:tr2bl w:val="nil"/>
            </w:tcBorders>
            <w:noWrap w:val="0"/>
            <w:vAlign w:val="center"/>
          </w:tcPr>
          <w:p w14:paraId="38264DB1">
            <w:pPr>
              <w:pStyle w:val="35"/>
              <w:keepNext w:val="0"/>
              <w:keepLines w:val="0"/>
              <w:pageBreakBefore w:val="0"/>
              <w:kinsoku w:val="0"/>
              <w:wordWrap/>
              <w:overflowPunct w:val="0"/>
              <w:topLinePunct w:val="0"/>
              <w:bidi w:val="0"/>
              <w:spacing w:beforeLines="0" w:afterLines="0" w:line="270" w:lineRule="exact"/>
              <w:ind w:left="340" w:leftChars="0" w:firstLine="0" w:firstLineChars="0"/>
              <w:jc w:val="center"/>
              <w:textAlignment w:val="auto"/>
              <w:rPr>
                <w:rFonts w:hint="default" w:ascii="Times New Roman" w:hAnsi="Times New Roman" w:eastAsia="宋体" w:cs="Times New Roman"/>
                <w:color w:val="auto"/>
                <w:spacing w:val="-1"/>
                <w:sz w:val="21"/>
                <w:szCs w:val="21"/>
              </w:rPr>
            </w:pPr>
          </w:p>
        </w:tc>
        <w:tc>
          <w:tcPr>
            <w:tcW w:w="1845" w:type="pct"/>
            <w:tcBorders>
              <w:tl2br w:val="nil"/>
              <w:tr2bl w:val="nil"/>
            </w:tcBorders>
            <w:noWrap w:val="0"/>
            <w:vAlign w:val="center"/>
          </w:tcPr>
          <w:p w14:paraId="7C8CB8B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具备拦截、导流、稀释及物理化学处理其中任意</w:t>
            </w:r>
            <w:r>
              <w:rPr>
                <w:rFonts w:hint="default" w:ascii="Times New Roman" w:hAnsi="Times New Roman" w:eastAsia="仿宋" w:cs="Times New Roman"/>
                <w:color w:val="auto"/>
                <w:sz w:val="21"/>
                <w:szCs w:val="21"/>
                <w:lang w:val="en-US" w:eastAsia="zh-CN"/>
              </w:rPr>
              <w:t>两</w:t>
            </w:r>
            <w:r>
              <w:rPr>
                <w:rFonts w:hint="default" w:ascii="Times New Roman" w:hAnsi="Times New Roman" w:eastAsia="仿宋" w:cs="Times New Roman"/>
                <w:color w:val="auto"/>
                <w:sz w:val="21"/>
                <w:szCs w:val="21"/>
              </w:rPr>
              <w:t>种能力</w:t>
            </w:r>
          </w:p>
        </w:tc>
        <w:tc>
          <w:tcPr>
            <w:tcW w:w="244" w:type="pct"/>
            <w:tcBorders>
              <w:tl2br w:val="nil"/>
              <w:tr2bl w:val="nil"/>
            </w:tcBorders>
            <w:noWrap w:val="0"/>
            <w:vAlign w:val="center"/>
          </w:tcPr>
          <w:p w14:paraId="5CA64E0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0" w:type="pct"/>
            <w:vMerge w:val="continue"/>
            <w:tcBorders>
              <w:tl2br w:val="nil"/>
              <w:tr2bl w:val="nil"/>
            </w:tcBorders>
            <w:noWrap w:val="0"/>
            <w:vAlign w:val="center"/>
          </w:tcPr>
          <w:p w14:paraId="3C6E537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69A5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restart"/>
            <w:tcBorders>
              <w:tl2br w:val="nil"/>
              <w:tr2bl w:val="nil"/>
            </w:tcBorders>
            <w:noWrap w:val="0"/>
            <w:vAlign w:val="center"/>
          </w:tcPr>
          <w:p w14:paraId="07F01D3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33" w:type="pct"/>
            <w:vMerge w:val="restart"/>
            <w:tcBorders>
              <w:tl2br w:val="nil"/>
              <w:tr2bl w:val="nil"/>
            </w:tcBorders>
            <w:noWrap w:val="0"/>
            <w:vAlign w:val="center"/>
          </w:tcPr>
          <w:p w14:paraId="6F23CF4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环境应急预案编制情况</w:t>
            </w:r>
          </w:p>
        </w:tc>
        <w:tc>
          <w:tcPr>
            <w:tcW w:w="435" w:type="pct"/>
            <w:vMerge w:val="restart"/>
            <w:tcBorders>
              <w:tl2br w:val="nil"/>
              <w:tr2bl w:val="nil"/>
            </w:tcBorders>
            <w:noWrap w:val="0"/>
            <w:vAlign w:val="center"/>
          </w:tcPr>
          <w:p w14:paraId="69F0D36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政府应急部门</w:t>
            </w:r>
          </w:p>
        </w:tc>
        <w:tc>
          <w:tcPr>
            <w:tcW w:w="1419" w:type="pct"/>
            <w:vMerge w:val="restart"/>
            <w:tcBorders>
              <w:tl2br w:val="nil"/>
              <w:tr2bl w:val="nil"/>
            </w:tcBorders>
            <w:noWrap w:val="0"/>
            <w:vAlign w:val="center"/>
          </w:tcPr>
          <w:p w14:paraId="04A4684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评估区域内是否具有专项环境应急预案；政府环境应急预案和部门环境应急预案有无相关内容</w:t>
            </w:r>
          </w:p>
        </w:tc>
        <w:tc>
          <w:tcPr>
            <w:tcW w:w="1845" w:type="pct"/>
            <w:tcBorders>
              <w:tl2br w:val="nil"/>
              <w:tr2bl w:val="nil"/>
            </w:tcBorders>
            <w:noWrap w:val="0"/>
            <w:vAlign w:val="center"/>
          </w:tcPr>
          <w:p w14:paraId="57E7AB3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无</w:t>
            </w:r>
            <w:r>
              <w:rPr>
                <w:rFonts w:hint="default" w:ascii="Times New Roman" w:hAnsi="Times New Roman" w:eastAsia="仿宋" w:cs="Times New Roman"/>
                <w:color w:val="auto"/>
                <w:sz w:val="21"/>
                <w:szCs w:val="21"/>
                <w:lang w:val="en-US" w:eastAsia="zh-CN"/>
              </w:rPr>
              <w:t>专项应急预案</w:t>
            </w:r>
            <w:r>
              <w:rPr>
                <w:rFonts w:hint="default" w:ascii="Times New Roman" w:hAnsi="Times New Roman" w:cs="Times New Roman"/>
                <w:color w:val="auto"/>
                <w:sz w:val="21"/>
                <w:szCs w:val="21"/>
                <w:lang w:val="en-US" w:eastAsia="zh-CN"/>
              </w:rPr>
              <w:t>，在部门和政府预案中无相关内容</w:t>
            </w:r>
          </w:p>
        </w:tc>
        <w:tc>
          <w:tcPr>
            <w:tcW w:w="244" w:type="pct"/>
            <w:tcBorders>
              <w:tl2br w:val="nil"/>
              <w:tr2bl w:val="nil"/>
            </w:tcBorders>
            <w:noWrap w:val="0"/>
            <w:vAlign w:val="center"/>
          </w:tcPr>
          <w:p w14:paraId="2A9102A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450" w:type="pct"/>
            <w:vMerge w:val="restart"/>
            <w:tcBorders>
              <w:tl2br w:val="nil"/>
              <w:tr2bl w:val="nil"/>
            </w:tcBorders>
            <w:noWrap w:val="0"/>
            <w:vAlign w:val="center"/>
          </w:tcPr>
          <w:p w14:paraId="35F5E89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r>
      <w:tr w14:paraId="5339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65EFD31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3" w:type="pct"/>
            <w:vMerge w:val="continue"/>
            <w:tcBorders>
              <w:tl2br w:val="nil"/>
              <w:tr2bl w:val="nil"/>
            </w:tcBorders>
            <w:noWrap w:val="0"/>
            <w:vAlign w:val="center"/>
          </w:tcPr>
          <w:p w14:paraId="6D25ADA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435" w:type="pct"/>
            <w:vMerge w:val="continue"/>
            <w:tcBorders>
              <w:tl2br w:val="nil"/>
              <w:tr2bl w:val="nil"/>
            </w:tcBorders>
            <w:noWrap w:val="0"/>
            <w:vAlign w:val="center"/>
          </w:tcPr>
          <w:p w14:paraId="7CD6D6F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9" w:type="pct"/>
            <w:vMerge w:val="continue"/>
            <w:tcBorders>
              <w:tl2br w:val="nil"/>
              <w:tr2bl w:val="nil"/>
            </w:tcBorders>
            <w:noWrap w:val="0"/>
            <w:vAlign w:val="center"/>
          </w:tcPr>
          <w:p w14:paraId="77C48289">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845" w:type="pct"/>
            <w:tcBorders>
              <w:tl2br w:val="nil"/>
              <w:tr2bl w:val="nil"/>
            </w:tcBorders>
            <w:noWrap w:val="0"/>
            <w:vAlign w:val="center"/>
          </w:tcPr>
          <w:p w14:paraId="7FAA35F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无</w:t>
            </w:r>
            <w:r>
              <w:rPr>
                <w:rFonts w:hint="default" w:ascii="Times New Roman" w:hAnsi="Times New Roman" w:eastAsia="仿宋" w:cs="Times New Roman"/>
                <w:color w:val="auto"/>
                <w:sz w:val="21"/>
                <w:szCs w:val="21"/>
                <w:lang w:val="en-US" w:eastAsia="zh-CN"/>
              </w:rPr>
              <w:t>专项应急预案</w:t>
            </w:r>
            <w:r>
              <w:rPr>
                <w:rFonts w:hint="default" w:ascii="Times New Roman" w:hAnsi="Times New Roman" w:cs="Times New Roman"/>
                <w:color w:val="auto"/>
                <w:sz w:val="21"/>
                <w:szCs w:val="21"/>
                <w:lang w:val="en-US" w:eastAsia="zh-CN"/>
              </w:rPr>
              <w:t>，在部门应急预案或政府应急预案中有相关内容</w:t>
            </w:r>
          </w:p>
        </w:tc>
        <w:tc>
          <w:tcPr>
            <w:tcW w:w="244" w:type="pct"/>
            <w:tcBorders>
              <w:tl2br w:val="nil"/>
              <w:tr2bl w:val="nil"/>
            </w:tcBorders>
            <w:noWrap w:val="0"/>
            <w:vAlign w:val="center"/>
          </w:tcPr>
          <w:p w14:paraId="2575D99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450" w:type="pct"/>
            <w:vMerge w:val="continue"/>
            <w:tcBorders>
              <w:tl2br w:val="nil"/>
              <w:tr2bl w:val="nil"/>
            </w:tcBorders>
            <w:noWrap w:val="0"/>
            <w:vAlign w:val="center"/>
          </w:tcPr>
          <w:p w14:paraId="643468E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15D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69D67D9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3" w:type="pct"/>
            <w:vMerge w:val="continue"/>
            <w:tcBorders>
              <w:tl2br w:val="nil"/>
              <w:tr2bl w:val="nil"/>
            </w:tcBorders>
            <w:noWrap w:val="0"/>
            <w:vAlign w:val="center"/>
          </w:tcPr>
          <w:p w14:paraId="0AC45D4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435" w:type="pct"/>
            <w:vMerge w:val="continue"/>
            <w:tcBorders>
              <w:tl2br w:val="nil"/>
              <w:tr2bl w:val="nil"/>
            </w:tcBorders>
            <w:noWrap w:val="0"/>
            <w:vAlign w:val="center"/>
          </w:tcPr>
          <w:p w14:paraId="11DDD31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9" w:type="pct"/>
            <w:vMerge w:val="continue"/>
            <w:tcBorders>
              <w:tl2br w:val="nil"/>
              <w:tr2bl w:val="nil"/>
            </w:tcBorders>
            <w:noWrap w:val="0"/>
            <w:vAlign w:val="center"/>
          </w:tcPr>
          <w:p w14:paraId="6D72D24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845" w:type="pct"/>
            <w:tcBorders>
              <w:tl2br w:val="nil"/>
              <w:tr2bl w:val="nil"/>
            </w:tcBorders>
            <w:noWrap w:val="0"/>
            <w:vAlign w:val="center"/>
          </w:tcPr>
          <w:p w14:paraId="22DE8F1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有专项应急预案</w:t>
            </w:r>
          </w:p>
        </w:tc>
        <w:tc>
          <w:tcPr>
            <w:tcW w:w="244" w:type="pct"/>
            <w:tcBorders>
              <w:tl2br w:val="nil"/>
              <w:tr2bl w:val="nil"/>
            </w:tcBorders>
            <w:noWrap w:val="0"/>
            <w:vAlign w:val="center"/>
          </w:tcPr>
          <w:p w14:paraId="4493EF2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450" w:type="pct"/>
            <w:vMerge w:val="continue"/>
            <w:tcBorders>
              <w:tl2br w:val="nil"/>
              <w:tr2bl w:val="nil"/>
            </w:tcBorders>
            <w:noWrap w:val="0"/>
            <w:vAlign w:val="center"/>
          </w:tcPr>
          <w:p w14:paraId="75A722C3">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1FB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restart"/>
            <w:tcBorders>
              <w:tl2br w:val="nil"/>
              <w:tr2bl w:val="nil"/>
            </w:tcBorders>
            <w:noWrap w:val="0"/>
            <w:vAlign w:val="center"/>
          </w:tcPr>
          <w:p w14:paraId="5754B94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433" w:type="pct"/>
            <w:vMerge w:val="restart"/>
            <w:tcBorders>
              <w:tl2br w:val="nil"/>
              <w:tr2bl w:val="nil"/>
            </w:tcBorders>
            <w:noWrap w:val="0"/>
            <w:vAlign w:val="center"/>
          </w:tcPr>
          <w:p w14:paraId="6B9B894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环境应急人员数量</w:t>
            </w:r>
          </w:p>
        </w:tc>
        <w:tc>
          <w:tcPr>
            <w:tcW w:w="435" w:type="pct"/>
            <w:vMerge w:val="restart"/>
            <w:tcBorders>
              <w:tl2br w:val="nil"/>
              <w:tr2bl w:val="nil"/>
            </w:tcBorders>
            <w:noWrap w:val="0"/>
            <w:vAlign w:val="center"/>
          </w:tcPr>
          <w:p w14:paraId="2EDBFA23">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环境应急部门</w:t>
            </w:r>
          </w:p>
        </w:tc>
        <w:tc>
          <w:tcPr>
            <w:tcW w:w="1419" w:type="pct"/>
            <w:vMerge w:val="restart"/>
            <w:tcBorders>
              <w:tl2br w:val="nil"/>
              <w:tr2bl w:val="nil"/>
            </w:tcBorders>
            <w:noWrap w:val="0"/>
            <w:vAlign w:val="center"/>
          </w:tcPr>
          <w:p w14:paraId="05AF8A8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评估区域内环境应急人员数量，主要参照全国环保部门环境应急能力建设标准中人员规模、人员学历和培训上岗率要求进行评估。选取与评估子区域所属行政区域级别匹配的标准进行评估</w:t>
            </w:r>
          </w:p>
        </w:tc>
        <w:tc>
          <w:tcPr>
            <w:tcW w:w="1845" w:type="pct"/>
            <w:tcBorders>
              <w:tl2br w:val="nil"/>
              <w:tr2bl w:val="nil"/>
            </w:tcBorders>
            <w:noWrap w:val="0"/>
            <w:vAlign w:val="center"/>
          </w:tcPr>
          <w:p w14:paraId="1413D5E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不达标</w:t>
            </w:r>
          </w:p>
        </w:tc>
        <w:tc>
          <w:tcPr>
            <w:tcW w:w="244" w:type="pct"/>
            <w:tcBorders>
              <w:tl2br w:val="nil"/>
              <w:tr2bl w:val="nil"/>
            </w:tcBorders>
            <w:noWrap w:val="0"/>
            <w:vAlign w:val="center"/>
          </w:tcPr>
          <w:p w14:paraId="0D8F184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450" w:type="pct"/>
            <w:vMerge w:val="restart"/>
            <w:tcBorders>
              <w:tl2br w:val="nil"/>
              <w:tr2bl w:val="nil"/>
            </w:tcBorders>
            <w:noWrap w:val="0"/>
            <w:vAlign w:val="center"/>
          </w:tcPr>
          <w:p w14:paraId="6986BBA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r>
      <w:tr w14:paraId="4AB2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4B63488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2334D765">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7C5F6B8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56235D5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73C43CA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三级</w:t>
            </w:r>
          </w:p>
        </w:tc>
        <w:tc>
          <w:tcPr>
            <w:tcW w:w="244" w:type="pct"/>
            <w:tcBorders>
              <w:tl2br w:val="nil"/>
              <w:tr2bl w:val="nil"/>
            </w:tcBorders>
            <w:noWrap w:val="0"/>
            <w:vAlign w:val="center"/>
          </w:tcPr>
          <w:p w14:paraId="33A74A2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450" w:type="pct"/>
            <w:vMerge w:val="continue"/>
            <w:tcBorders>
              <w:tl2br w:val="nil"/>
              <w:tr2bl w:val="nil"/>
            </w:tcBorders>
            <w:noWrap w:val="0"/>
            <w:vAlign w:val="center"/>
          </w:tcPr>
          <w:p w14:paraId="50EB571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2DF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1" w:type="pct"/>
            <w:vMerge w:val="continue"/>
            <w:tcBorders>
              <w:tl2br w:val="nil"/>
              <w:tr2bl w:val="nil"/>
            </w:tcBorders>
            <w:noWrap w:val="0"/>
            <w:vAlign w:val="center"/>
          </w:tcPr>
          <w:p w14:paraId="78E4684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5BCFCD8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6E99B30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1385EDC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5AF290B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二级</w:t>
            </w:r>
          </w:p>
        </w:tc>
        <w:tc>
          <w:tcPr>
            <w:tcW w:w="244" w:type="pct"/>
            <w:tcBorders>
              <w:tl2br w:val="nil"/>
              <w:tr2bl w:val="nil"/>
            </w:tcBorders>
            <w:noWrap w:val="0"/>
            <w:vAlign w:val="center"/>
          </w:tcPr>
          <w:p w14:paraId="5FB066F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50" w:type="pct"/>
            <w:vMerge w:val="continue"/>
            <w:tcBorders>
              <w:tl2br w:val="nil"/>
              <w:tr2bl w:val="nil"/>
            </w:tcBorders>
            <w:noWrap w:val="0"/>
            <w:vAlign w:val="center"/>
          </w:tcPr>
          <w:p w14:paraId="780BD30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0D00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71" w:type="pct"/>
            <w:vMerge w:val="continue"/>
            <w:tcBorders>
              <w:tl2br w:val="nil"/>
              <w:tr2bl w:val="nil"/>
            </w:tcBorders>
            <w:noWrap w:val="0"/>
            <w:vAlign w:val="center"/>
          </w:tcPr>
          <w:p w14:paraId="1E78178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3D2E638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7D506C59">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7FA0F6C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054F739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一级</w:t>
            </w:r>
          </w:p>
        </w:tc>
        <w:tc>
          <w:tcPr>
            <w:tcW w:w="244" w:type="pct"/>
            <w:tcBorders>
              <w:tl2br w:val="nil"/>
              <w:tr2bl w:val="nil"/>
            </w:tcBorders>
            <w:noWrap w:val="0"/>
            <w:vAlign w:val="center"/>
          </w:tcPr>
          <w:p w14:paraId="6787207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0" w:type="pct"/>
            <w:vMerge w:val="continue"/>
            <w:tcBorders>
              <w:tl2br w:val="nil"/>
              <w:tr2bl w:val="nil"/>
            </w:tcBorders>
            <w:noWrap w:val="0"/>
            <w:vAlign w:val="center"/>
          </w:tcPr>
          <w:p w14:paraId="2778D6B5">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63BD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71" w:type="pct"/>
            <w:vMerge w:val="restart"/>
            <w:tcBorders>
              <w:tl2br w:val="nil"/>
              <w:tr2bl w:val="nil"/>
            </w:tcBorders>
            <w:noWrap w:val="0"/>
            <w:vAlign w:val="center"/>
          </w:tcPr>
          <w:p w14:paraId="143AE04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433" w:type="pct"/>
            <w:vMerge w:val="restart"/>
            <w:tcBorders>
              <w:tl2br w:val="nil"/>
              <w:tr2bl w:val="nil"/>
            </w:tcBorders>
            <w:noWrap w:val="0"/>
            <w:vAlign w:val="center"/>
          </w:tcPr>
          <w:p w14:paraId="18CFAA7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应急物资储备情况</w:t>
            </w:r>
          </w:p>
        </w:tc>
        <w:tc>
          <w:tcPr>
            <w:tcW w:w="435" w:type="pct"/>
            <w:vMerge w:val="restart"/>
            <w:tcBorders>
              <w:tl2br w:val="nil"/>
              <w:tr2bl w:val="nil"/>
            </w:tcBorders>
            <w:noWrap w:val="0"/>
            <w:vAlign w:val="center"/>
          </w:tcPr>
          <w:p w14:paraId="23FFD5A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环境应急部门</w:t>
            </w:r>
          </w:p>
        </w:tc>
        <w:tc>
          <w:tcPr>
            <w:tcW w:w="1419" w:type="pct"/>
            <w:vMerge w:val="restart"/>
            <w:tcBorders>
              <w:tl2br w:val="nil"/>
              <w:tr2bl w:val="nil"/>
            </w:tcBorders>
            <w:noWrap w:val="0"/>
            <w:vAlign w:val="center"/>
          </w:tcPr>
          <w:p w14:paraId="165687F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评估区域内突发水环境事件应急物资实物储备、协议储备、生产能力储备情况及其他区域内应急物资储备信息，是否满足事件应急需求</w:t>
            </w:r>
          </w:p>
        </w:tc>
        <w:tc>
          <w:tcPr>
            <w:tcW w:w="1845" w:type="pct"/>
            <w:tcBorders>
              <w:tl2br w:val="nil"/>
              <w:tr2bl w:val="nil"/>
            </w:tcBorders>
            <w:noWrap w:val="0"/>
            <w:vAlign w:val="center"/>
          </w:tcPr>
          <w:p w14:paraId="1A271B9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本地物资不能满足事件应急需求，无其他区域物资储备信息</w:t>
            </w:r>
          </w:p>
        </w:tc>
        <w:tc>
          <w:tcPr>
            <w:tcW w:w="244" w:type="pct"/>
            <w:tcBorders>
              <w:tl2br w:val="nil"/>
              <w:tr2bl w:val="nil"/>
            </w:tcBorders>
            <w:noWrap w:val="0"/>
            <w:vAlign w:val="center"/>
          </w:tcPr>
          <w:p w14:paraId="6389C5B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450" w:type="pct"/>
            <w:vMerge w:val="restart"/>
            <w:tcBorders>
              <w:tl2br w:val="nil"/>
              <w:tr2bl w:val="nil"/>
            </w:tcBorders>
            <w:noWrap w:val="0"/>
            <w:vAlign w:val="center"/>
          </w:tcPr>
          <w:p w14:paraId="0BC2870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43E2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71" w:type="pct"/>
            <w:vMerge w:val="continue"/>
            <w:tcBorders>
              <w:tl2br w:val="nil"/>
              <w:tr2bl w:val="nil"/>
            </w:tcBorders>
            <w:noWrap w:val="0"/>
            <w:vAlign w:val="center"/>
          </w:tcPr>
          <w:p w14:paraId="3A651F7A">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3" w:type="pct"/>
            <w:vMerge w:val="continue"/>
            <w:tcBorders>
              <w:tl2br w:val="nil"/>
              <w:tr2bl w:val="nil"/>
            </w:tcBorders>
            <w:noWrap w:val="0"/>
            <w:vAlign w:val="center"/>
          </w:tcPr>
          <w:p w14:paraId="32F092F1">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5" w:type="pct"/>
            <w:vMerge w:val="continue"/>
            <w:tcBorders>
              <w:tl2br w:val="nil"/>
              <w:tr2bl w:val="nil"/>
            </w:tcBorders>
            <w:noWrap w:val="0"/>
            <w:vAlign w:val="center"/>
          </w:tcPr>
          <w:p w14:paraId="44672CD2">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1419" w:type="pct"/>
            <w:vMerge w:val="continue"/>
            <w:tcBorders>
              <w:tl2br w:val="nil"/>
              <w:tr2bl w:val="nil"/>
            </w:tcBorders>
            <w:noWrap w:val="0"/>
            <w:vAlign w:val="center"/>
          </w:tcPr>
          <w:p w14:paraId="1AA9AFEA">
            <w:pPr>
              <w:pStyle w:val="35"/>
              <w:keepNext w:val="0"/>
              <w:keepLines w:val="0"/>
              <w:pageBreakBefore w:val="0"/>
              <w:kinsoku w:val="0"/>
              <w:wordWrap/>
              <w:overflowPunct w:val="0"/>
              <w:topLinePunct w:val="0"/>
              <w:bidi w:val="0"/>
              <w:spacing w:beforeLines="0" w:afterLines="0" w:line="270" w:lineRule="exact"/>
              <w:ind w:left="340" w:leftChars="0" w:firstLine="0" w:firstLineChars="0"/>
              <w:jc w:val="center"/>
              <w:textAlignment w:val="auto"/>
              <w:rPr>
                <w:rFonts w:hint="default" w:ascii="Times New Roman" w:hAnsi="Times New Roman" w:eastAsia="宋体" w:cs="Times New Roman"/>
                <w:color w:val="auto"/>
                <w:spacing w:val="-1"/>
                <w:sz w:val="21"/>
                <w:szCs w:val="21"/>
              </w:rPr>
            </w:pPr>
          </w:p>
        </w:tc>
        <w:tc>
          <w:tcPr>
            <w:tcW w:w="1845" w:type="pct"/>
            <w:tcBorders>
              <w:tl2br w:val="nil"/>
              <w:tr2bl w:val="nil"/>
            </w:tcBorders>
            <w:noWrap w:val="0"/>
            <w:vAlign w:val="center"/>
          </w:tcPr>
          <w:p w14:paraId="26926CA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本地物资不能满足事件应急需求，但有其他区域物资储备信息，可以进行调用</w:t>
            </w:r>
          </w:p>
        </w:tc>
        <w:tc>
          <w:tcPr>
            <w:tcW w:w="244" w:type="pct"/>
            <w:tcBorders>
              <w:tl2br w:val="nil"/>
              <w:tr2bl w:val="nil"/>
            </w:tcBorders>
            <w:noWrap w:val="0"/>
            <w:vAlign w:val="center"/>
          </w:tcPr>
          <w:p w14:paraId="3CD3129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450" w:type="pct"/>
            <w:vMerge w:val="continue"/>
            <w:tcBorders>
              <w:tl2br w:val="nil"/>
              <w:tr2bl w:val="nil"/>
            </w:tcBorders>
            <w:noWrap w:val="0"/>
            <w:vAlign w:val="center"/>
          </w:tcPr>
          <w:p w14:paraId="1621516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F933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71" w:type="pct"/>
            <w:vMerge w:val="continue"/>
            <w:tcBorders>
              <w:tl2br w:val="nil"/>
              <w:tr2bl w:val="nil"/>
            </w:tcBorders>
            <w:noWrap w:val="0"/>
            <w:vAlign w:val="center"/>
          </w:tcPr>
          <w:p w14:paraId="539756BB">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3" w:type="pct"/>
            <w:vMerge w:val="continue"/>
            <w:tcBorders>
              <w:tl2br w:val="nil"/>
              <w:tr2bl w:val="nil"/>
            </w:tcBorders>
            <w:noWrap w:val="0"/>
            <w:vAlign w:val="center"/>
          </w:tcPr>
          <w:p w14:paraId="222E3FDC">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5" w:type="pct"/>
            <w:vMerge w:val="continue"/>
            <w:tcBorders>
              <w:tl2br w:val="nil"/>
              <w:tr2bl w:val="nil"/>
            </w:tcBorders>
            <w:noWrap w:val="0"/>
            <w:vAlign w:val="center"/>
          </w:tcPr>
          <w:p w14:paraId="0DE14FA7">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1419" w:type="pct"/>
            <w:vMerge w:val="continue"/>
            <w:tcBorders>
              <w:tl2br w:val="nil"/>
              <w:tr2bl w:val="nil"/>
            </w:tcBorders>
            <w:noWrap w:val="0"/>
            <w:vAlign w:val="center"/>
          </w:tcPr>
          <w:p w14:paraId="72F52DB4">
            <w:pPr>
              <w:pStyle w:val="35"/>
              <w:keepNext w:val="0"/>
              <w:keepLines w:val="0"/>
              <w:pageBreakBefore w:val="0"/>
              <w:kinsoku w:val="0"/>
              <w:wordWrap/>
              <w:overflowPunct w:val="0"/>
              <w:topLinePunct w:val="0"/>
              <w:bidi w:val="0"/>
              <w:spacing w:beforeLines="0" w:afterLines="0" w:line="270" w:lineRule="exact"/>
              <w:ind w:left="340" w:leftChars="0" w:firstLine="0" w:firstLineChars="0"/>
              <w:jc w:val="center"/>
              <w:textAlignment w:val="auto"/>
              <w:rPr>
                <w:rFonts w:hint="default" w:ascii="Times New Roman" w:hAnsi="Times New Roman" w:eastAsia="宋体" w:cs="Times New Roman"/>
                <w:color w:val="auto"/>
                <w:spacing w:val="-1"/>
                <w:sz w:val="21"/>
                <w:szCs w:val="21"/>
              </w:rPr>
            </w:pPr>
          </w:p>
        </w:tc>
        <w:tc>
          <w:tcPr>
            <w:tcW w:w="1845" w:type="pct"/>
            <w:tcBorders>
              <w:tl2br w:val="nil"/>
              <w:tr2bl w:val="nil"/>
            </w:tcBorders>
            <w:noWrap w:val="0"/>
            <w:vAlign w:val="center"/>
          </w:tcPr>
          <w:p w14:paraId="011C7F55">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本地物资基本满足事件应急需求</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不需要从其他区域调用</w:t>
            </w:r>
          </w:p>
        </w:tc>
        <w:tc>
          <w:tcPr>
            <w:tcW w:w="244" w:type="pct"/>
            <w:tcBorders>
              <w:tl2br w:val="nil"/>
              <w:tr2bl w:val="nil"/>
            </w:tcBorders>
            <w:noWrap w:val="0"/>
            <w:vAlign w:val="center"/>
          </w:tcPr>
          <w:p w14:paraId="7282D18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0" w:type="pct"/>
            <w:vMerge w:val="continue"/>
            <w:tcBorders>
              <w:tl2br w:val="nil"/>
              <w:tr2bl w:val="nil"/>
            </w:tcBorders>
            <w:noWrap w:val="0"/>
            <w:vAlign w:val="center"/>
          </w:tcPr>
          <w:p w14:paraId="57C69D0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DED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71" w:type="pct"/>
            <w:vMerge w:val="restart"/>
            <w:tcBorders>
              <w:tl2br w:val="nil"/>
              <w:tr2bl w:val="nil"/>
            </w:tcBorders>
            <w:noWrap w:val="0"/>
            <w:vAlign w:val="center"/>
          </w:tcPr>
          <w:p w14:paraId="6258E70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433" w:type="pct"/>
            <w:vMerge w:val="restart"/>
            <w:tcBorders>
              <w:tl2br w:val="nil"/>
              <w:tr2bl w:val="nil"/>
            </w:tcBorders>
            <w:noWrap w:val="0"/>
            <w:vAlign w:val="center"/>
          </w:tcPr>
          <w:p w14:paraId="72C1878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环境应急监测能力</w:t>
            </w:r>
          </w:p>
        </w:tc>
        <w:tc>
          <w:tcPr>
            <w:tcW w:w="435" w:type="pct"/>
            <w:vMerge w:val="restart"/>
            <w:tcBorders>
              <w:tl2br w:val="nil"/>
              <w:tr2bl w:val="nil"/>
            </w:tcBorders>
            <w:noWrap w:val="0"/>
            <w:vAlign w:val="center"/>
          </w:tcPr>
          <w:p w14:paraId="3FD7150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环境监测部门</w:t>
            </w:r>
          </w:p>
        </w:tc>
        <w:tc>
          <w:tcPr>
            <w:tcW w:w="1419" w:type="pct"/>
            <w:vMerge w:val="restart"/>
            <w:tcBorders>
              <w:tl2br w:val="nil"/>
              <w:tr2bl w:val="nil"/>
            </w:tcBorders>
            <w:noWrap w:val="0"/>
            <w:vAlign w:val="center"/>
          </w:tcPr>
          <w:p w14:paraId="4D1AAA1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评估区域内环境应急监测能力情况</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根据全国环境监测站建设标准中关于机构、人员能力和应急环境监测仪器配置要求进行评估</w:t>
            </w:r>
          </w:p>
        </w:tc>
        <w:tc>
          <w:tcPr>
            <w:tcW w:w="1845" w:type="pct"/>
            <w:tcBorders>
              <w:tl2br w:val="nil"/>
              <w:tr2bl w:val="nil"/>
            </w:tcBorders>
            <w:noWrap w:val="0"/>
            <w:vAlign w:val="center"/>
          </w:tcPr>
          <w:p w14:paraId="1A0AC64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不达标</w:t>
            </w:r>
          </w:p>
        </w:tc>
        <w:tc>
          <w:tcPr>
            <w:tcW w:w="244" w:type="pct"/>
            <w:tcBorders>
              <w:tl2br w:val="nil"/>
              <w:tr2bl w:val="nil"/>
            </w:tcBorders>
            <w:noWrap w:val="0"/>
            <w:vAlign w:val="center"/>
          </w:tcPr>
          <w:p w14:paraId="60DCD27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450" w:type="pct"/>
            <w:vMerge w:val="restart"/>
            <w:tcBorders>
              <w:tl2br w:val="nil"/>
              <w:tr2bl w:val="nil"/>
            </w:tcBorders>
            <w:noWrap w:val="0"/>
            <w:vAlign w:val="center"/>
          </w:tcPr>
          <w:p w14:paraId="35B5283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r>
      <w:tr w14:paraId="50BE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71" w:type="pct"/>
            <w:vMerge w:val="continue"/>
            <w:tcBorders>
              <w:tl2br w:val="nil"/>
              <w:tr2bl w:val="nil"/>
            </w:tcBorders>
            <w:noWrap w:val="0"/>
            <w:vAlign w:val="center"/>
          </w:tcPr>
          <w:p w14:paraId="0C017A05">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32E001B9">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3E8347A9">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54CBAC7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5BDA72E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三级</w:t>
            </w:r>
          </w:p>
        </w:tc>
        <w:tc>
          <w:tcPr>
            <w:tcW w:w="244" w:type="pct"/>
            <w:tcBorders>
              <w:tl2br w:val="nil"/>
              <w:tr2bl w:val="nil"/>
            </w:tcBorders>
            <w:noWrap w:val="0"/>
            <w:vAlign w:val="center"/>
          </w:tcPr>
          <w:p w14:paraId="463F249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450" w:type="pct"/>
            <w:vMerge w:val="continue"/>
            <w:tcBorders>
              <w:tl2br w:val="nil"/>
              <w:tr2bl w:val="nil"/>
            </w:tcBorders>
            <w:noWrap w:val="0"/>
            <w:vAlign w:val="center"/>
          </w:tcPr>
          <w:p w14:paraId="62F85A3F">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r>
      <w:tr w14:paraId="6BB0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3F568B4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6153146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7F20F97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43D3BAE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5B09B9C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二级</w:t>
            </w:r>
          </w:p>
        </w:tc>
        <w:tc>
          <w:tcPr>
            <w:tcW w:w="244" w:type="pct"/>
            <w:tcBorders>
              <w:tl2br w:val="nil"/>
              <w:tr2bl w:val="nil"/>
            </w:tcBorders>
            <w:noWrap w:val="0"/>
            <w:vAlign w:val="center"/>
          </w:tcPr>
          <w:p w14:paraId="09C14153">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50" w:type="pct"/>
            <w:vMerge w:val="continue"/>
            <w:tcBorders>
              <w:tl2br w:val="nil"/>
              <w:tr2bl w:val="nil"/>
            </w:tcBorders>
            <w:noWrap w:val="0"/>
            <w:vAlign w:val="center"/>
          </w:tcPr>
          <w:p w14:paraId="57808335">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r>
      <w:tr w14:paraId="4075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05E1B33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0A7F51C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11E425E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tcBorders>
              <w:tl2br w:val="nil"/>
              <w:tr2bl w:val="nil"/>
            </w:tcBorders>
            <w:noWrap w:val="0"/>
            <w:vAlign w:val="center"/>
          </w:tcPr>
          <w:p w14:paraId="32C0ABE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33E5527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一级</w:t>
            </w:r>
          </w:p>
        </w:tc>
        <w:tc>
          <w:tcPr>
            <w:tcW w:w="244" w:type="pct"/>
            <w:tcBorders>
              <w:tl2br w:val="nil"/>
              <w:tr2bl w:val="nil"/>
            </w:tcBorders>
            <w:noWrap w:val="0"/>
            <w:vAlign w:val="center"/>
          </w:tcPr>
          <w:p w14:paraId="21777D7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0" w:type="pct"/>
            <w:vMerge w:val="continue"/>
            <w:tcBorders>
              <w:tl2br w:val="nil"/>
              <w:tr2bl w:val="nil"/>
            </w:tcBorders>
            <w:noWrap w:val="0"/>
            <w:vAlign w:val="center"/>
          </w:tcPr>
          <w:p w14:paraId="49EE22A5">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r>
      <w:tr w14:paraId="13E3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9" w:type="pct"/>
            <w:gridSpan w:val="6"/>
            <w:tcBorders>
              <w:tl2br w:val="nil"/>
              <w:tr2bl w:val="nil"/>
            </w:tcBorders>
            <w:noWrap w:val="0"/>
            <w:vAlign w:val="center"/>
          </w:tcPr>
          <w:p w14:paraId="30F32848">
            <w:pPr>
              <w:keepNext w:val="0"/>
              <w:keepLines w:val="0"/>
              <w:pageBreakBefore w:val="0"/>
              <w:kinsoku w:val="0"/>
              <w:wordWrap/>
              <w:overflowPunct w:val="0"/>
              <w:topLinePunct w:val="0"/>
              <w:bidi w:val="0"/>
              <w:spacing w:before="33" w:beforeLines="0" w:afterLines="0" w:line="27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vertAlign w:val="baseline"/>
                <w:lang w:val="en-US" w:eastAsia="zh-CN"/>
              </w:rPr>
              <w:t>合计</w:t>
            </w:r>
          </w:p>
        </w:tc>
        <w:tc>
          <w:tcPr>
            <w:tcW w:w="450" w:type="pct"/>
            <w:tcBorders>
              <w:tl2br w:val="nil"/>
              <w:tr2bl w:val="nil"/>
            </w:tcBorders>
            <w:noWrap w:val="0"/>
            <w:vAlign w:val="center"/>
          </w:tcPr>
          <w:p w14:paraId="5947739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24</w:t>
            </w:r>
          </w:p>
        </w:tc>
      </w:tr>
    </w:tbl>
    <w:p w14:paraId="34F7770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（四）水环境风险指数（R）</w:t>
      </w:r>
    </w:p>
    <w:p w14:paraId="659CA20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通过上述分析，由公式计算可知</w:t>
      </w:r>
    </w:p>
    <w:p w14:paraId="1D3CA9AA">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drawing>
          <wp:inline distT="0" distB="0" distL="114300" distR="114300">
            <wp:extent cx="1613535" cy="504190"/>
            <wp:effectExtent l="0" t="0" r="5715" b="1016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7"/>
                    <a:stretch>
                      <a:fillRect/>
                    </a:stretch>
                  </pic:blipFill>
                  <pic:spPr>
                    <a:xfrm>
                      <a:off x="0" y="0"/>
                      <a:ext cx="1613535" cy="504190"/>
                    </a:xfrm>
                    <a:prstGeom prst="rect">
                      <a:avLst/>
                    </a:prstGeom>
                    <a:noFill/>
                    <a:ln>
                      <a:noFill/>
                    </a:ln>
                  </pic:spPr>
                </pic:pic>
              </a:graphicData>
            </a:graphic>
          </wp:inline>
        </w:drawing>
      </w:r>
    </w:p>
    <w:p w14:paraId="74E3101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瓦塘镇水环境风险指数值R水为17.50，为低级。</w:t>
      </w:r>
    </w:p>
    <w:p w14:paraId="79E9010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6</w:t>
      </w:r>
      <w:r>
        <w:rPr>
          <w:rFonts w:hint="default" w:ascii="Times New Roman" w:hAnsi="Times New Roman" w:eastAsia="仿宋" w:cs="Times New Roman"/>
          <w:b/>
          <w:bCs/>
          <w:color w:val="auto"/>
          <w:kern w:val="0"/>
          <w:sz w:val="24"/>
          <w:lang w:val="en-US" w:eastAsia="zh-CN"/>
        </w:rPr>
        <w:t xml:space="preserve">  环境风险等级划分原则</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7"/>
        <w:gridCol w:w="7447"/>
      </w:tblGrid>
      <w:tr w14:paraId="77F7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27770CE9">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环境风险指数（R水、R气、R综合）</w:t>
            </w:r>
          </w:p>
        </w:tc>
        <w:tc>
          <w:tcPr>
            <w:tcW w:w="2500" w:type="pct"/>
            <w:tcBorders>
              <w:tl2br w:val="nil"/>
              <w:tr2bl w:val="nil"/>
            </w:tcBorders>
            <w:noWrap w:val="0"/>
            <w:vAlign w:val="center"/>
          </w:tcPr>
          <w:p w14:paraId="01D61DB9">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环境风险等级</w:t>
            </w:r>
          </w:p>
        </w:tc>
      </w:tr>
      <w:tr w14:paraId="7763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69EC7B33">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w:t>
            </w:r>
          </w:p>
        </w:tc>
        <w:tc>
          <w:tcPr>
            <w:tcW w:w="2500" w:type="pct"/>
            <w:tcBorders>
              <w:tl2br w:val="nil"/>
              <w:tr2bl w:val="nil"/>
            </w:tcBorders>
            <w:noWrap w:val="0"/>
            <w:vAlign w:val="center"/>
          </w:tcPr>
          <w:p w14:paraId="5577527A">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高（H</w:t>
            </w:r>
            <w:r>
              <w:rPr>
                <w:rFonts w:hint="default" w:ascii="Times New Roman" w:hAnsi="Times New Roman" w:eastAsia="仿宋" w:cs="Times New Roman"/>
                <w:color w:val="auto"/>
                <w:sz w:val="21"/>
                <w:szCs w:val="21"/>
                <w:lang w:eastAsia="zh-CN"/>
              </w:rPr>
              <w:t>）</w:t>
            </w:r>
          </w:p>
        </w:tc>
      </w:tr>
      <w:tr w14:paraId="1491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7587DD11">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50)</w:t>
            </w:r>
          </w:p>
        </w:tc>
        <w:tc>
          <w:tcPr>
            <w:tcW w:w="2500" w:type="pct"/>
            <w:tcBorders>
              <w:tl2br w:val="nil"/>
              <w:tr2bl w:val="nil"/>
            </w:tcBorders>
            <w:noWrap w:val="0"/>
            <w:vAlign w:val="center"/>
          </w:tcPr>
          <w:p w14:paraId="311B85E8">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较高（RH）</w:t>
            </w:r>
          </w:p>
        </w:tc>
      </w:tr>
      <w:tr w14:paraId="449E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261399F6">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40)</w:t>
            </w:r>
          </w:p>
        </w:tc>
        <w:tc>
          <w:tcPr>
            <w:tcW w:w="2500" w:type="pct"/>
            <w:tcBorders>
              <w:tl2br w:val="nil"/>
              <w:tr2bl w:val="nil"/>
            </w:tcBorders>
            <w:noWrap w:val="0"/>
            <w:vAlign w:val="center"/>
          </w:tcPr>
          <w:p w14:paraId="0E883A47">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中（M）</w:t>
            </w:r>
          </w:p>
        </w:tc>
      </w:tr>
      <w:tr w14:paraId="2A2C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34F8D5EF">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p>
        </w:tc>
        <w:tc>
          <w:tcPr>
            <w:tcW w:w="2500" w:type="pct"/>
            <w:tcBorders>
              <w:tl2br w:val="nil"/>
              <w:tr2bl w:val="nil"/>
            </w:tcBorders>
            <w:noWrap w:val="0"/>
            <w:vAlign w:val="center"/>
          </w:tcPr>
          <w:p w14:paraId="22FE1CF4">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低（L）</w:t>
            </w:r>
          </w:p>
        </w:tc>
      </w:tr>
    </w:tbl>
    <w:p w14:paraId="76A5225B">
      <w:pPr>
        <w:pStyle w:val="25"/>
        <w:rPr>
          <w:rFonts w:hint="default" w:ascii="Times New Roman" w:hAnsi="Times New Roman" w:cs="Times New Roman"/>
          <w:color w:val="auto"/>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03499D3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15" w:name="_Toc21518"/>
      <w:r>
        <w:rPr>
          <w:rFonts w:hint="default" w:ascii="Times New Roman" w:hAnsi="Times New Roman" w:eastAsia="仿宋" w:cs="Times New Roman"/>
          <w:bCs w:val="0"/>
          <w:color w:val="auto"/>
          <w:kern w:val="0"/>
          <w:sz w:val="30"/>
          <w:szCs w:val="30"/>
          <w:lang w:val="en-US" w:eastAsia="zh-CN"/>
        </w:rPr>
        <w:t>6.1.2大气环境风险指数计算与等级划分</w:t>
      </w:r>
      <w:bookmarkEnd w:id="115"/>
    </w:p>
    <w:p w14:paraId="59BCD26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（一）环境风险源强度指数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S</w:t>
      </w:r>
      <w:r>
        <w:rPr>
          <w:rFonts w:hint="eastAsia" w:ascii="Times New Roman" w:hAnsi="Times New Roman" w:eastAsia="仿宋" w:cs="Times New Roman"/>
          <w:bCs/>
          <w:color w:val="auto"/>
          <w:kern w:val="0"/>
          <w:sz w:val="28"/>
          <w:szCs w:val="28"/>
          <w:lang w:val="en-US" w:eastAsia="zh-CN" w:bidi="ar-SA"/>
        </w:rPr>
        <w:t>）</w:t>
      </w:r>
    </w:p>
    <w:p w14:paraId="5197FE4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①单位面积环境风险企业数量</w:t>
      </w:r>
    </w:p>
    <w:p w14:paraId="6F1FA6D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本次选取企业分布相对集中的区域进行分析，为瓦塘镇，瓦塘镇面积173km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，涉及工业企业8家，单位面积内涉大气环境风险企业数量为0.29。</w:t>
      </w:r>
    </w:p>
    <w:p w14:paraId="675C4F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②单位面积环境风险物质存量与临界量的比值</w:t>
      </w:r>
    </w:p>
    <w:p w14:paraId="01D6849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根据表6-1统计，全县区域内储存的环境风险物质种类较多。塘镇面积173km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，评估区域内各涉气环境风险企业中环境风险物质与临界量的比值加和后与评估区域的比值359.14。</w:t>
      </w:r>
    </w:p>
    <w:p w14:paraId="527A803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③较大以上环境风险企业所占百分比</w:t>
      </w:r>
    </w:p>
    <w:p w14:paraId="145F88A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涉及环境风险的企业共计27家，27家企业均已完成了突发环境事件风险评估和应急预案的编制以及备案，有25家企业的环境风险为一般环境风险（其中有7家为加油站），环境风险较小，有2家企业为较大环境风险（其中有1家为尾矿库）。其中瓦塘镇涉及工业企业8家，涉水环境风险在较大的有1家，占环境风险企业数量的百分比为12.5%。</w:t>
      </w:r>
    </w:p>
    <w:p w14:paraId="7EFA437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④港口码头数量</w:t>
      </w:r>
    </w:p>
    <w:p w14:paraId="0E24C8E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兴县区域内无港口及码头，不涉及危险化学品港口码头运输。</w:t>
      </w:r>
    </w:p>
    <w:p w14:paraId="740351B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⑤突发环境事件发生情况</w:t>
      </w:r>
    </w:p>
    <w:p w14:paraId="655056D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突发环境事件发生情况主要包括挥发性环境风险物质泄漏导致大气污染等，近五年未发生过大气突发环境事件。</w:t>
      </w:r>
    </w:p>
    <w:p w14:paraId="70E9778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auto"/>
          <w:spacing w:val="-2"/>
          <w:sz w:val="28"/>
          <w:szCs w:val="28"/>
        </w:rPr>
      </w:pPr>
      <w:r>
        <w:rPr>
          <w:rFonts w:hint="default" w:ascii="Times New Roman" w:hAnsi="Times New Roman" w:eastAsia="仿宋" w:cs="Times New Roman"/>
          <w:bCs/>
          <w:color w:val="auto"/>
          <w:kern w:val="0"/>
          <w:sz w:val="28"/>
          <w:szCs w:val="28"/>
          <w:lang w:val="en-US" w:eastAsia="zh-CN" w:bidi="ar-SA"/>
        </w:rPr>
        <w:t>大气环境风险源强度指数的计算采用评分法对其进行量化，评估指标及分值见表6</w:t>
      </w:r>
      <w:r>
        <w:rPr>
          <w:rFonts w:hint="eastAsia" w:ascii="Times New Roman" w:hAnsi="Times New Roman" w:eastAsia="仿宋" w:cs="Times New Roman"/>
          <w:bCs/>
          <w:color w:val="auto"/>
          <w:kern w:val="0"/>
          <w:sz w:val="28"/>
          <w:szCs w:val="28"/>
          <w:lang w:val="en-US" w:eastAsia="zh-CN" w:bidi="ar-SA"/>
        </w:rPr>
        <w:t>.1</w:t>
      </w:r>
      <w:r>
        <w:rPr>
          <w:rFonts w:hint="default" w:ascii="Times New Roman" w:hAnsi="Times New Roman" w:eastAsia="仿宋" w:cs="Times New Roman"/>
          <w:bCs/>
          <w:color w:val="auto"/>
          <w:kern w:val="0"/>
          <w:sz w:val="28"/>
          <w:szCs w:val="28"/>
          <w:lang w:val="en-US" w:eastAsia="zh-CN" w:bidi="ar-SA"/>
        </w:rPr>
        <w:t>-7。</w:t>
      </w:r>
    </w:p>
    <w:p w14:paraId="5D64DADF">
      <w:pPr>
        <w:pStyle w:val="25"/>
        <w:rPr>
          <w:rFonts w:hint="default" w:ascii="Times New Roman" w:hAnsi="Times New Roman" w:cs="Times New Roman"/>
          <w:color w:val="auto"/>
        </w:rPr>
        <w:sectPr>
          <w:pgSz w:w="11920" w:h="16838"/>
          <w:pgMar w:top="1440" w:right="1800" w:bottom="1440" w:left="180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0A11BD0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lang w:val="en-US" w:eastAsia="zh-CN"/>
        </w:rPr>
      </w:pPr>
      <w:r>
        <w:rPr>
          <w:rFonts w:hint="default" w:ascii="Times New Roman" w:hAnsi="Times New Roman" w:eastAsia="仿宋" w:cs="Times New Roman"/>
          <w:b/>
          <w:bCs/>
          <w:color w:val="000000"/>
          <w:kern w:val="0"/>
          <w:sz w:val="24"/>
          <w:lang w:val="en-US" w:eastAsia="zh-CN"/>
        </w:rPr>
        <w:t>表6</w:t>
      </w:r>
      <w:r>
        <w:rPr>
          <w:rFonts w:hint="eastAsia" w:ascii="Times New Roman" w:hAnsi="Times New Roman" w:cs="Times New Roman"/>
          <w:b/>
          <w:bCs/>
          <w:color w:val="000000"/>
          <w:kern w:val="0"/>
          <w:sz w:val="24"/>
          <w:lang w:val="en-US" w:eastAsia="zh-CN"/>
        </w:rPr>
        <w:t>.1</w:t>
      </w:r>
      <w:r>
        <w:rPr>
          <w:rFonts w:hint="default" w:ascii="Times New Roman" w:hAnsi="Times New Roman" w:eastAsia="仿宋" w:cs="Times New Roman"/>
          <w:b/>
          <w:bCs/>
          <w:color w:val="000000"/>
          <w:kern w:val="0"/>
          <w:sz w:val="24"/>
          <w:lang w:val="en-US" w:eastAsia="zh-CN"/>
        </w:rPr>
        <w:t>-7  大气环境风险源强度（S）评估表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2132"/>
        <w:gridCol w:w="1279"/>
        <w:gridCol w:w="4790"/>
        <w:gridCol w:w="3300"/>
        <w:gridCol w:w="1530"/>
        <w:gridCol w:w="1342"/>
      </w:tblGrid>
      <w:tr w14:paraId="7681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trPr>
        <w:tc>
          <w:tcPr>
            <w:tcW w:w="0" w:type="auto"/>
            <w:vMerge w:val="restart"/>
            <w:tcBorders>
              <w:tl2br w:val="nil"/>
              <w:tr2bl w:val="nil"/>
            </w:tcBorders>
            <w:noWrap w:val="0"/>
            <w:vAlign w:val="center"/>
          </w:tcPr>
          <w:p w14:paraId="525CAB2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0" w:type="auto"/>
            <w:vMerge w:val="restart"/>
            <w:tcBorders>
              <w:tl2br w:val="nil"/>
              <w:tr2bl w:val="nil"/>
            </w:tcBorders>
            <w:noWrap w:val="0"/>
            <w:vAlign w:val="center"/>
          </w:tcPr>
          <w:p w14:paraId="7C3194C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评估指标</w:t>
            </w:r>
          </w:p>
        </w:tc>
        <w:tc>
          <w:tcPr>
            <w:tcW w:w="0" w:type="auto"/>
            <w:vMerge w:val="restart"/>
            <w:tcBorders>
              <w:tl2br w:val="nil"/>
              <w:tr2bl w:val="nil"/>
            </w:tcBorders>
            <w:noWrap w:val="0"/>
            <w:vAlign w:val="center"/>
          </w:tcPr>
          <w:p w14:paraId="4BF42E1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w:t>
            </w:r>
          </w:p>
        </w:tc>
        <w:tc>
          <w:tcPr>
            <w:tcW w:w="9620" w:type="dxa"/>
            <w:gridSpan w:val="3"/>
            <w:tcBorders>
              <w:tl2br w:val="nil"/>
              <w:tr2bl w:val="nil"/>
            </w:tcBorders>
            <w:noWrap w:val="0"/>
            <w:vAlign w:val="center"/>
          </w:tcPr>
          <w:p w14:paraId="61275C5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大气环境风险</w:t>
            </w:r>
          </w:p>
        </w:tc>
        <w:tc>
          <w:tcPr>
            <w:tcW w:w="1342" w:type="dxa"/>
            <w:vMerge w:val="restart"/>
            <w:tcBorders>
              <w:tl2br w:val="nil"/>
              <w:tr2bl w:val="nil"/>
            </w:tcBorders>
            <w:noWrap w:val="0"/>
            <w:vAlign w:val="center"/>
          </w:tcPr>
          <w:p w14:paraId="5A02D58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r>
      <w:tr w14:paraId="3904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trPr>
        <w:tc>
          <w:tcPr>
            <w:tcW w:w="0" w:type="auto"/>
            <w:vMerge w:val="continue"/>
            <w:tcBorders>
              <w:tl2br w:val="nil"/>
              <w:tr2bl w:val="nil"/>
            </w:tcBorders>
            <w:noWrap w:val="0"/>
            <w:vAlign w:val="center"/>
          </w:tcPr>
          <w:p w14:paraId="78A32FF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5CEC005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84B55E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tcBorders>
              <w:tl2br w:val="nil"/>
              <w:tr2bl w:val="nil"/>
            </w:tcBorders>
            <w:noWrap w:val="0"/>
            <w:vAlign w:val="center"/>
          </w:tcPr>
          <w:p w14:paraId="26CF545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指标说明</w:t>
            </w:r>
          </w:p>
        </w:tc>
        <w:tc>
          <w:tcPr>
            <w:tcW w:w="3300" w:type="dxa"/>
            <w:tcBorders>
              <w:tl2br w:val="nil"/>
              <w:tr2bl w:val="nil"/>
            </w:tcBorders>
            <w:noWrap w:val="0"/>
            <w:vAlign w:val="center"/>
          </w:tcPr>
          <w:p w14:paraId="78E5A74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情</w:t>
            </w:r>
            <w:r>
              <w:rPr>
                <w:rFonts w:hint="default" w:ascii="Times New Roman" w:hAnsi="Times New Roman" w:eastAsia="仿宋" w:cs="Times New Roman"/>
                <w:color w:val="auto"/>
                <w:sz w:val="21"/>
                <w:szCs w:val="21"/>
                <w:lang w:val="en-US" w:eastAsia="zh-CN"/>
              </w:rPr>
              <w:tab/>
            </w:r>
            <w:r>
              <w:rPr>
                <w:rFonts w:hint="default" w:ascii="Times New Roman" w:hAnsi="Times New Roman" w:eastAsia="仿宋" w:cs="Times New Roman"/>
                <w:color w:val="auto"/>
                <w:sz w:val="21"/>
                <w:szCs w:val="21"/>
                <w:lang w:val="en-US" w:eastAsia="zh-CN"/>
              </w:rPr>
              <w:t>况</w:t>
            </w:r>
          </w:p>
        </w:tc>
        <w:tc>
          <w:tcPr>
            <w:tcW w:w="1530" w:type="dxa"/>
            <w:tcBorders>
              <w:tl2br w:val="nil"/>
              <w:tr2bl w:val="nil"/>
            </w:tcBorders>
            <w:noWrap w:val="0"/>
            <w:vAlign w:val="center"/>
          </w:tcPr>
          <w:p w14:paraId="20DF55C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分值</w:t>
            </w:r>
          </w:p>
        </w:tc>
        <w:tc>
          <w:tcPr>
            <w:tcW w:w="1342" w:type="dxa"/>
            <w:vMerge w:val="continue"/>
            <w:tcBorders>
              <w:tl2br w:val="nil"/>
              <w:tr2bl w:val="nil"/>
            </w:tcBorders>
            <w:noWrap w:val="0"/>
            <w:vAlign w:val="center"/>
          </w:tcPr>
          <w:p w14:paraId="4BB1A69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50E7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exact"/>
        </w:trPr>
        <w:tc>
          <w:tcPr>
            <w:tcW w:w="0" w:type="auto"/>
            <w:vMerge w:val="restart"/>
            <w:tcBorders>
              <w:tl2br w:val="nil"/>
              <w:tr2bl w:val="nil"/>
            </w:tcBorders>
            <w:noWrap w:val="0"/>
            <w:vAlign w:val="center"/>
          </w:tcPr>
          <w:p w14:paraId="7AC46A2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0" w:type="auto"/>
            <w:vMerge w:val="restart"/>
            <w:tcBorders>
              <w:tl2br w:val="nil"/>
              <w:tr2bl w:val="nil"/>
            </w:tcBorders>
            <w:noWrap w:val="0"/>
            <w:vAlign w:val="center"/>
          </w:tcPr>
          <w:p w14:paraId="4202082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单位面积环境风险企业数量</w:t>
            </w:r>
          </w:p>
        </w:tc>
        <w:tc>
          <w:tcPr>
            <w:tcW w:w="0" w:type="auto"/>
            <w:vMerge w:val="restart"/>
            <w:tcBorders>
              <w:tl2br w:val="nil"/>
              <w:tr2bl w:val="nil"/>
            </w:tcBorders>
            <w:noWrap w:val="0"/>
            <w:vAlign w:val="center"/>
          </w:tcPr>
          <w:p w14:paraId="399F060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p w14:paraId="17E535D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企业环境风险评估报告</w:t>
            </w:r>
          </w:p>
        </w:tc>
        <w:tc>
          <w:tcPr>
            <w:tcW w:w="4790" w:type="dxa"/>
            <w:vMerge w:val="restart"/>
            <w:tcBorders>
              <w:tl2br w:val="nil"/>
              <w:tr2bl w:val="nil"/>
            </w:tcBorders>
            <w:noWrap w:val="0"/>
            <w:vAlign w:val="center"/>
          </w:tcPr>
          <w:p w14:paraId="351A591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评估区域中涉</w:t>
            </w:r>
            <w:r>
              <w:rPr>
                <w:rFonts w:hint="default" w:ascii="Times New Roman" w:hAnsi="Times New Roman" w:cs="Times New Roman"/>
                <w:color w:val="auto"/>
                <w:sz w:val="21"/>
                <w:szCs w:val="21"/>
                <w:lang w:val="en-US" w:eastAsia="zh-CN"/>
              </w:rPr>
              <w:t>气</w:t>
            </w:r>
            <w:r>
              <w:rPr>
                <w:rFonts w:hint="default" w:ascii="Times New Roman" w:hAnsi="Times New Roman" w:eastAsia="仿宋" w:cs="Times New Roman"/>
                <w:color w:val="auto"/>
                <w:sz w:val="21"/>
                <w:szCs w:val="21"/>
                <w:lang w:val="en-US" w:eastAsia="zh-CN"/>
              </w:rPr>
              <w:t>环境风险企业数量与评估区域面积的比值，单位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个/平方公里</w:t>
            </w:r>
          </w:p>
        </w:tc>
        <w:tc>
          <w:tcPr>
            <w:tcW w:w="3300" w:type="dxa"/>
            <w:tcBorders>
              <w:tl2br w:val="nil"/>
              <w:tr2bl w:val="nil"/>
            </w:tcBorders>
            <w:noWrap w:val="0"/>
            <w:vAlign w:val="center"/>
          </w:tcPr>
          <w:p w14:paraId="2784BE0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＞0.5</w:t>
            </w:r>
          </w:p>
        </w:tc>
        <w:tc>
          <w:tcPr>
            <w:tcW w:w="1530" w:type="dxa"/>
            <w:tcBorders>
              <w:tl2br w:val="nil"/>
              <w:tr2bl w:val="nil"/>
            </w:tcBorders>
            <w:noWrap w:val="0"/>
            <w:vAlign w:val="center"/>
          </w:tcPr>
          <w:p w14:paraId="25256A3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342" w:type="dxa"/>
            <w:vMerge w:val="restart"/>
            <w:tcBorders>
              <w:tl2br w:val="nil"/>
              <w:tr2bl w:val="nil"/>
            </w:tcBorders>
            <w:noWrap w:val="0"/>
            <w:vAlign w:val="center"/>
          </w:tcPr>
          <w:p w14:paraId="0C5ECE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r>
      <w:tr w14:paraId="011F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0" w:type="auto"/>
            <w:vMerge w:val="continue"/>
            <w:tcBorders>
              <w:tl2br w:val="nil"/>
              <w:tr2bl w:val="nil"/>
            </w:tcBorders>
            <w:noWrap w:val="0"/>
            <w:vAlign w:val="center"/>
          </w:tcPr>
          <w:p w14:paraId="44A9F93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53CA33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D4B7A4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386CDFC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703A2BF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(0.05-0.5]</w:t>
            </w:r>
          </w:p>
        </w:tc>
        <w:tc>
          <w:tcPr>
            <w:tcW w:w="1530" w:type="dxa"/>
            <w:tcBorders>
              <w:tl2br w:val="nil"/>
              <w:tr2bl w:val="nil"/>
            </w:tcBorders>
            <w:noWrap w:val="0"/>
            <w:vAlign w:val="center"/>
          </w:tcPr>
          <w:p w14:paraId="4229BA2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1342" w:type="dxa"/>
            <w:vMerge w:val="continue"/>
            <w:tcBorders>
              <w:tl2br w:val="nil"/>
              <w:tr2bl w:val="nil"/>
            </w:tcBorders>
            <w:noWrap w:val="0"/>
            <w:vAlign w:val="center"/>
          </w:tcPr>
          <w:p w14:paraId="4AEE08C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C89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0" w:type="auto"/>
            <w:vMerge w:val="continue"/>
            <w:tcBorders>
              <w:tl2br w:val="nil"/>
              <w:tr2bl w:val="nil"/>
            </w:tcBorders>
            <w:noWrap w:val="0"/>
            <w:vAlign w:val="center"/>
          </w:tcPr>
          <w:p w14:paraId="39FCD53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1B8FF72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104EB1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64D560B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66BF9D2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(0.005-0.05]</w:t>
            </w:r>
          </w:p>
        </w:tc>
        <w:tc>
          <w:tcPr>
            <w:tcW w:w="1530" w:type="dxa"/>
            <w:tcBorders>
              <w:tl2br w:val="nil"/>
              <w:tr2bl w:val="nil"/>
            </w:tcBorders>
            <w:noWrap w:val="0"/>
            <w:vAlign w:val="center"/>
          </w:tcPr>
          <w:p w14:paraId="46D7898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1342" w:type="dxa"/>
            <w:vMerge w:val="continue"/>
            <w:tcBorders>
              <w:tl2br w:val="nil"/>
              <w:tr2bl w:val="nil"/>
            </w:tcBorders>
            <w:noWrap w:val="0"/>
            <w:vAlign w:val="center"/>
          </w:tcPr>
          <w:p w14:paraId="0B7D779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4E94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0" w:type="auto"/>
            <w:vMerge w:val="continue"/>
            <w:tcBorders>
              <w:tl2br w:val="nil"/>
              <w:tr2bl w:val="nil"/>
            </w:tcBorders>
            <w:noWrap w:val="0"/>
            <w:vAlign w:val="center"/>
          </w:tcPr>
          <w:p w14:paraId="100EB65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7B7716B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35B63B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149B03A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6C87985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[0-0.005]</w:t>
            </w:r>
          </w:p>
        </w:tc>
        <w:tc>
          <w:tcPr>
            <w:tcW w:w="1530" w:type="dxa"/>
            <w:tcBorders>
              <w:tl2br w:val="nil"/>
              <w:tr2bl w:val="nil"/>
            </w:tcBorders>
            <w:noWrap w:val="0"/>
            <w:vAlign w:val="center"/>
          </w:tcPr>
          <w:p w14:paraId="7B9FD55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342" w:type="dxa"/>
            <w:vMerge w:val="continue"/>
            <w:tcBorders>
              <w:tl2br w:val="nil"/>
              <w:tr2bl w:val="nil"/>
            </w:tcBorders>
            <w:noWrap w:val="0"/>
            <w:vAlign w:val="center"/>
          </w:tcPr>
          <w:p w14:paraId="096FD9C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B0C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0" w:type="auto"/>
            <w:vMerge w:val="restart"/>
            <w:tcBorders>
              <w:tl2br w:val="nil"/>
              <w:tr2bl w:val="nil"/>
            </w:tcBorders>
            <w:noWrap w:val="0"/>
            <w:vAlign w:val="center"/>
          </w:tcPr>
          <w:p w14:paraId="7D9E209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p w14:paraId="17EA390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0" w:type="auto"/>
            <w:vMerge w:val="restart"/>
            <w:tcBorders>
              <w:tl2br w:val="nil"/>
              <w:tr2bl w:val="nil"/>
            </w:tcBorders>
            <w:noWrap w:val="0"/>
            <w:vAlign w:val="center"/>
          </w:tcPr>
          <w:p w14:paraId="57C4236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单位面积环境风险物质存量与临界量的比值</w:t>
            </w:r>
          </w:p>
        </w:tc>
        <w:tc>
          <w:tcPr>
            <w:tcW w:w="0" w:type="auto"/>
            <w:vMerge w:val="restart"/>
            <w:tcBorders>
              <w:tl2br w:val="nil"/>
              <w:tr2bl w:val="nil"/>
            </w:tcBorders>
            <w:noWrap w:val="0"/>
            <w:vAlign w:val="center"/>
          </w:tcPr>
          <w:p w14:paraId="4AE6108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p w14:paraId="4E507F7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企业环境风险评估报告</w:t>
            </w:r>
          </w:p>
        </w:tc>
        <w:tc>
          <w:tcPr>
            <w:tcW w:w="4790" w:type="dxa"/>
            <w:vMerge w:val="restart"/>
            <w:tcBorders>
              <w:tl2br w:val="nil"/>
              <w:tr2bl w:val="nil"/>
            </w:tcBorders>
            <w:noWrap w:val="0"/>
            <w:vAlign w:val="center"/>
          </w:tcPr>
          <w:p w14:paraId="4724A5B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评估区域内各个涉</w:t>
            </w:r>
            <w:r>
              <w:rPr>
                <w:rFonts w:hint="default" w:ascii="Times New Roman" w:hAnsi="Times New Roman" w:cs="Times New Roman"/>
                <w:color w:val="auto"/>
                <w:sz w:val="21"/>
                <w:szCs w:val="21"/>
                <w:lang w:val="en-US" w:eastAsia="zh-CN"/>
              </w:rPr>
              <w:t>气</w:t>
            </w:r>
            <w:r>
              <w:rPr>
                <w:rFonts w:hint="default" w:ascii="Times New Roman" w:hAnsi="Times New Roman" w:eastAsia="仿宋" w:cs="Times New Roman"/>
                <w:color w:val="auto"/>
                <w:sz w:val="21"/>
                <w:szCs w:val="21"/>
                <w:lang w:val="en-US" w:eastAsia="zh-CN"/>
              </w:rPr>
              <w:t>环境风险企业中环境风险物质的数量与临界量的比值加和后除以评估区域面积</w:t>
            </w:r>
          </w:p>
        </w:tc>
        <w:tc>
          <w:tcPr>
            <w:tcW w:w="3300" w:type="dxa"/>
            <w:tcBorders>
              <w:tl2br w:val="nil"/>
              <w:tr2bl w:val="nil"/>
            </w:tcBorders>
            <w:noWrap w:val="0"/>
            <w:vAlign w:val="center"/>
          </w:tcPr>
          <w:p w14:paraId="0C6049D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w:t>
            </w:r>
          </w:p>
        </w:tc>
        <w:tc>
          <w:tcPr>
            <w:tcW w:w="1530" w:type="dxa"/>
            <w:tcBorders>
              <w:tl2br w:val="nil"/>
              <w:tr2bl w:val="nil"/>
            </w:tcBorders>
            <w:noWrap w:val="0"/>
            <w:vAlign w:val="center"/>
          </w:tcPr>
          <w:p w14:paraId="726D86F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342" w:type="dxa"/>
            <w:vMerge w:val="restart"/>
            <w:tcBorders>
              <w:tl2br w:val="nil"/>
              <w:tr2bl w:val="nil"/>
            </w:tcBorders>
            <w:noWrap w:val="0"/>
            <w:vAlign w:val="center"/>
          </w:tcPr>
          <w:p w14:paraId="246A222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14:paraId="1578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0" w:type="auto"/>
            <w:vMerge w:val="continue"/>
            <w:tcBorders>
              <w:tl2br w:val="nil"/>
              <w:tr2bl w:val="nil"/>
            </w:tcBorders>
            <w:noWrap w:val="0"/>
            <w:vAlign w:val="center"/>
          </w:tcPr>
          <w:p w14:paraId="6F26353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454ADD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7FC281D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18CD482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5B258E9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（25，50]</w:t>
            </w:r>
          </w:p>
        </w:tc>
        <w:tc>
          <w:tcPr>
            <w:tcW w:w="1530" w:type="dxa"/>
            <w:tcBorders>
              <w:tl2br w:val="nil"/>
              <w:tr2bl w:val="nil"/>
            </w:tcBorders>
            <w:noWrap w:val="0"/>
            <w:vAlign w:val="center"/>
          </w:tcPr>
          <w:p w14:paraId="18894C0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1342" w:type="dxa"/>
            <w:vMerge w:val="continue"/>
            <w:tcBorders>
              <w:tl2br w:val="nil"/>
              <w:tr2bl w:val="nil"/>
            </w:tcBorders>
            <w:noWrap w:val="0"/>
            <w:vAlign w:val="center"/>
          </w:tcPr>
          <w:p w14:paraId="72BA977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0C9D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trPr>
        <w:tc>
          <w:tcPr>
            <w:tcW w:w="0" w:type="auto"/>
            <w:vMerge w:val="continue"/>
            <w:tcBorders>
              <w:tl2br w:val="nil"/>
              <w:tr2bl w:val="nil"/>
            </w:tcBorders>
            <w:noWrap w:val="0"/>
            <w:vAlign w:val="center"/>
          </w:tcPr>
          <w:p w14:paraId="3C2D1D7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18C1187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59667A6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5367AE5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1963A84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w:t>
            </w:r>
          </w:p>
        </w:tc>
        <w:tc>
          <w:tcPr>
            <w:tcW w:w="1530" w:type="dxa"/>
            <w:tcBorders>
              <w:tl2br w:val="nil"/>
              <w:tr2bl w:val="nil"/>
            </w:tcBorders>
            <w:noWrap w:val="0"/>
            <w:vAlign w:val="center"/>
          </w:tcPr>
          <w:p w14:paraId="2FBC694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342" w:type="dxa"/>
            <w:vMerge w:val="continue"/>
            <w:tcBorders>
              <w:tl2br w:val="nil"/>
              <w:tr2bl w:val="nil"/>
            </w:tcBorders>
            <w:noWrap w:val="0"/>
            <w:vAlign w:val="center"/>
          </w:tcPr>
          <w:p w14:paraId="352A442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AB6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exact"/>
        </w:trPr>
        <w:tc>
          <w:tcPr>
            <w:tcW w:w="0" w:type="auto"/>
            <w:vMerge w:val="restart"/>
            <w:tcBorders>
              <w:tl2br w:val="nil"/>
              <w:tr2bl w:val="nil"/>
            </w:tcBorders>
            <w:noWrap w:val="0"/>
            <w:vAlign w:val="center"/>
          </w:tcPr>
          <w:p w14:paraId="595C3B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0" w:type="auto"/>
            <w:vMerge w:val="restart"/>
            <w:tcBorders>
              <w:tl2br w:val="nil"/>
              <w:tr2bl w:val="nil"/>
            </w:tcBorders>
            <w:noWrap w:val="0"/>
            <w:vAlign w:val="center"/>
          </w:tcPr>
          <w:p w14:paraId="30DBC66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较大以上环境风险企业所占百分比</w:t>
            </w:r>
          </w:p>
        </w:tc>
        <w:tc>
          <w:tcPr>
            <w:tcW w:w="0" w:type="auto"/>
            <w:vMerge w:val="restart"/>
            <w:tcBorders>
              <w:tl2br w:val="nil"/>
              <w:tr2bl w:val="nil"/>
            </w:tcBorders>
            <w:noWrap w:val="0"/>
            <w:vAlign w:val="center"/>
          </w:tcPr>
          <w:p w14:paraId="07FEAC5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p w14:paraId="2F94954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企业环境风险评估报告</w:t>
            </w:r>
          </w:p>
        </w:tc>
        <w:tc>
          <w:tcPr>
            <w:tcW w:w="4790" w:type="dxa"/>
            <w:vMerge w:val="restart"/>
            <w:tcBorders>
              <w:tl2br w:val="nil"/>
              <w:tr2bl w:val="nil"/>
            </w:tcBorders>
            <w:noWrap w:val="0"/>
            <w:vAlign w:val="center"/>
          </w:tcPr>
          <w:p w14:paraId="4F0E93A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依据企业环境风险等级划分相关文件，等级为较大</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重大的涉</w:t>
            </w:r>
            <w:r>
              <w:rPr>
                <w:rFonts w:hint="default" w:ascii="Times New Roman" w:hAnsi="Times New Roman" w:cs="Times New Roman"/>
                <w:color w:val="auto"/>
                <w:sz w:val="21"/>
                <w:szCs w:val="21"/>
                <w:lang w:val="en-US" w:eastAsia="zh-CN"/>
              </w:rPr>
              <w:t>气</w:t>
            </w:r>
            <w:r>
              <w:rPr>
                <w:rFonts w:hint="default" w:ascii="Times New Roman" w:hAnsi="Times New Roman" w:eastAsia="仿宋" w:cs="Times New Roman"/>
                <w:color w:val="auto"/>
                <w:sz w:val="21"/>
                <w:szCs w:val="21"/>
                <w:lang w:val="en-US" w:eastAsia="zh-CN"/>
              </w:rPr>
              <w:t>环境风险企业数量占评估区域所有环境风险企业数量的百分数</w:t>
            </w:r>
          </w:p>
        </w:tc>
        <w:tc>
          <w:tcPr>
            <w:tcW w:w="3300" w:type="dxa"/>
            <w:tcBorders>
              <w:tl2br w:val="nil"/>
              <w:tr2bl w:val="nil"/>
            </w:tcBorders>
            <w:noWrap w:val="0"/>
            <w:vAlign w:val="center"/>
          </w:tcPr>
          <w:p w14:paraId="5233823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&gt;50</w:t>
            </w:r>
          </w:p>
        </w:tc>
        <w:tc>
          <w:tcPr>
            <w:tcW w:w="1530" w:type="dxa"/>
            <w:tcBorders>
              <w:tl2br w:val="nil"/>
              <w:tr2bl w:val="nil"/>
            </w:tcBorders>
            <w:noWrap w:val="0"/>
            <w:vAlign w:val="center"/>
          </w:tcPr>
          <w:p w14:paraId="37E2726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1342" w:type="dxa"/>
            <w:vMerge w:val="restart"/>
            <w:tcBorders>
              <w:tl2br w:val="nil"/>
              <w:tr2bl w:val="nil"/>
            </w:tcBorders>
            <w:noWrap w:val="0"/>
            <w:vAlign w:val="center"/>
          </w:tcPr>
          <w:p w14:paraId="51D6A5E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3485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trPr>
        <w:tc>
          <w:tcPr>
            <w:tcW w:w="0" w:type="auto"/>
            <w:vMerge w:val="continue"/>
            <w:tcBorders>
              <w:tl2br w:val="nil"/>
              <w:tr2bl w:val="nil"/>
            </w:tcBorders>
            <w:noWrap w:val="0"/>
            <w:vAlign w:val="center"/>
          </w:tcPr>
          <w:p w14:paraId="03F1396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272F62F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043928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04608B5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5C012C9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（20-50]</w:t>
            </w:r>
          </w:p>
        </w:tc>
        <w:tc>
          <w:tcPr>
            <w:tcW w:w="1530" w:type="dxa"/>
            <w:tcBorders>
              <w:tl2br w:val="nil"/>
              <w:tr2bl w:val="nil"/>
            </w:tcBorders>
            <w:noWrap w:val="0"/>
            <w:vAlign w:val="center"/>
          </w:tcPr>
          <w:p w14:paraId="4435E40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1342" w:type="dxa"/>
            <w:vMerge w:val="continue"/>
            <w:tcBorders>
              <w:tl2br w:val="nil"/>
              <w:tr2bl w:val="nil"/>
            </w:tcBorders>
            <w:noWrap w:val="0"/>
            <w:vAlign w:val="center"/>
          </w:tcPr>
          <w:p w14:paraId="7AFF177B">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5283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trPr>
        <w:tc>
          <w:tcPr>
            <w:tcW w:w="0" w:type="auto"/>
            <w:vMerge w:val="continue"/>
            <w:tcBorders>
              <w:tl2br w:val="nil"/>
              <w:tr2bl w:val="nil"/>
            </w:tcBorders>
            <w:noWrap w:val="0"/>
            <w:vAlign w:val="center"/>
          </w:tcPr>
          <w:p w14:paraId="28BBB76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557CC3A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28B1B5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3ED5B14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44F6CD7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（10-20]</w:t>
            </w:r>
          </w:p>
        </w:tc>
        <w:tc>
          <w:tcPr>
            <w:tcW w:w="1530" w:type="dxa"/>
            <w:tcBorders>
              <w:tl2br w:val="nil"/>
              <w:tr2bl w:val="nil"/>
            </w:tcBorders>
            <w:noWrap w:val="0"/>
            <w:vAlign w:val="center"/>
          </w:tcPr>
          <w:p w14:paraId="0810210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1342" w:type="dxa"/>
            <w:vMerge w:val="continue"/>
            <w:tcBorders>
              <w:tl2br w:val="nil"/>
              <w:tr2bl w:val="nil"/>
            </w:tcBorders>
            <w:noWrap w:val="0"/>
            <w:vAlign w:val="center"/>
          </w:tcPr>
          <w:p w14:paraId="12B19247">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45AF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exact"/>
        </w:trPr>
        <w:tc>
          <w:tcPr>
            <w:tcW w:w="0" w:type="auto"/>
            <w:vMerge w:val="continue"/>
            <w:tcBorders>
              <w:tl2br w:val="nil"/>
              <w:tr2bl w:val="nil"/>
            </w:tcBorders>
            <w:noWrap w:val="0"/>
            <w:vAlign w:val="center"/>
          </w:tcPr>
          <w:p w14:paraId="58EF551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0783524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8EE25E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0C2D5AC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138EF16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530" w:type="dxa"/>
            <w:tcBorders>
              <w:tl2br w:val="nil"/>
              <w:tr2bl w:val="nil"/>
            </w:tcBorders>
            <w:noWrap w:val="0"/>
            <w:vAlign w:val="center"/>
          </w:tcPr>
          <w:p w14:paraId="1B42085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342" w:type="dxa"/>
            <w:vMerge w:val="continue"/>
            <w:tcBorders>
              <w:tl2br w:val="nil"/>
              <w:tr2bl w:val="nil"/>
            </w:tcBorders>
            <w:noWrap w:val="0"/>
            <w:vAlign w:val="center"/>
          </w:tcPr>
          <w:p w14:paraId="5A72BE35">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2E2E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0" w:type="auto"/>
            <w:vMerge w:val="restart"/>
            <w:tcBorders>
              <w:tl2br w:val="nil"/>
              <w:tr2bl w:val="nil"/>
            </w:tcBorders>
            <w:noWrap w:val="0"/>
            <w:vAlign w:val="center"/>
          </w:tcPr>
          <w:p w14:paraId="14A6F45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0" w:type="auto"/>
            <w:vMerge w:val="restart"/>
            <w:tcBorders>
              <w:tl2br w:val="nil"/>
              <w:tr2bl w:val="nil"/>
            </w:tcBorders>
            <w:noWrap w:val="0"/>
            <w:vAlign w:val="center"/>
          </w:tcPr>
          <w:p w14:paraId="1048BB5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道路年运输危险化学品数量</w:t>
            </w:r>
          </w:p>
        </w:tc>
        <w:tc>
          <w:tcPr>
            <w:tcW w:w="0" w:type="auto"/>
            <w:vMerge w:val="restart"/>
            <w:tcBorders>
              <w:tl2br w:val="nil"/>
              <w:tr2bl w:val="nil"/>
            </w:tcBorders>
            <w:noWrap w:val="0"/>
            <w:vAlign w:val="center"/>
          </w:tcPr>
          <w:p w14:paraId="3FA4D1C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交通部</w:t>
            </w:r>
            <w:r>
              <w:rPr>
                <w:rFonts w:hint="default" w:ascii="Times New Roman" w:hAnsi="Times New Roman" w:eastAsia="仿宋" w:cs="Times New Roman"/>
                <w:color w:val="auto"/>
                <w:sz w:val="21"/>
                <w:szCs w:val="21"/>
              </w:rPr>
              <w:t>门</w:t>
            </w:r>
          </w:p>
        </w:tc>
        <w:tc>
          <w:tcPr>
            <w:tcW w:w="4790" w:type="dxa"/>
            <w:vMerge w:val="restart"/>
            <w:tcBorders>
              <w:tl2br w:val="nil"/>
              <w:tr2bl w:val="nil"/>
            </w:tcBorders>
            <w:noWrap w:val="0"/>
            <w:vAlign w:val="center"/>
          </w:tcPr>
          <w:p w14:paraId="5F340CB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评估区域内每年以道路运输方式运输的危险化学品</w:t>
            </w:r>
            <w:r>
              <w:rPr>
                <w:rFonts w:hint="default" w:ascii="Times New Roman" w:hAnsi="Times New Roman" w:cs="Times New Roman"/>
                <w:color w:val="auto"/>
                <w:sz w:val="21"/>
                <w:szCs w:val="21"/>
                <w:lang w:val="en-US" w:eastAsia="zh-CN"/>
              </w:rPr>
              <w:t>数</w:t>
            </w:r>
            <w:r>
              <w:rPr>
                <w:rFonts w:hint="default" w:ascii="Times New Roman" w:hAnsi="Times New Roman" w:eastAsia="仿宋" w:cs="Times New Roman"/>
                <w:color w:val="auto"/>
                <w:sz w:val="21"/>
                <w:szCs w:val="21"/>
              </w:rPr>
              <w:t>量</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涉</w:t>
            </w:r>
            <w:r>
              <w:rPr>
                <w:rFonts w:hint="default" w:ascii="Times New Roman" w:hAnsi="Times New Roman" w:cs="Times New Roman"/>
                <w:color w:val="auto"/>
                <w:sz w:val="21"/>
                <w:szCs w:val="21"/>
                <w:lang w:val="en-US" w:eastAsia="zh-CN"/>
              </w:rPr>
              <w:t>气</w:t>
            </w:r>
            <w:r>
              <w:rPr>
                <w:rFonts w:hint="default" w:ascii="Times New Roman" w:hAnsi="Times New Roman" w:cs="Times New Roman"/>
                <w:color w:val="auto"/>
                <w:sz w:val="21"/>
                <w:szCs w:val="21"/>
                <w:lang w:eastAsia="zh-CN"/>
              </w:rPr>
              <w:t>）</w:t>
            </w:r>
          </w:p>
          <w:p w14:paraId="29E0DA1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单位</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万</w:t>
            </w:r>
            <w:r>
              <w:rPr>
                <w:rFonts w:hint="default" w:ascii="Times New Roman" w:hAnsi="Times New Roman" w:eastAsia="仿宋" w:cs="Times New Roman"/>
                <w:color w:val="auto"/>
                <w:sz w:val="21"/>
                <w:szCs w:val="21"/>
              </w:rPr>
              <w:t>吨</w:t>
            </w:r>
          </w:p>
        </w:tc>
        <w:tc>
          <w:tcPr>
            <w:tcW w:w="3300" w:type="dxa"/>
            <w:tcBorders>
              <w:tl2br w:val="nil"/>
              <w:tr2bl w:val="nil"/>
            </w:tcBorders>
            <w:noWrap w:val="0"/>
            <w:vAlign w:val="center"/>
          </w:tcPr>
          <w:p w14:paraId="5443F50E">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30</w:t>
            </w:r>
            <w:r>
              <w:rPr>
                <w:rFonts w:hint="default" w:ascii="Times New Roman" w:hAnsi="Times New Roman" w:eastAsia="仿宋" w:cs="Times New Roman"/>
                <w:color w:val="auto"/>
                <w:sz w:val="21"/>
                <w:szCs w:val="21"/>
              </w:rPr>
              <w:t>0</w:t>
            </w:r>
          </w:p>
        </w:tc>
        <w:tc>
          <w:tcPr>
            <w:tcW w:w="1530" w:type="dxa"/>
            <w:tcBorders>
              <w:tl2br w:val="nil"/>
              <w:tr2bl w:val="nil"/>
            </w:tcBorders>
            <w:noWrap w:val="0"/>
            <w:vAlign w:val="center"/>
          </w:tcPr>
          <w:p w14:paraId="38EC027E">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342" w:type="dxa"/>
            <w:vMerge w:val="restart"/>
            <w:tcBorders>
              <w:tl2br w:val="nil"/>
              <w:tr2bl w:val="nil"/>
            </w:tcBorders>
            <w:noWrap w:val="0"/>
            <w:vAlign w:val="center"/>
          </w:tcPr>
          <w:p w14:paraId="78817F02">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仿宋" w:cs="Times New Roman"/>
                <w:color w:val="auto"/>
                <w:kern w:val="2"/>
                <w:sz w:val="21"/>
                <w:szCs w:val="21"/>
                <w:lang w:val="en-US" w:eastAsia="zh-CN" w:bidi="ar-SA"/>
              </w:rPr>
              <w:t>0</w:t>
            </w:r>
          </w:p>
        </w:tc>
      </w:tr>
      <w:tr w14:paraId="5D0F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exact"/>
        </w:trPr>
        <w:tc>
          <w:tcPr>
            <w:tcW w:w="0" w:type="auto"/>
            <w:vMerge w:val="continue"/>
            <w:tcBorders>
              <w:tl2br w:val="nil"/>
              <w:tr2bl w:val="nil"/>
            </w:tcBorders>
            <w:noWrap w:val="0"/>
            <w:vAlign w:val="center"/>
          </w:tcPr>
          <w:p w14:paraId="6DF3142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55D0BEE">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F57DE7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2C0275E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07152C9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300</w:t>
            </w:r>
            <w:r>
              <w:rPr>
                <w:rFonts w:hint="default" w:ascii="Times New Roman" w:hAnsi="Times New Roman" w:eastAsia="仿宋" w:cs="Times New Roman"/>
                <w:color w:val="auto"/>
                <w:sz w:val="21"/>
                <w:szCs w:val="21"/>
              </w:rPr>
              <w:t>]</w:t>
            </w:r>
          </w:p>
        </w:tc>
        <w:tc>
          <w:tcPr>
            <w:tcW w:w="1530" w:type="dxa"/>
            <w:tcBorders>
              <w:tl2br w:val="nil"/>
              <w:tr2bl w:val="nil"/>
            </w:tcBorders>
            <w:noWrap w:val="0"/>
            <w:vAlign w:val="center"/>
          </w:tcPr>
          <w:p w14:paraId="3721EC4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18</w:t>
            </w:r>
          </w:p>
        </w:tc>
        <w:tc>
          <w:tcPr>
            <w:tcW w:w="1342" w:type="dxa"/>
            <w:vMerge w:val="continue"/>
            <w:tcBorders>
              <w:tl2br w:val="nil"/>
              <w:tr2bl w:val="nil"/>
            </w:tcBorders>
            <w:noWrap w:val="0"/>
            <w:vAlign w:val="center"/>
          </w:tcPr>
          <w:p w14:paraId="73B1ACB7">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3590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exact"/>
        </w:trPr>
        <w:tc>
          <w:tcPr>
            <w:tcW w:w="0" w:type="auto"/>
            <w:vMerge w:val="continue"/>
            <w:tcBorders>
              <w:tl2br w:val="nil"/>
              <w:tr2bl w:val="nil"/>
            </w:tcBorders>
            <w:noWrap w:val="0"/>
            <w:vAlign w:val="center"/>
          </w:tcPr>
          <w:p w14:paraId="4DC365C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3A4A5D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00DC3D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5E3243B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53AF544C">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30</w:t>
            </w:r>
            <w:r>
              <w:rPr>
                <w:rFonts w:hint="default" w:ascii="Times New Roman" w:hAnsi="Times New Roman" w:eastAsia="仿宋" w:cs="Times New Roman"/>
                <w:color w:val="auto"/>
                <w:sz w:val="21"/>
                <w:szCs w:val="21"/>
              </w:rPr>
              <w:t>]</w:t>
            </w:r>
          </w:p>
        </w:tc>
        <w:tc>
          <w:tcPr>
            <w:tcW w:w="1530" w:type="dxa"/>
            <w:tcBorders>
              <w:tl2br w:val="nil"/>
              <w:tr2bl w:val="nil"/>
            </w:tcBorders>
            <w:noWrap w:val="0"/>
            <w:vAlign w:val="center"/>
          </w:tcPr>
          <w:p w14:paraId="4E1EA52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342" w:type="dxa"/>
            <w:vMerge w:val="continue"/>
            <w:tcBorders>
              <w:tl2br w:val="nil"/>
              <w:tr2bl w:val="nil"/>
            </w:tcBorders>
            <w:noWrap w:val="0"/>
            <w:vAlign w:val="center"/>
          </w:tcPr>
          <w:p w14:paraId="0F260131">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7323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trPr>
        <w:tc>
          <w:tcPr>
            <w:tcW w:w="0" w:type="auto"/>
            <w:vMerge w:val="continue"/>
            <w:tcBorders>
              <w:tl2br w:val="nil"/>
              <w:tr2bl w:val="nil"/>
            </w:tcBorders>
            <w:noWrap w:val="0"/>
            <w:vAlign w:val="center"/>
          </w:tcPr>
          <w:p w14:paraId="75CBDF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5D268BCA">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4091FBC">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23A4D81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17D4452D">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w:t>
            </w:r>
          </w:p>
        </w:tc>
        <w:tc>
          <w:tcPr>
            <w:tcW w:w="1530" w:type="dxa"/>
            <w:tcBorders>
              <w:tl2br w:val="nil"/>
              <w:tr2bl w:val="nil"/>
            </w:tcBorders>
            <w:noWrap w:val="0"/>
            <w:vAlign w:val="center"/>
          </w:tcPr>
          <w:p w14:paraId="6D448901">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w:t>
            </w:r>
          </w:p>
        </w:tc>
        <w:tc>
          <w:tcPr>
            <w:tcW w:w="1342" w:type="dxa"/>
            <w:vMerge w:val="continue"/>
            <w:tcBorders>
              <w:tl2br w:val="nil"/>
              <w:tr2bl w:val="nil"/>
            </w:tcBorders>
            <w:noWrap w:val="0"/>
            <w:vAlign w:val="center"/>
          </w:tcPr>
          <w:p w14:paraId="522C5CF8">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4EF3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trPr>
        <w:tc>
          <w:tcPr>
            <w:tcW w:w="0" w:type="auto"/>
            <w:vMerge w:val="restart"/>
            <w:tcBorders>
              <w:tl2br w:val="nil"/>
              <w:tr2bl w:val="nil"/>
            </w:tcBorders>
            <w:noWrap w:val="0"/>
            <w:vAlign w:val="center"/>
          </w:tcPr>
          <w:p w14:paraId="30EF631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0" w:type="auto"/>
            <w:vMerge w:val="restart"/>
            <w:tcBorders>
              <w:tl2br w:val="nil"/>
              <w:tr2bl w:val="nil"/>
            </w:tcBorders>
            <w:noWrap w:val="0"/>
            <w:vAlign w:val="center"/>
          </w:tcPr>
          <w:p w14:paraId="3023E50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环境风险等级为较大及以上的尾矿库数量</w:t>
            </w:r>
          </w:p>
        </w:tc>
        <w:tc>
          <w:tcPr>
            <w:tcW w:w="0" w:type="auto"/>
            <w:vMerge w:val="restart"/>
            <w:tcBorders>
              <w:tl2br w:val="nil"/>
              <w:tr2bl w:val="nil"/>
            </w:tcBorders>
            <w:noWrap w:val="0"/>
            <w:vAlign w:val="center"/>
          </w:tcPr>
          <w:p w14:paraId="40D547A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环保部门</w:t>
            </w:r>
          </w:p>
        </w:tc>
        <w:tc>
          <w:tcPr>
            <w:tcW w:w="4790" w:type="dxa"/>
            <w:vMerge w:val="restart"/>
            <w:tcBorders>
              <w:tl2br w:val="nil"/>
              <w:tr2bl w:val="nil"/>
            </w:tcBorders>
            <w:noWrap w:val="0"/>
            <w:vAlign w:val="center"/>
          </w:tcPr>
          <w:p w14:paraId="298E4EB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3300" w:type="dxa"/>
            <w:tcBorders>
              <w:tl2br w:val="nil"/>
              <w:tr2bl w:val="nil"/>
            </w:tcBorders>
            <w:noWrap w:val="0"/>
            <w:vAlign w:val="center"/>
          </w:tcPr>
          <w:p w14:paraId="0A8DE78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530" w:type="dxa"/>
            <w:tcBorders>
              <w:tl2br w:val="nil"/>
              <w:tr2bl w:val="nil"/>
            </w:tcBorders>
            <w:noWrap w:val="0"/>
            <w:vAlign w:val="center"/>
          </w:tcPr>
          <w:p w14:paraId="5ACA6A1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342" w:type="dxa"/>
            <w:vMerge w:val="restart"/>
            <w:tcBorders>
              <w:tl2br w:val="nil"/>
              <w:tr2bl w:val="nil"/>
            </w:tcBorders>
            <w:noWrap w:val="0"/>
            <w:vAlign w:val="center"/>
          </w:tcPr>
          <w:p w14:paraId="69F50DF0">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E99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exact"/>
        </w:trPr>
        <w:tc>
          <w:tcPr>
            <w:tcW w:w="0" w:type="auto"/>
            <w:vMerge w:val="continue"/>
            <w:tcBorders>
              <w:tl2br w:val="nil"/>
              <w:tr2bl w:val="nil"/>
            </w:tcBorders>
            <w:noWrap w:val="0"/>
            <w:vAlign w:val="center"/>
          </w:tcPr>
          <w:p w14:paraId="132100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20C033E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7516B64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1232712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0F7723E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530" w:type="dxa"/>
            <w:tcBorders>
              <w:tl2br w:val="nil"/>
              <w:tr2bl w:val="nil"/>
            </w:tcBorders>
            <w:noWrap w:val="0"/>
            <w:vAlign w:val="center"/>
          </w:tcPr>
          <w:p w14:paraId="3FEA940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342" w:type="dxa"/>
            <w:vMerge w:val="continue"/>
            <w:tcBorders>
              <w:tl2br w:val="nil"/>
              <w:tr2bl w:val="nil"/>
            </w:tcBorders>
            <w:noWrap w:val="0"/>
            <w:vAlign w:val="center"/>
          </w:tcPr>
          <w:p w14:paraId="55809DAC">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70AE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exact"/>
        </w:trPr>
        <w:tc>
          <w:tcPr>
            <w:tcW w:w="0" w:type="auto"/>
            <w:vMerge w:val="continue"/>
            <w:tcBorders>
              <w:tl2br w:val="nil"/>
              <w:tr2bl w:val="nil"/>
            </w:tcBorders>
            <w:noWrap w:val="0"/>
            <w:vAlign w:val="center"/>
          </w:tcPr>
          <w:p w14:paraId="6DC5C4A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217494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E56034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28D5187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049AEFA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530" w:type="dxa"/>
            <w:tcBorders>
              <w:tl2br w:val="nil"/>
              <w:tr2bl w:val="nil"/>
            </w:tcBorders>
            <w:noWrap w:val="0"/>
            <w:vAlign w:val="center"/>
          </w:tcPr>
          <w:p w14:paraId="3EA8919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342" w:type="dxa"/>
            <w:vMerge w:val="continue"/>
            <w:tcBorders>
              <w:tl2br w:val="nil"/>
              <w:tr2bl w:val="nil"/>
            </w:tcBorders>
            <w:noWrap w:val="0"/>
            <w:vAlign w:val="center"/>
          </w:tcPr>
          <w:p w14:paraId="567D8DC3">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33A5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0" w:type="auto"/>
            <w:vMerge w:val="continue"/>
            <w:tcBorders>
              <w:tl2br w:val="nil"/>
              <w:tr2bl w:val="nil"/>
            </w:tcBorders>
            <w:noWrap w:val="0"/>
            <w:vAlign w:val="center"/>
          </w:tcPr>
          <w:p w14:paraId="16C2A6E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42D44A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571CCA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7D2B2CE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631B341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530" w:type="dxa"/>
            <w:tcBorders>
              <w:tl2br w:val="nil"/>
              <w:tr2bl w:val="nil"/>
            </w:tcBorders>
            <w:noWrap w:val="0"/>
            <w:vAlign w:val="center"/>
          </w:tcPr>
          <w:p w14:paraId="352E61E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342" w:type="dxa"/>
            <w:vMerge w:val="continue"/>
            <w:tcBorders>
              <w:tl2br w:val="nil"/>
              <w:tr2bl w:val="nil"/>
            </w:tcBorders>
            <w:noWrap w:val="0"/>
            <w:vAlign w:val="center"/>
          </w:tcPr>
          <w:p w14:paraId="4FB4D199">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7D85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exact"/>
        </w:trPr>
        <w:tc>
          <w:tcPr>
            <w:tcW w:w="0" w:type="auto"/>
            <w:vMerge w:val="restart"/>
            <w:tcBorders>
              <w:tl2br w:val="nil"/>
              <w:tr2bl w:val="nil"/>
            </w:tcBorders>
            <w:noWrap w:val="0"/>
            <w:vAlign w:val="center"/>
          </w:tcPr>
          <w:p w14:paraId="2214E1A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0" w:type="auto"/>
            <w:vMerge w:val="restart"/>
            <w:tcBorders>
              <w:tl2br w:val="nil"/>
              <w:tr2bl w:val="nil"/>
            </w:tcBorders>
            <w:noWrap w:val="0"/>
            <w:vAlign w:val="center"/>
          </w:tcPr>
          <w:p w14:paraId="2C6B8AF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近五年突发环境事件发生数量及影响</w:t>
            </w:r>
          </w:p>
        </w:tc>
        <w:tc>
          <w:tcPr>
            <w:tcW w:w="0" w:type="auto"/>
            <w:vMerge w:val="restart"/>
            <w:tcBorders>
              <w:tl2br w:val="nil"/>
              <w:tr2bl w:val="nil"/>
            </w:tcBorders>
            <w:noWrap w:val="0"/>
            <w:vAlign w:val="center"/>
          </w:tcPr>
          <w:p w14:paraId="056676F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4790" w:type="dxa"/>
            <w:vMerge w:val="restart"/>
            <w:tcBorders>
              <w:tl2br w:val="nil"/>
              <w:tr2bl w:val="nil"/>
            </w:tcBorders>
            <w:noWrap w:val="0"/>
            <w:vAlign w:val="center"/>
          </w:tcPr>
          <w:p w14:paraId="49E81EC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参照《国家突发环境事件应急预案》</w:t>
            </w:r>
          </w:p>
          <w:p w14:paraId="43E0299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评估区域内近五年突发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环境事件发生数量及影响</w:t>
            </w:r>
          </w:p>
        </w:tc>
        <w:tc>
          <w:tcPr>
            <w:tcW w:w="3300" w:type="dxa"/>
            <w:tcBorders>
              <w:tl2br w:val="nil"/>
              <w:tr2bl w:val="nil"/>
            </w:tcBorders>
            <w:noWrap w:val="0"/>
            <w:vAlign w:val="center"/>
          </w:tcPr>
          <w:p w14:paraId="4C81C9C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环境事件数 量≥1且较大及以上等级的突发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环境事件发生数量≥1</w:t>
            </w:r>
          </w:p>
        </w:tc>
        <w:tc>
          <w:tcPr>
            <w:tcW w:w="1530" w:type="dxa"/>
            <w:tcBorders>
              <w:tl2br w:val="nil"/>
              <w:tr2bl w:val="nil"/>
            </w:tcBorders>
            <w:noWrap w:val="0"/>
            <w:vAlign w:val="center"/>
          </w:tcPr>
          <w:p w14:paraId="2DDFF3D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1342" w:type="dxa"/>
            <w:vMerge w:val="restart"/>
            <w:tcBorders>
              <w:tl2br w:val="nil"/>
              <w:tr2bl w:val="nil"/>
            </w:tcBorders>
            <w:noWrap w:val="0"/>
            <w:vAlign w:val="center"/>
          </w:tcPr>
          <w:p w14:paraId="2080F45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r>
      <w:tr w14:paraId="4ECF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exact"/>
        </w:trPr>
        <w:tc>
          <w:tcPr>
            <w:tcW w:w="0" w:type="auto"/>
            <w:vMerge w:val="continue"/>
            <w:tcBorders>
              <w:tl2br w:val="nil"/>
              <w:tr2bl w:val="nil"/>
            </w:tcBorders>
            <w:noWrap w:val="0"/>
            <w:vAlign w:val="center"/>
          </w:tcPr>
          <w:p w14:paraId="1B0953D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279B5DA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0E03858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526736F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2CDCDF4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环境事件数量≥1，无较大及以上等级的突发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w:t>
            </w:r>
          </w:p>
        </w:tc>
        <w:tc>
          <w:tcPr>
            <w:tcW w:w="1530" w:type="dxa"/>
            <w:tcBorders>
              <w:tl2br w:val="nil"/>
              <w:tr2bl w:val="nil"/>
            </w:tcBorders>
            <w:noWrap w:val="0"/>
            <w:vAlign w:val="center"/>
          </w:tcPr>
          <w:p w14:paraId="0E1E0B2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342" w:type="dxa"/>
            <w:vMerge w:val="continue"/>
            <w:tcBorders>
              <w:tl2br w:val="nil"/>
              <w:tr2bl w:val="nil"/>
            </w:tcBorders>
            <w:noWrap w:val="0"/>
            <w:vAlign w:val="center"/>
          </w:tcPr>
          <w:p w14:paraId="32C7483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4B5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exact"/>
        </w:trPr>
        <w:tc>
          <w:tcPr>
            <w:tcW w:w="0" w:type="auto"/>
            <w:vMerge w:val="continue"/>
            <w:tcBorders>
              <w:tl2br w:val="nil"/>
              <w:tr2bl w:val="nil"/>
            </w:tcBorders>
            <w:noWrap w:val="0"/>
            <w:vAlign w:val="center"/>
          </w:tcPr>
          <w:p w14:paraId="2A19CED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C2F67E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35D468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0240E15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0AAA915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环境事件发生</w:t>
            </w:r>
          </w:p>
        </w:tc>
        <w:tc>
          <w:tcPr>
            <w:tcW w:w="1530" w:type="dxa"/>
            <w:tcBorders>
              <w:tl2br w:val="nil"/>
              <w:tr2bl w:val="nil"/>
            </w:tcBorders>
            <w:noWrap w:val="0"/>
            <w:vAlign w:val="center"/>
          </w:tcPr>
          <w:p w14:paraId="1EA4293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342" w:type="dxa"/>
            <w:vMerge w:val="continue"/>
            <w:tcBorders>
              <w:tl2br w:val="nil"/>
              <w:tr2bl w:val="nil"/>
            </w:tcBorders>
            <w:noWrap w:val="0"/>
            <w:vAlign w:val="center"/>
          </w:tcPr>
          <w:p w14:paraId="30B7B75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0AA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trPr>
        <w:tc>
          <w:tcPr>
            <w:tcW w:w="13552" w:type="dxa"/>
            <w:gridSpan w:val="6"/>
            <w:tcBorders>
              <w:tl2br w:val="nil"/>
              <w:tr2bl w:val="nil"/>
            </w:tcBorders>
            <w:noWrap w:val="0"/>
            <w:vAlign w:val="center"/>
          </w:tcPr>
          <w:p w14:paraId="604A5E68">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leftChars="0" w:right="207"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bidi="ar-SA"/>
              </w:rPr>
              <w:t>合计</w:t>
            </w:r>
          </w:p>
        </w:tc>
        <w:tc>
          <w:tcPr>
            <w:tcW w:w="1342" w:type="dxa"/>
            <w:tcBorders>
              <w:tl2br w:val="nil"/>
              <w:tr2bl w:val="nil"/>
            </w:tcBorders>
            <w:noWrap w:val="0"/>
            <w:vAlign w:val="center"/>
          </w:tcPr>
          <w:p w14:paraId="05F9640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bl>
    <w:p w14:paraId="0067F2FC">
      <w:pPr>
        <w:rPr>
          <w:rFonts w:hint="default" w:ascii="Times New Roman" w:hAnsi="Times New Roman" w:cs="Times New Roman"/>
          <w:color w:val="auto"/>
        </w:rPr>
      </w:pPr>
    </w:p>
    <w:p w14:paraId="06FB435D">
      <w:pPr>
        <w:pStyle w:val="25"/>
        <w:rPr>
          <w:rFonts w:hint="default" w:ascii="Times New Roman" w:hAnsi="Times New Roman" w:cs="Times New Roman"/>
          <w:color w:val="auto"/>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12CF2C9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（二）环境风险受体脆弱性指数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v</w:t>
      </w:r>
      <w:r>
        <w:rPr>
          <w:rFonts w:hint="eastAsia" w:ascii="Times New Roman" w:hAnsi="Times New Roman" w:eastAsia="仿宋" w:cs="Times New Roman"/>
          <w:bCs/>
          <w:color w:val="auto"/>
          <w:kern w:val="0"/>
          <w:sz w:val="28"/>
          <w:szCs w:val="28"/>
          <w:lang w:val="en-US" w:eastAsia="zh-CN" w:bidi="ar-SA"/>
        </w:rPr>
        <w:t>）</w:t>
      </w:r>
    </w:p>
    <w:p w14:paraId="33CB82A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①居民区污染风频</w:t>
      </w:r>
    </w:p>
    <w:p w14:paraId="221C98E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兴县主导风向玫瑰图如下：</w:t>
      </w:r>
    </w:p>
    <w:p w14:paraId="4DDB4AA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仿宋" w:cs="Times New Roman"/>
          <w:color w:val="auto"/>
          <w:spacing w:val="-2"/>
          <w:sz w:val="28"/>
          <w:szCs w:val="28"/>
          <w:lang w:val="en-US" w:eastAsia="zh-CN"/>
        </w:rPr>
      </w:pPr>
      <w:r>
        <w:rPr>
          <w:rFonts w:hint="default" w:ascii="Times New Roman" w:hAnsi="Times New Roman" w:cs="Times New Roman"/>
          <w:color w:val="auto"/>
          <w:sz w:val="21"/>
        </w:rPr>
        <w:drawing>
          <wp:inline distT="0" distB="0" distL="114300" distR="114300">
            <wp:extent cx="2094230" cy="2190115"/>
            <wp:effectExtent l="9525" t="9525" r="10795" b="10160"/>
            <wp:docPr id="37" name="图片 1" descr="171058235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1710582359059"/>
                    <pic:cNvPicPr>
                      <a:picLocks noChangeAspect="1"/>
                    </pic:cNvPicPr>
                  </pic:nvPicPr>
                  <pic:blipFill>
                    <a:blip r:embed="rId18"/>
                    <a:srcRect l="784" t="1353" r="1373" b="1276"/>
                    <a:stretch>
                      <a:fillRect/>
                    </a:stretch>
                  </pic:blipFill>
                  <pic:spPr>
                    <a:xfrm>
                      <a:off x="0" y="0"/>
                      <a:ext cx="2094230" cy="219011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5F804B4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根据图示，兴县常年主导风向为西北风，主要居民区为瓦塘镇，处于开发区北区的下风向，处于开发区南区的上风向。</w:t>
      </w:r>
    </w:p>
    <w:p w14:paraId="6DD4337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②单位面积环境风险受体数量</w:t>
      </w:r>
    </w:p>
    <w:p w14:paraId="71203B2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本次选取企业分布相对集中的区域进行分析，为瓦塘镇，瓦塘镇面积173km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，涉及工业企业8家，单位面积内涉大气环境风险企业数量为0.29。</w:t>
      </w:r>
    </w:p>
    <w:p w14:paraId="54EE8894">
      <w:pPr>
        <w:pStyle w:val="17"/>
        <w:rPr>
          <w:rFonts w:hint="default" w:ascii="Times New Roman" w:hAnsi="Times New Roman" w:cs="Times New Roman"/>
          <w:color w:val="auto"/>
        </w:rPr>
        <w:sectPr>
          <w:pgSz w:w="11920" w:h="16838"/>
          <w:pgMar w:top="1440" w:right="1803" w:bottom="1440" w:left="1803"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33FEBE6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8</w:t>
      </w:r>
      <w:r>
        <w:rPr>
          <w:rFonts w:hint="default" w:ascii="Times New Roman" w:hAnsi="Times New Roman" w:eastAsia="仿宋" w:cs="Times New Roman"/>
          <w:b/>
          <w:bCs/>
          <w:color w:val="auto"/>
          <w:kern w:val="0"/>
          <w:sz w:val="24"/>
          <w:lang w:val="en-US" w:eastAsia="zh-CN"/>
        </w:rPr>
        <w:t xml:space="preserve">  大气环境风险受体脆弱性（V）评估表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945"/>
        <w:gridCol w:w="1572"/>
        <w:gridCol w:w="4932"/>
        <w:gridCol w:w="2400"/>
        <w:gridCol w:w="1802"/>
        <w:gridCol w:w="1391"/>
      </w:tblGrid>
      <w:tr w14:paraId="14D1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84" w:type="pct"/>
            <w:vMerge w:val="restart"/>
            <w:tcBorders>
              <w:tl2br w:val="nil"/>
              <w:tr2bl w:val="nil"/>
            </w:tcBorders>
            <w:noWrap w:val="0"/>
            <w:vAlign w:val="center"/>
          </w:tcPr>
          <w:p w14:paraId="101D9BB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653" w:type="pct"/>
            <w:vMerge w:val="restart"/>
            <w:tcBorders>
              <w:tl2br w:val="nil"/>
              <w:tr2bl w:val="nil"/>
            </w:tcBorders>
            <w:noWrap w:val="0"/>
            <w:vAlign w:val="center"/>
          </w:tcPr>
          <w:p w14:paraId="2F29173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评估指标</w:t>
            </w:r>
          </w:p>
        </w:tc>
        <w:tc>
          <w:tcPr>
            <w:tcW w:w="528" w:type="pct"/>
            <w:vMerge w:val="restart"/>
            <w:tcBorders>
              <w:tl2br w:val="nil"/>
              <w:tr2bl w:val="nil"/>
            </w:tcBorders>
            <w:noWrap w:val="0"/>
            <w:vAlign w:val="center"/>
          </w:tcPr>
          <w:p w14:paraId="38480FC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w:t>
            </w:r>
          </w:p>
        </w:tc>
        <w:tc>
          <w:tcPr>
            <w:tcW w:w="3065" w:type="pct"/>
            <w:gridSpan w:val="3"/>
            <w:tcBorders>
              <w:tl2br w:val="nil"/>
              <w:tr2bl w:val="nil"/>
            </w:tcBorders>
            <w:noWrap w:val="0"/>
            <w:vAlign w:val="center"/>
          </w:tcPr>
          <w:p w14:paraId="1E01D86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大气环境风险</w:t>
            </w:r>
          </w:p>
        </w:tc>
        <w:tc>
          <w:tcPr>
            <w:tcW w:w="467" w:type="pct"/>
            <w:vMerge w:val="restart"/>
            <w:tcBorders>
              <w:tl2br w:val="nil"/>
              <w:tr2bl w:val="nil"/>
            </w:tcBorders>
            <w:noWrap w:val="0"/>
            <w:vAlign w:val="center"/>
          </w:tcPr>
          <w:p w14:paraId="378F309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kern w:val="0"/>
                <w:sz w:val="21"/>
                <w:szCs w:val="21"/>
              </w:rPr>
              <w:t>瓦塘镇</w:t>
            </w:r>
          </w:p>
        </w:tc>
      </w:tr>
      <w:tr w14:paraId="75EB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25418D4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015CCD9B">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67214C1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tcBorders>
              <w:tl2br w:val="nil"/>
              <w:tr2bl w:val="nil"/>
            </w:tcBorders>
            <w:noWrap w:val="0"/>
            <w:vAlign w:val="center"/>
          </w:tcPr>
          <w:p w14:paraId="4AFE73C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指标说明</w:t>
            </w:r>
          </w:p>
        </w:tc>
        <w:tc>
          <w:tcPr>
            <w:tcW w:w="806" w:type="pct"/>
            <w:tcBorders>
              <w:tl2br w:val="nil"/>
              <w:tr2bl w:val="nil"/>
            </w:tcBorders>
            <w:noWrap w:val="0"/>
            <w:vAlign w:val="center"/>
          </w:tcPr>
          <w:p w14:paraId="2BDAC56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情况</w:t>
            </w:r>
          </w:p>
        </w:tc>
        <w:tc>
          <w:tcPr>
            <w:tcW w:w="603" w:type="pct"/>
            <w:tcBorders>
              <w:tl2br w:val="nil"/>
              <w:tr2bl w:val="nil"/>
            </w:tcBorders>
            <w:noWrap w:val="0"/>
            <w:vAlign w:val="center"/>
          </w:tcPr>
          <w:p w14:paraId="19A04D4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分值</w:t>
            </w:r>
          </w:p>
        </w:tc>
        <w:tc>
          <w:tcPr>
            <w:tcW w:w="467" w:type="pct"/>
            <w:vMerge w:val="continue"/>
            <w:tcBorders>
              <w:tl2br w:val="nil"/>
              <w:tr2bl w:val="nil"/>
            </w:tcBorders>
            <w:noWrap w:val="0"/>
            <w:vAlign w:val="center"/>
          </w:tcPr>
          <w:p w14:paraId="61A75242">
            <w:pPr>
              <w:pStyle w:val="17"/>
              <w:keepNext w:val="0"/>
              <w:keepLines w:val="0"/>
              <w:pageBreakBefore w:val="0"/>
              <w:kinsoku/>
              <w:wordWrap/>
              <w:overflowPunct/>
              <w:topLinePunct w:val="0"/>
              <w:autoSpaceDE/>
              <w:autoSpaceDN/>
              <w:bidi w:val="0"/>
              <w:spacing w:beforeAutospacing="0" w:afterAutospacing="0" w:line="400" w:lineRule="exact"/>
              <w:jc w:val="center"/>
              <w:textAlignment w:val="auto"/>
              <w:rPr>
                <w:rFonts w:hint="default" w:ascii="Times New Roman" w:hAnsi="Times New Roman" w:cs="Times New Roman"/>
                <w:color w:val="auto"/>
                <w:vertAlign w:val="baseline"/>
              </w:rPr>
            </w:pPr>
          </w:p>
        </w:tc>
      </w:tr>
      <w:tr w14:paraId="3050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restart"/>
            <w:tcBorders>
              <w:tl2br w:val="nil"/>
              <w:tr2bl w:val="nil"/>
            </w:tcBorders>
            <w:noWrap w:val="0"/>
            <w:vAlign w:val="center"/>
          </w:tcPr>
          <w:p w14:paraId="0301518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653" w:type="pct"/>
            <w:vMerge w:val="restart"/>
            <w:tcBorders>
              <w:tl2br w:val="nil"/>
              <w:tr2bl w:val="nil"/>
            </w:tcBorders>
            <w:noWrap w:val="0"/>
            <w:vAlign w:val="center"/>
          </w:tcPr>
          <w:p w14:paraId="073C8BD3">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居民区污染风频</w:t>
            </w:r>
          </w:p>
        </w:tc>
        <w:tc>
          <w:tcPr>
            <w:tcW w:w="528" w:type="pct"/>
            <w:vMerge w:val="restart"/>
            <w:tcBorders>
              <w:tl2br w:val="nil"/>
              <w:tr2bl w:val="nil"/>
            </w:tcBorders>
            <w:noWrap w:val="0"/>
            <w:vAlign w:val="center"/>
          </w:tcPr>
          <w:p w14:paraId="358177C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p w14:paraId="6CC72BE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规划部门气象部门</w:t>
            </w:r>
          </w:p>
        </w:tc>
        <w:tc>
          <w:tcPr>
            <w:tcW w:w="1656" w:type="pct"/>
            <w:vMerge w:val="restart"/>
            <w:tcBorders>
              <w:tl2br w:val="nil"/>
              <w:tr2bl w:val="nil"/>
            </w:tcBorders>
            <w:noWrap w:val="0"/>
            <w:vAlign w:val="center"/>
          </w:tcPr>
          <w:p w14:paraId="64E399DB">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人口密度超过评估区域平均人口密度的居民区</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五公里范围内其上风向为工业区的风频</w:t>
            </w:r>
            <w:r>
              <w:rPr>
                <w:rFonts w:hint="eastAsia" w:ascii="Times New Roman" w:hAnsi="Times New Roman" w:cs="Times New Roman"/>
                <w:color w:val="auto"/>
                <w:sz w:val="21"/>
                <w:szCs w:val="21"/>
                <w:lang w:val="en-US" w:eastAsia="zh-CN"/>
              </w:rPr>
              <w:t>，</w:t>
            </w:r>
          </w:p>
          <w:p w14:paraId="7F305A1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若存在多个风频则取高值</w:t>
            </w:r>
          </w:p>
        </w:tc>
        <w:tc>
          <w:tcPr>
            <w:tcW w:w="806" w:type="pct"/>
            <w:tcBorders>
              <w:tl2br w:val="nil"/>
              <w:tr2bl w:val="nil"/>
            </w:tcBorders>
            <w:noWrap w:val="0"/>
            <w:vAlign w:val="center"/>
          </w:tcPr>
          <w:p w14:paraId="4833E68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&gt;20%</w:t>
            </w:r>
          </w:p>
        </w:tc>
        <w:tc>
          <w:tcPr>
            <w:tcW w:w="603" w:type="pct"/>
            <w:tcBorders>
              <w:tl2br w:val="nil"/>
              <w:tr2bl w:val="nil"/>
            </w:tcBorders>
            <w:noWrap w:val="0"/>
            <w:vAlign w:val="center"/>
          </w:tcPr>
          <w:p w14:paraId="2EED57E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40</w:t>
            </w:r>
          </w:p>
        </w:tc>
        <w:tc>
          <w:tcPr>
            <w:tcW w:w="467" w:type="pct"/>
            <w:vMerge w:val="restart"/>
            <w:tcBorders>
              <w:tl2br w:val="nil"/>
              <w:tr2bl w:val="nil"/>
            </w:tcBorders>
            <w:noWrap w:val="0"/>
            <w:vAlign w:val="center"/>
          </w:tcPr>
          <w:p w14:paraId="415122F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3250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548149F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2664929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288D0A7B">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0A1E8FE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65405B0A">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(13—20%]</w:t>
            </w:r>
          </w:p>
        </w:tc>
        <w:tc>
          <w:tcPr>
            <w:tcW w:w="603" w:type="pct"/>
            <w:tcBorders>
              <w:tl2br w:val="nil"/>
              <w:tr2bl w:val="nil"/>
            </w:tcBorders>
            <w:noWrap w:val="0"/>
            <w:vAlign w:val="center"/>
          </w:tcPr>
          <w:p w14:paraId="03B156C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26</w:t>
            </w:r>
          </w:p>
        </w:tc>
        <w:tc>
          <w:tcPr>
            <w:tcW w:w="467" w:type="pct"/>
            <w:vMerge w:val="continue"/>
            <w:tcBorders>
              <w:tl2br w:val="nil"/>
              <w:tr2bl w:val="nil"/>
            </w:tcBorders>
            <w:noWrap w:val="0"/>
            <w:vAlign w:val="center"/>
          </w:tcPr>
          <w:p w14:paraId="706E292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621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090FEE4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0DEC821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667C9D8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7F1EC0D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4348F476">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[5—13%]</w:t>
            </w:r>
          </w:p>
        </w:tc>
        <w:tc>
          <w:tcPr>
            <w:tcW w:w="603" w:type="pct"/>
            <w:tcBorders>
              <w:tl2br w:val="nil"/>
              <w:tr2bl w:val="nil"/>
            </w:tcBorders>
            <w:noWrap w:val="0"/>
            <w:vAlign w:val="center"/>
          </w:tcPr>
          <w:p w14:paraId="79F0520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w:t>
            </w:r>
          </w:p>
        </w:tc>
        <w:tc>
          <w:tcPr>
            <w:tcW w:w="467" w:type="pct"/>
            <w:vMerge w:val="continue"/>
            <w:tcBorders>
              <w:tl2br w:val="nil"/>
              <w:tr2bl w:val="nil"/>
            </w:tcBorders>
            <w:noWrap w:val="0"/>
            <w:vAlign w:val="center"/>
          </w:tcPr>
          <w:p w14:paraId="7FA3EBD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8E7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84" w:type="pct"/>
            <w:vMerge w:val="continue"/>
            <w:tcBorders>
              <w:tl2br w:val="nil"/>
              <w:tr2bl w:val="nil"/>
            </w:tcBorders>
            <w:noWrap w:val="0"/>
            <w:vAlign w:val="center"/>
          </w:tcPr>
          <w:p w14:paraId="1015AF4E">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048AE03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368508A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7B4C15C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5CFAC1D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603" w:type="pct"/>
            <w:tcBorders>
              <w:tl2br w:val="nil"/>
              <w:tr2bl w:val="nil"/>
            </w:tcBorders>
            <w:noWrap w:val="0"/>
            <w:vAlign w:val="center"/>
          </w:tcPr>
          <w:p w14:paraId="29B4972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67" w:type="pct"/>
            <w:vMerge w:val="continue"/>
            <w:tcBorders>
              <w:tl2br w:val="nil"/>
              <w:tr2bl w:val="nil"/>
            </w:tcBorders>
            <w:noWrap w:val="0"/>
            <w:vAlign w:val="center"/>
          </w:tcPr>
          <w:p w14:paraId="3F7D9A3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70A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restart"/>
            <w:tcBorders>
              <w:tl2br w:val="nil"/>
              <w:tr2bl w:val="nil"/>
            </w:tcBorders>
            <w:noWrap w:val="0"/>
            <w:vAlign w:val="center"/>
          </w:tcPr>
          <w:p w14:paraId="7C8C2123">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653" w:type="pct"/>
            <w:vMerge w:val="restart"/>
            <w:tcBorders>
              <w:tl2br w:val="nil"/>
              <w:tr2bl w:val="nil"/>
            </w:tcBorders>
            <w:noWrap w:val="0"/>
            <w:vAlign w:val="center"/>
          </w:tcPr>
          <w:p w14:paraId="4ABB214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单位面积环境风险受体数量</w:t>
            </w:r>
          </w:p>
          <w:p w14:paraId="59D19A6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（个/平方公里）</w:t>
            </w:r>
          </w:p>
        </w:tc>
        <w:tc>
          <w:tcPr>
            <w:tcW w:w="528" w:type="pct"/>
            <w:vMerge w:val="restart"/>
            <w:tcBorders>
              <w:tl2br w:val="nil"/>
              <w:tr2bl w:val="nil"/>
            </w:tcBorders>
            <w:noWrap w:val="0"/>
            <w:vAlign w:val="center"/>
          </w:tcPr>
          <w:p w14:paraId="24CE4A6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656" w:type="pct"/>
            <w:vMerge w:val="restart"/>
            <w:tcBorders>
              <w:tl2br w:val="nil"/>
              <w:tr2bl w:val="nil"/>
            </w:tcBorders>
            <w:noWrap w:val="0"/>
            <w:vAlign w:val="center"/>
          </w:tcPr>
          <w:p w14:paraId="7394FC16">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单位面积中</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环境风险受体数量，</w:t>
            </w:r>
          </w:p>
          <w:p w14:paraId="6DF7FE6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单位：个/平方公里</w:t>
            </w:r>
          </w:p>
        </w:tc>
        <w:tc>
          <w:tcPr>
            <w:tcW w:w="806" w:type="pct"/>
            <w:tcBorders>
              <w:tl2br w:val="nil"/>
              <w:tr2bl w:val="nil"/>
            </w:tcBorders>
            <w:noWrap w:val="0"/>
            <w:vAlign w:val="center"/>
          </w:tcPr>
          <w:p w14:paraId="4ACB795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≥0.5</w:t>
            </w:r>
          </w:p>
        </w:tc>
        <w:tc>
          <w:tcPr>
            <w:tcW w:w="603" w:type="pct"/>
            <w:tcBorders>
              <w:tl2br w:val="nil"/>
              <w:tr2bl w:val="nil"/>
            </w:tcBorders>
            <w:noWrap w:val="0"/>
            <w:vAlign w:val="center"/>
          </w:tcPr>
          <w:p w14:paraId="40DF8AE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40</w:t>
            </w:r>
          </w:p>
        </w:tc>
        <w:tc>
          <w:tcPr>
            <w:tcW w:w="467" w:type="pct"/>
            <w:vMerge w:val="restart"/>
            <w:tcBorders>
              <w:tl2br w:val="nil"/>
              <w:tr2bl w:val="nil"/>
            </w:tcBorders>
            <w:noWrap w:val="0"/>
            <w:vAlign w:val="center"/>
          </w:tcPr>
          <w:p w14:paraId="76FF50FE">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r>
      <w:tr w14:paraId="383C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1D42BF8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5E82E18B">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0D3F4C3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4D1155BD">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6617F1B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[0.1-0.5)</w:t>
            </w:r>
          </w:p>
        </w:tc>
        <w:tc>
          <w:tcPr>
            <w:tcW w:w="603" w:type="pct"/>
            <w:tcBorders>
              <w:tl2br w:val="nil"/>
              <w:tr2bl w:val="nil"/>
            </w:tcBorders>
            <w:noWrap w:val="0"/>
            <w:vAlign w:val="center"/>
          </w:tcPr>
          <w:p w14:paraId="2572231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26</w:t>
            </w:r>
          </w:p>
        </w:tc>
        <w:tc>
          <w:tcPr>
            <w:tcW w:w="467" w:type="pct"/>
            <w:vMerge w:val="continue"/>
            <w:tcBorders>
              <w:tl2br w:val="nil"/>
              <w:tr2bl w:val="nil"/>
            </w:tcBorders>
            <w:noWrap w:val="0"/>
            <w:vAlign w:val="center"/>
          </w:tcPr>
          <w:p w14:paraId="43F976C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662F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06B706A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02B3003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239195C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4C6F276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1D995DF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[0.01-0.1)</w:t>
            </w:r>
          </w:p>
        </w:tc>
        <w:tc>
          <w:tcPr>
            <w:tcW w:w="603" w:type="pct"/>
            <w:tcBorders>
              <w:tl2br w:val="nil"/>
              <w:tr2bl w:val="nil"/>
            </w:tcBorders>
            <w:noWrap w:val="0"/>
            <w:vAlign w:val="center"/>
          </w:tcPr>
          <w:p w14:paraId="2C3AB6B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w:t>
            </w:r>
          </w:p>
        </w:tc>
        <w:tc>
          <w:tcPr>
            <w:tcW w:w="467" w:type="pct"/>
            <w:vMerge w:val="continue"/>
            <w:tcBorders>
              <w:tl2br w:val="nil"/>
              <w:tr2bl w:val="nil"/>
            </w:tcBorders>
            <w:noWrap w:val="0"/>
            <w:vAlign w:val="center"/>
          </w:tcPr>
          <w:p w14:paraId="3C50505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FDE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1922AFE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762713B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71886D9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67D1559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5332EDF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w:t>
            </w:r>
          </w:p>
        </w:tc>
        <w:tc>
          <w:tcPr>
            <w:tcW w:w="603" w:type="pct"/>
            <w:tcBorders>
              <w:tl2br w:val="nil"/>
              <w:tr2bl w:val="nil"/>
            </w:tcBorders>
            <w:noWrap w:val="0"/>
            <w:vAlign w:val="center"/>
          </w:tcPr>
          <w:p w14:paraId="67D1F51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67" w:type="pct"/>
            <w:vMerge w:val="continue"/>
            <w:tcBorders>
              <w:tl2br w:val="nil"/>
              <w:tr2bl w:val="nil"/>
            </w:tcBorders>
            <w:noWrap w:val="0"/>
            <w:vAlign w:val="center"/>
          </w:tcPr>
          <w:p w14:paraId="421C71FB">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6E55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restart"/>
            <w:tcBorders>
              <w:tl2br w:val="nil"/>
              <w:tr2bl w:val="nil"/>
            </w:tcBorders>
            <w:noWrap w:val="0"/>
            <w:vAlign w:val="center"/>
          </w:tcPr>
          <w:p w14:paraId="1F982C7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653" w:type="pct"/>
            <w:vMerge w:val="restart"/>
            <w:tcBorders>
              <w:tl2br w:val="nil"/>
              <w:tr2bl w:val="nil"/>
            </w:tcBorders>
            <w:noWrap w:val="0"/>
            <w:vAlign w:val="center"/>
          </w:tcPr>
          <w:p w14:paraId="37431B66">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人均GDP水平</w:t>
            </w:r>
          </w:p>
        </w:tc>
        <w:tc>
          <w:tcPr>
            <w:tcW w:w="528" w:type="pct"/>
            <w:vMerge w:val="restart"/>
            <w:tcBorders>
              <w:tl2br w:val="nil"/>
              <w:tr2bl w:val="nil"/>
            </w:tcBorders>
            <w:noWrap w:val="0"/>
            <w:vAlign w:val="center"/>
          </w:tcPr>
          <w:p w14:paraId="3A16E0EE">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统计部门</w:t>
            </w:r>
          </w:p>
        </w:tc>
        <w:tc>
          <w:tcPr>
            <w:tcW w:w="1656" w:type="pct"/>
            <w:vMerge w:val="restart"/>
            <w:tcBorders>
              <w:tl2br w:val="nil"/>
              <w:tr2bl w:val="nil"/>
            </w:tcBorders>
            <w:noWrap w:val="0"/>
            <w:vAlign w:val="center"/>
          </w:tcPr>
          <w:p w14:paraId="26203BE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评估区域所在地市或区县上一年度GDP与当地常住人口数量的比值，单位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万元/人</w:t>
            </w:r>
          </w:p>
        </w:tc>
        <w:tc>
          <w:tcPr>
            <w:tcW w:w="806" w:type="pct"/>
            <w:tcBorders>
              <w:tl2br w:val="nil"/>
              <w:tr2bl w:val="nil"/>
            </w:tcBorders>
            <w:noWrap w:val="0"/>
            <w:vAlign w:val="center"/>
          </w:tcPr>
          <w:p w14:paraId="396BCD4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603" w:type="pct"/>
            <w:tcBorders>
              <w:tl2br w:val="nil"/>
              <w:tr2bl w:val="nil"/>
            </w:tcBorders>
            <w:noWrap w:val="0"/>
            <w:vAlign w:val="center"/>
          </w:tcPr>
          <w:p w14:paraId="00C6FA9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467" w:type="pct"/>
            <w:vMerge w:val="restart"/>
            <w:tcBorders>
              <w:tl2br w:val="nil"/>
              <w:tr2bl w:val="nil"/>
            </w:tcBorders>
            <w:noWrap w:val="0"/>
            <w:vAlign w:val="center"/>
          </w:tcPr>
          <w:p w14:paraId="271DA56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7EA8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2DD9FF6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3543AA7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18219CE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09629E6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5CF1284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5)</w:t>
            </w:r>
          </w:p>
        </w:tc>
        <w:tc>
          <w:tcPr>
            <w:tcW w:w="603" w:type="pct"/>
            <w:tcBorders>
              <w:tl2br w:val="nil"/>
              <w:tr2bl w:val="nil"/>
            </w:tcBorders>
            <w:noWrap w:val="0"/>
            <w:vAlign w:val="center"/>
          </w:tcPr>
          <w:p w14:paraId="1557E65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467" w:type="pct"/>
            <w:vMerge w:val="continue"/>
            <w:tcBorders>
              <w:tl2br w:val="nil"/>
              <w:tr2bl w:val="nil"/>
            </w:tcBorders>
            <w:noWrap w:val="0"/>
            <w:vAlign w:val="center"/>
          </w:tcPr>
          <w:p w14:paraId="620259AF">
            <w:pPr>
              <w:pStyle w:val="17"/>
              <w:keepNext w:val="0"/>
              <w:keepLines w:val="0"/>
              <w:pageBreakBefore w:val="0"/>
              <w:kinsoku/>
              <w:wordWrap/>
              <w:overflowPunct/>
              <w:topLinePunct w:val="0"/>
              <w:autoSpaceDE/>
              <w:autoSpaceDN/>
              <w:bidi w:val="0"/>
              <w:spacing w:beforeAutospacing="0" w:afterAutospacing="0" w:line="400" w:lineRule="exact"/>
              <w:jc w:val="center"/>
              <w:textAlignment w:val="auto"/>
              <w:rPr>
                <w:rFonts w:hint="default" w:ascii="Times New Roman" w:hAnsi="Times New Roman" w:cs="Times New Roman"/>
                <w:color w:val="auto"/>
                <w:vertAlign w:val="baseline"/>
              </w:rPr>
            </w:pPr>
          </w:p>
        </w:tc>
      </w:tr>
      <w:tr w14:paraId="3E3B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13CFD0F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5C21464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3590D5FA">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576EBDD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43422C1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10)</w:t>
            </w:r>
          </w:p>
        </w:tc>
        <w:tc>
          <w:tcPr>
            <w:tcW w:w="603" w:type="pct"/>
            <w:tcBorders>
              <w:tl2br w:val="nil"/>
              <w:tr2bl w:val="nil"/>
            </w:tcBorders>
            <w:noWrap w:val="0"/>
            <w:vAlign w:val="center"/>
          </w:tcPr>
          <w:p w14:paraId="14BA632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467" w:type="pct"/>
            <w:vMerge w:val="continue"/>
            <w:tcBorders>
              <w:tl2br w:val="nil"/>
              <w:tr2bl w:val="nil"/>
            </w:tcBorders>
            <w:noWrap w:val="0"/>
            <w:vAlign w:val="center"/>
          </w:tcPr>
          <w:p w14:paraId="4ED3F47C">
            <w:pPr>
              <w:pStyle w:val="17"/>
              <w:keepNext w:val="0"/>
              <w:keepLines w:val="0"/>
              <w:pageBreakBefore w:val="0"/>
              <w:kinsoku/>
              <w:wordWrap/>
              <w:overflowPunct/>
              <w:topLinePunct w:val="0"/>
              <w:autoSpaceDE/>
              <w:autoSpaceDN/>
              <w:bidi w:val="0"/>
              <w:spacing w:beforeAutospacing="0" w:afterAutospacing="0" w:line="400" w:lineRule="exact"/>
              <w:jc w:val="center"/>
              <w:textAlignment w:val="auto"/>
              <w:rPr>
                <w:rFonts w:hint="default" w:ascii="Times New Roman" w:hAnsi="Times New Roman" w:cs="Times New Roman"/>
                <w:color w:val="auto"/>
                <w:vertAlign w:val="baseline"/>
              </w:rPr>
            </w:pPr>
          </w:p>
        </w:tc>
      </w:tr>
      <w:tr w14:paraId="07AA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0C68A98E">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5C04789D">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7D3AEEA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36970A9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01A2CE6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603" w:type="pct"/>
            <w:tcBorders>
              <w:tl2br w:val="nil"/>
              <w:tr2bl w:val="nil"/>
            </w:tcBorders>
            <w:noWrap w:val="0"/>
            <w:vAlign w:val="center"/>
          </w:tcPr>
          <w:p w14:paraId="10AA323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67" w:type="pct"/>
            <w:vMerge w:val="continue"/>
            <w:tcBorders>
              <w:tl2br w:val="nil"/>
              <w:tr2bl w:val="nil"/>
            </w:tcBorders>
            <w:noWrap w:val="0"/>
            <w:vAlign w:val="center"/>
          </w:tcPr>
          <w:p w14:paraId="05944D86">
            <w:pPr>
              <w:pStyle w:val="17"/>
              <w:keepNext w:val="0"/>
              <w:keepLines w:val="0"/>
              <w:pageBreakBefore w:val="0"/>
              <w:kinsoku/>
              <w:wordWrap/>
              <w:overflowPunct/>
              <w:topLinePunct w:val="0"/>
              <w:autoSpaceDE/>
              <w:autoSpaceDN/>
              <w:bidi w:val="0"/>
              <w:spacing w:beforeAutospacing="0" w:afterAutospacing="0" w:line="400" w:lineRule="exact"/>
              <w:jc w:val="center"/>
              <w:textAlignment w:val="auto"/>
              <w:rPr>
                <w:rFonts w:hint="default" w:ascii="Times New Roman" w:hAnsi="Times New Roman" w:cs="Times New Roman"/>
                <w:color w:val="auto"/>
                <w:vertAlign w:val="baseline"/>
              </w:rPr>
            </w:pPr>
          </w:p>
        </w:tc>
      </w:tr>
      <w:tr w14:paraId="6F59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2" w:type="pct"/>
            <w:gridSpan w:val="6"/>
            <w:tcBorders>
              <w:tl2br w:val="nil"/>
              <w:tr2bl w:val="nil"/>
            </w:tcBorders>
            <w:noWrap w:val="0"/>
            <w:vAlign w:val="center"/>
          </w:tcPr>
          <w:p w14:paraId="7293FF8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kern w:val="0"/>
                <w:sz w:val="21"/>
                <w:szCs w:val="21"/>
                <w:lang w:val="en-US" w:eastAsia="zh-CN" w:bidi="ar-SA"/>
              </w:rPr>
              <w:t>合计</w:t>
            </w:r>
          </w:p>
        </w:tc>
        <w:tc>
          <w:tcPr>
            <w:tcW w:w="467" w:type="pct"/>
            <w:tcBorders>
              <w:tl2br w:val="nil"/>
              <w:tr2bl w:val="nil"/>
            </w:tcBorders>
            <w:noWrap w:val="0"/>
            <w:vAlign w:val="center"/>
          </w:tcPr>
          <w:p w14:paraId="7CD891F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r>
    </w:tbl>
    <w:p w14:paraId="383D3028">
      <w:pPr>
        <w:ind w:firstLine="480"/>
        <w:rPr>
          <w:rFonts w:hint="default" w:ascii="Times New Roman" w:hAnsi="Times New Roman" w:eastAsia="仿宋" w:cs="Times New Roman"/>
          <w:color w:val="auto"/>
          <w:spacing w:val="-2"/>
          <w:sz w:val="28"/>
          <w:szCs w:val="28"/>
        </w:rPr>
      </w:pPr>
    </w:p>
    <w:p w14:paraId="522A7311">
      <w:pPr>
        <w:pStyle w:val="23"/>
        <w:rPr>
          <w:rFonts w:hint="default" w:ascii="Times New Roman" w:hAnsi="Times New Roman" w:cs="Times New Roman"/>
          <w:color w:val="auto"/>
        </w:rPr>
      </w:pPr>
    </w:p>
    <w:p w14:paraId="6D5C559D">
      <w:pPr>
        <w:pStyle w:val="25"/>
        <w:rPr>
          <w:rFonts w:hint="default" w:ascii="Times New Roman" w:hAnsi="Times New Roman" w:cs="Times New Roman"/>
          <w:color w:val="auto"/>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4B5CFD9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（三）环境风险防控与应急能力（M）</w:t>
      </w:r>
    </w:p>
    <w:p w14:paraId="306FF35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具体内容详见6.1.</w:t>
      </w:r>
      <w:r>
        <w:rPr>
          <w:rFonts w:hint="eastAsia" w:ascii="Times New Roman" w:hAnsi="Times New Roman" w:eastAsia="仿宋" w:cs="Times New Roman"/>
          <w:bCs/>
          <w:color w:val="auto"/>
          <w:kern w:val="0"/>
          <w:sz w:val="28"/>
          <w:szCs w:val="28"/>
          <w:lang w:val="en-US" w:eastAsia="zh-CN" w:bidi="ar-SA"/>
        </w:rPr>
        <w:t>9</w:t>
      </w:r>
      <w:r>
        <w:rPr>
          <w:rFonts w:hint="default" w:ascii="Times New Roman" w:hAnsi="Times New Roman" w:eastAsia="仿宋" w:cs="Times New Roman"/>
          <w:bCs/>
          <w:color w:val="auto"/>
          <w:kern w:val="0"/>
          <w:sz w:val="28"/>
          <w:szCs w:val="28"/>
          <w:lang w:val="en-US" w:eastAsia="zh-CN" w:bidi="ar-SA"/>
        </w:rPr>
        <w:t>。</w:t>
      </w:r>
    </w:p>
    <w:p w14:paraId="3C30835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9</w:t>
      </w:r>
      <w:r>
        <w:rPr>
          <w:rFonts w:hint="default" w:ascii="Times New Roman" w:hAnsi="Times New Roman" w:eastAsia="仿宋" w:cs="Times New Roman"/>
          <w:b/>
          <w:bCs/>
          <w:color w:val="auto"/>
          <w:kern w:val="0"/>
          <w:sz w:val="24"/>
          <w:lang w:val="en-US" w:eastAsia="zh-CN"/>
        </w:rPr>
        <w:t xml:space="preserve">  大气环境风险防控与应急能力（M）指数评估表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281"/>
        <w:gridCol w:w="1311"/>
        <w:gridCol w:w="3259"/>
        <w:gridCol w:w="5365"/>
        <w:gridCol w:w="1290"/>
        <w:gridCol w:w="1442"/>
      </w:tblGrid>
      <w:tr w14:paraId="51EE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restart"/>
            <w:tcBorders>
              <w:tl2br w:val="nil"/>
              <w:tr2bl w:val="nil"/>
            </w:tcBorders>
            <w:noWrap w:val="0"/>
            <w:vAlign w:val="center"/>
          </w:tcPr>
          <w:p w14:paraId="3709A5A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序号</w:t>
            </w:r>
          </w:p>
        </w:tc>
        <w:tc>
          <w:tcPr>
            <w:tcW w:w="430" w:type="pct"/>
            <w:vMerge w:val="restart"/>
            <w:tcBorders>
              <w:tl2br w:val="nil"/>
              <w:tr2bl w:val="nil"/>
            </w:tcBorders>
            <w:noWrap w:val="0"/>
            <w:vAlign w:val="center"/>
          </w:tcPr>
          <w:p w14:paraId="2085B89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评估指标</w:t>
            </w:r>
          </w:p>
        </w:tc>
        <w:tc>
          <w:tcPr>
            <w:tcW w:w="440" w:type="pct"/>
            <w:vMerge w:val="restart"/>
            <w:tcBorders>
              <w:tl2br w:val="nil"/>
              <w:tr2bl w:val="nil"/>
            </w:tcBorders>
            <w:noWrap w:val="0"/>
            <w:vAlign w:val="center"/>
          </w:tcPr>
          <w:p w14:paraId="3B0AF7D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数据来源</w:t>
            </w:r>
          </w:p>
        </w:tc>
        <w:tc>
          <w:tcPr>
            <w:tcW w:w="3325" w:type="pct"/>
            <w:gridSpan w:val="3"/>
            <w:tcBorders>
              <w:tl2br w:val="nil"/>
              <w:tr2bl w:val="nil"/>
            </w:tcBorders>
            <w:noWrap w:val="0"/>
            <w:vAlign w:val="center"/>
          </w:tcPr>
          <w:p w14:paraId="5D3ACB0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大气环境风险</w:t>
            </w:r>
          </w:p>
        </w:tc>
        <w:tc>
          <w:tcPr>
            <w:tcW w:w="484" w:type="pct"/>
            <w:vMerge w:val="restart"/>
            <w:tcBorders>
              <w:tl2br w:val="nil"/>
              <w:tr2bl w:val="nil"/>
            </w:tcBorders>
            <w:noWrap w:val="0"/>
            <w:vAlign w:val="center"/>
          </w:tcPr>
          <w:p w14:paraId="6100441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rPr>
              <w:t>瓦塘镇</w:t>
            </w:r>
          </w:p>
        </w:tc>
      </w:tr>
      <w:tr w14:paraId="1D01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vMerge w:val="continue"/>
            <w:tcBorders>
              <w:tl2br w:val="nil"/>
              <w:tr2bl w:val="nil"/>
            </w:tcBorders>
            <w:noWrap w:val="0"/>
            <w:vAlign w:val="center"/>
          </w:tcPr>
          <w:p w14:paraId="0BB97A7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3953E63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13F09FD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tcBorders>
              <w:tl2br w:val="nil"/>
              <w:tr2bl w:val="nil"/>
            </w:tcBorders>
            <w:noWrap w:val="0"/>
            <w:vAlign w:val="center"/>
          </w:tcPr>
          <w:p w14:paraId="68A52EB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指标说明</w:t>
            </w:r>
          </w:p>
        </w:tc>
        <w:tc>
          <w:tcPr>
            <w:tcW w:w="1801" w:type="pct"/>
            <w:tcBorders>
              <w:tl2br w:val="nil"/>
              <w:tr2bl w:val="nil"/>
            </w:tcBorders>
            <w:noWrap w:val="0"/>
            <w:vAlign w:val="center"/>
          </w:tcPr>
          <w:p w14:paraId="731B18E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情况</w:t>
            </w:r>
          </w:p>
        </w:tc>
        <w:tc>
          <w:tcPr>
            <w:tcW w:w="429" w:type="pct"/>
            <w:tcBorders>
              <w:tl2br w:val="nil"/>
              <w:tr2bl w:val="nil"/>
            </w:tcBorders>
            <w:noWrap w:val="0"/>
            <w:vAlign w:val="center"/>
          </w:tcPr>
          <w:p w14:paraId="208D72B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分值</w:t>
            </w:r>
          </w:p>
        </w:tc>
        <w:tc>
          <w:tcPr>
            <w:tcW w:w="484" w:type="pct"/>
            <w:vMerge w:val="continue"/>
            <w:tcBorders>
              <w:tl2br w:val="nil"/>
              <w:tr2bl w:val="nil"/>
            </w:tcBorders>
            <w:noWrap w:val="0"/>
            <w:vAlign w:val="center"/>
          </w:tcPr>
          <w:p w14:paraId="6F63992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r>
      <w:tr w14:paraId="3777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restart"/>
            <w:tcBorders>
              <w:tl2br w:val="nil"/>
              <w:tr2bl w:val="nil"/>
            </w:tcBorders>
            <w:noWrap w:val="0"/>
            <w:vAlign w:val="center"/>
          </w:tcPr>
          <w:p w14:paraId="2A36302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430" w:type="pct"/>
            <w:vMerge w:val="restart"/>
            <w:tcBorders>
              <w:tl2br w:val="nil"/>
              <w:tr2bl w:val="nil"/>
            </w:tcBorders>
            <w:noWrap w:val="0"/>
            <w:vAlign w:val="center"/>
          </w:tcPr>
          <w:p w14:paraId="796BCA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监测预警能力</w:t>
            </w:r>
          </w:p>
        </w:tc>
        <w:tc>
          <w:tcPr>
            <w:tcW w:w="440" w:type="pct"/>
            <w:vMerge w:val="restart"/>
            <w:tcBorders>
              <w:tl2br w:val="nil"/>
              <w:tr2bl w:val="nil"/>
            </w:tcBorders>
            <w:noWrap w:val="0"/>
            <w:vAlign w:val="center"/>
          </w:tcPr>
          <w:p w14:paraId="55F3160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环保部门</w:t>
            </w:r>
          </w:p>
        </w:tc>
        <w:tc>
          <w:tcPr>
            <w:tcW w:w="1094" w:type="pct"/>
            <w:vMerge w:val="restart"/>
            <w:tcBorders>
              <w:tl2br w:val="nil"/>
              <w:tr2bl w:val="nil"/>
            </w:tcBorders>
            <w:noWrap w:val="0"/>
            <w:vAlign w:val="center"/>
          </w:tcPr>
          <w:p w14:paraId="0F608AA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评估区域内，涉及有毒有害气体环境风险企业是否安装有毒有害气体预警装置</w:t>
            </w:r>
          </w:p>
        </w:tc>
        <w:tc>
          <w:tcPr>
            <w:tcW w:w="1801" w:type="pct"/>
            <w:tcBorders>
              <w:tl2br w:val="nil"/>
              <w:tr2bl w:val="nil"/>
            </w:tcBorders>
            <w:noWrap w:val="0"/>
            <w:vAlign w:val="center"/>
          </w:tcPr>
          <w:p w14:paraId="20D7900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50%以下的涉及有毒有害气体环境风险企业安装有毒有害气体预警装置</w:t>
            </w:r>
          </w:p>
        </w:tc>
        <w:tc>
          <w:tcPr>
            <w:tcW w:w="429" w:type="pct"/>
            <w:tcBorders>
              <w:tl2br w:val="nil"/>
              <w:tr2bl w:val="nil"/>
            </w:tcBorders>
            <w:noWrap w:val="0"/>
            <w:vAlign w:val="center"/>
          </w:tcPr>
          <w:p w14:paraId="0D687D7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484" w:type="pct"/>
            <w:vMerge w:val="restart"/>
            <w:tcBorders>
              <w:tl2br w:val="nil"/>
              <w:tr2bl w:val="nil"/>
            </w:tcBorders>
            <w:noWrap w:val="0"/>
            <w:vAlign w:val="center"/>
          </w:tcPr>
          <w:p w14:paraId="55E5CEE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14:paraId="0EA0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552B88F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3E3760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2B04DD7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7FCBC18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7DBF23C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50%以上80%以下的涉及有毒有害气体环境风险企业安装有毒有害气体预警装置</w:t>
            </w:r>
          </w:p>
        </w:tc>
        <w:tc>
          <w:tcPr>
            <w:tcW w:w="429" w:type="pct"/>
            <w:tcBorders>
              <w:tl2br w:val="nil"/>
              <w:tr2bl w:val="nil"/>
            </w:tcBorders>
            <w:noWrap w:val="0"/>
            <w:vAlign w:val="center"/>
          </w:tcPr>
          <w:p w14:paraId="75C90A5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w:t>
            </w:r>
          </w:p>
        </w:tc>
        <w:tc>
          <w:tcPr>
            <w:tcW w:w="484" w:type="pct"/>
            <w:vMerge w:val="continue"/>
            <w:tcBorders>
              <w:tl2br w:val="nil"/>
              <w:tr2bl w:val="nil"/>
            </w:tcBorders>
            <w:noWrap w:val="0"/>
            <w:vAlign w:val="center"/>
          </w:tcPr>
          <w:p w14:paraId="77266FA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r>
      <w:tr w14:paraId="0378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6AFDAB5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7A37E81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18D1EE2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649B99C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0B1AE5C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80%以上的涉及有毒有害气体环境风险企业安装有毒有害气体预警装置</w:t>
            </w:r>
          </w:p>
        </w:tc>
        <w:tc>
          <w:tcPr>
            <w:tcW w:w="429" w:type="pct"/>
            <w:tcBorders>
              <w:tl2br w:val="nil"/>
              <w:tr2bl w:val="nil"/>
            </w:tcBorders>
            <w:noWrap w:val="0"/>
            <w:vAlign w:val="center"/>
          </w:tcPr>
          <w:p w14:paraId="26F154B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4" w:type="pct"/>
            <w:vMerge w:val="continue"/>
            <w:tcBorders>
              <w:tl2br w:val="nil"/>
              <w:tr2bl w:val="nil"/>
            </w:tcBorders>
            <w:noWrap w:val="0"/>
            <w:vAlign w:val="center"/>
          </w:tcPr>
          <w:p w14:paraId="777F065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r>
      <w:tr w14:paraId="5650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restart"/>
            <w:tcBorders>
              <w:tl2br w:val="nil"/>
              <w:tr2bl w:val="nil"/>
            </w:tcBorders>
            <w:noWrap w:val="0"/>
            <w:vAlign w:val="center"/>
          </w:tcPr>
          <w:p w14:paraId="4659EF1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430" w:type="pct"/>
            <w:vMerge w:val="restart"/>
            <w:tcBorders>
              <w:tl2br w:val="nil"/>
              <w:tr2bl w:val="nil"/>
            </w:tcBorders>
            <w:noWrap w:val="0"/>
            <w:vAlign w:val="center"/>
          </w:tcPr>
          <w:p w14:paraId="7519B8B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环境应急预案编制情况</w:t>
            </w:r>
          </w:p>
        </w:tc>
        <w:tc>
          <w:tcPr>
            <w:tcW w:w="440" w:type="pct"/>
            <w:vMerge w:val="restart"/>
            <w:tcBorders>
              <w:tl2br w:val="nil"/>
              <w:tr2bl w:val="nil"/>
            </w:tcBorders>
            <w:noWrap w:val="0"/>
            <w:vAlign w:val="center"/>
          </w:tcPr>
          <w:p w14:paraId="5A97D1A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政府应急部门</w:t>
            </w:r>
          </w:p>
        </w:tc>
        <w:tc>
          <w:tcPr>
            <w:tcW w:w="1094" w:type="pct"/>
            <w:vMerge w:val="restart"/>
            <w:tcBorders>
              <w:tl2br w:val="nil"/>
              <w:tr2bl w:val="nil"/>
            </w:tcBorders>
            <w:noWrap w:val="0"/>
            <w:vAlign w:val="center"/>
          </w:tcPr>
          <w:p w14:paraId="399D6E3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评估区域内是否具有专项环境应急预案：政府环境应急预案和部门环境应急预案有无相关内容</w:t>
            </w:r>
          </w:p>
        </w:tc>
        <w:tc>
          <w:tcPr>
            <w:tcW w:w="1801" w:type="pct"/>
            <w:tcBorders>
              <w:tl2br w:val="nil"/>
              <w:tr2bl w:val="nil"/>
            </w:tcBorders>
            <w:noWrap w:val="0"/>
            <w:vAlign w:val="center"/>
          </w:tcPr>
          <w:p w14:paraId="483FEA9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无专项应急预案</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在部门和政府预案中无相关内容</w:t>
            </w:r>
          </w:p>
        </w:tc>
        <w:tc>
          <w:tcPr>
            <w:tcW w:w="429" w:type="pct"/>
            <w:tcBorders>
              <w:tl2br w:val="nil"/>
              <w:tr2bl w:val="nil"/>
            </w:tcBorders>
            <w:noWrap w:val="0"/>
            <w:vAlign w:val="center"/>
          </w:tcPr>
          <w:p w14:paraId="3E4D966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484" w:type="pct"/>
            <w:vMerge w:val="restart"/>
            <w:tcBorders>
              <w:tl2br w:val="nil"/>
              <w:tr2bl w:val="nil"/>
            </w:tcBorders>
            <w:noWrap w:val="0"/>
            <w:vAlign w:val="center"/>
          </w:tcPr>
          <w:p w14:paraId="1DF1329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14:paraId="1293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17" w:type="pct"/>
            <w:vMerge w:val="continue"/>
            <w:tcBorders>
              <w:tl2br w:val="nil"/>
              <w:tr2bl w:val="nil"/>
            </w:tcBorders>
            <w:noWrap w:val="0"/>
            <w:vAlign w:val="center"/>
          </w:tcPr>
          <w:p w14:paraId="441C9D4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6C6217C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4DF13BA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6AF7F4E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6240ACE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无专项应急预案</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在部门和政府预案中有相关内容</w:t>
            </w:r>
          </w:p>
        </w:tc>
        <w:tc>
          <w:tcPr>
            <w:tcW w:w="429" w:type="pct"/>
            <w:tcBorders>
              <w:tl2br w:val="nil"/>
              <w:tr2bl w:val="nil"/>
            </w:tcBorders>
            <w:noWrap w:val="0"/>
            <w:vAlign w:val="center"/>
          </w:tcPr>
          <w:p w14:paraId="3F955A2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w:t>
            </w:r>
          </w:p>
        </w:tc>
        <w:tc>
          <w:tcPr>
            <w:tcW w:w="484" w:type="pct"/>
            <w:vMerge w:val="continue"/>
            <w:tcBorders>
              <w:tl2br w:val="nil"/>
              <w:tr2bl w:val="nil"/>
            </w:tcBorders>
            <w:noWrap w:val="0"/>
            <w:vAlign w:val="center"/>
          </w:tcPr>
          <w:p w14:paraId="5B24BFA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yellow"/>
                <w:lang w:val="en-US" w:eastAsia="zh-CN"/>
              </w:rPr>
            </w:pPr>
          </w:p>
        </w:tc>
      </w:tr>
      <w:tr w14:paraId="252C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138A47C5">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30" w:type="pct"/>
            <w:vMerge w:val="continue"/>
            <w:tcBorders>
              <w:tl2br w:val="nil"/>
              <w:tr2bl w:val="nil"/>
            </w:tcBorders>
            <w:noWrap w:val="0"/>
            <w:vAlign w:val="center"/>
          </w:tcPr>
          <w:p w14:paraId="4E1D2AB3">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40" w:type="pct"/>
            <w:vMerge w:val="continue"/>
            <w:tcBorders>
              <w:tl2br w:val="nil"/>
              <w:tr2bl w:val="nil"/>
            </w:tcBorders>
            <w:noWrap w:val="0"/>
            <w:vAlign w:val="center"/>
          </w:tcPr>
          <w:p w14:paraId="4F4762F8">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1094" w:type="pct"/>
            <w:vMerge w:val="continue"/>
            <w:tcBorders>
              <w:tl2br w:val="nil"/>
              <w:tr2bl w:val="nil"/>
            </w:tcBorders>
            <w:noWrap w:val="0"/>
            <w:vAlign w:val="center"/>
          </w:tcPr>
          <w:p w14:paraId="62DB43C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19A74B0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有专项应急预案</w:t>
            </w:r>
          </w:p>
        </w:tc>
        <w:tc>
          <w:tcPr>
            <w:tcW w:w="429" w:type="pct"/>
            <w:tcBorders>
              <w:tl2br w:val="nil"/>
              <w:tr2bl w:val="nil"/>
            </w:tcBorders>
            <w:noWrap w:val="0"/>
            <w:vAlign w:val="center"/>
          </w:tcPr>
          <w:p w14:paraId="5FA9CD9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4" w:type="pct"/>
            <w:vMerge w:val="continue"/>
            <w:tcBorders>
              <w:tl2br w:val="nil"/>
              <w:tr2bl w:val="nil"/>
            </w:tcBorders>
            <w:noWrap w:val="0"/>
            <w:vAlign w:val="center"/>
          </w:tcPr>
          <w:p w14:paraId="67A2F70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yellow"/>
                <w:lang w:val="en-US" w:eastAsia="zh-CN"/>
              </w:rPr>
            </w:pPr>
          </w:p>
        </w:tc>
      </w:tr>
      <w:tr w14:paraId="74F8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17" w:type="pct"/>
            <w:vMerge w:val="restart"/>
            <w:tcBorders>
              <w:tl2br w:val="nil"/>
              <w:tr2bl w:val="nil"/>
            </w:tcBorders>
            <w:noWrap w:val="0"/>
            <w:vAlign w:val="center"/>
          </w:tcPr>
          <w:p w14:paraId="6BE8ABD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430" w:type="pct"/>
            <w:vMerge w:val="restart"/>
            <w:tcBorders>
              <w:tl2br w:val="nil"/>
              <w:tr2bl w:val="nil"/>
            </w:tcBorders>
            <w:noWrap w:val="0"/>
            <w:vAlign w:val="center"/>
          </w:tcPr>
          <w:p w14:paraId="661AE3A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环境应急人员数量</w:t>
            </w:r>
          </w:p>
        </w:tc>
        <w:tc>
          <w:tcPr>
            <w:tcW w:w="440" w:type="pct"/>
            <w:vMerge w:val="restart"/>
            <w:tcBorders>
              <w:tl2br w:val="nil"/>
              <w:tr2bl w:val="nil"/>
            </w:tcBorders>
            <w:noWrap w:val="0"/>
            <w:vAlign w:val="center"/>
          </w:tcPr>
          <w:p w14:paraId="6DC1EE4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环境应急部门</w:t>
            </w:r>
          </w:p>
        </w:tc>
        <w:tc>
          <w:tcPr>
            <w:tcW w:w="1094" w:type="pct"/>
            <w:vMerge w:val="restart"/>
            <w:tcBorders>
              <w:tl2br w:val="nil"/>
              <w:tr2bl w:val="nil"/>
            </w:tcBorders>
            <w:noWrap w:val="0"/>
            <w:vAlign w:val="center"/>
          </w:tcPr>
          <w:p w14:paraId="1DA5228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评估区域内环境应急人员数量，主要参照全国环保部门环境应急能力建设标准中人员规模、人员学历和培训上岗率要求进行评估。选取与评估子区域所属行政区域级</w:t>
            </w:r>
          </w:p>
        </w:tc>
        <w:tc>
          <w:tcPr>
            <w:tcW w:w="1801" w:type="pct"/>
            <w:tcBorders>
              <w:tl2br w:val="nil"/>
              <w:tr2bl w:val="nil"/>
            </w:tcBorders>
            <w:noWrap w:val="0"/>
            <w:vAlign w:val="center"/>
          </w:tcPr>
          <w:p w14:paraId="76AB6B9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不达标</w:t>
            </w:r>
          </w:p>
        </w:tc>
        <w:tc>
          <w:tcPr>
            <w:tcW w:w="429" w:type="pct"/>
            <w:tcBorders>
              <w:tl2br w:val="nil"/>
              <w:tr2bl w:val="nil"/>
            </w:tcBorders>
            <w:noWrap w:val="0"/>
            <w:vAlign w:val="center"/>
          </w:tcPr>
          <w:p w14:paraId="1146BC1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484" w:type="pct"/>
            <w:vMerge w:val="restart"/>
            <w:tcBorders>
              <w:tl2br w:val="nil"/>
              <w:tr2bl w:val="nil"/>
            </w:tcBorders>
            <w:noWrap w:val="0"/>
            <w:vAlign w:val="center"/>
          </w:tcPr>
          <w:p w14:paraId="19A000B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r>
      <w:tr w14:paraId="7EC1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17" w:type="pct"/>
            <w:vMerge w:val="continue"/>
            <w:tcBorders>
              <w:tl2br w:val="nil"/>
              <w:tr2bl w:val="nil"/>
            </w:tcBorders>
            <w:noWrap w:val="0"/>
            <w:vAlign w:val="center"/>
          </w:tcPr>
          <w:p w14:paraId="38C0ED3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4E9F4F1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4D41E79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25CD38C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65454DF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三级</w:t>
            </w:r>
          </w:p>
        </w:tc>
        <w:tc>
          <w:tcPr>
            <w:tcW w:w="429" w:type="pct"/>
            <w:tcBorders>
              <w:tl2br w:val="nil"/>
              <w:tr2bl w:val="nil"/>
            </w:tcBorders>
            <w:noWrap w:val="0"/>
            <w:vAlign w:val="center"/>
          </w:tcPr>
          <w:p w14:paraId="55253C3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w:t>
            </w:r>
          </w:p>
        </w:tc>
        <w:tc>
          <w:tcPr>
            <w:tcW w:w="484" w:type="pct"/>
            <w:vMerge w:val="continue"/>
            <w:tcBorders>
              <w:tl2br w:val="nil"/>
              <w:tr2bl w:val="nil"/>
            </w:tcBorders>
            <w:noWrap w:val="0"/>
            <w:vAlign w:val="center"/>
          </w:tcPr>
          <w:p w14:paraId="1D3494E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yellow"/>
                <w:lang w:val="en-US" w:eastAsia="zh-CN"/>
              </w:rPr>
            </w:pPr>
          </w:p>
        </w:tc>
      </w:tr>
      <w:tr w14:paraId="0D42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17" w:type="pct"/>
            <w:vMerge w:val="continue"/>
            <w:tcBorders>
              <w:tl2br w:val="nil"/>
              <w:tr2bl w:val="nil"/>
            </w:tcBorders>
            <w:noWrap w:val="0"/>
            <w:vAlign w:val="center"/>
          </w:tcPr>
          <w:p w14:paraId="20CF7EE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5150E30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13DBBF9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6D3B27C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7579559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二级</w:t>
            </w:r>
          </w:p>
        </w:tc>
        <w:tc>
          <w:tcPr>
            <w:tcW w:w="429" w:type="pct"/>
            <w:tcBorders>
              <w:tl2br w:val="nil"/>
              <w:tr2bl w:val="nil"/>
            </w:tcBorders>
            <w:noWrap w:val="0"/>
            <w:vAlign w:val="center"/>
          </w:tcPr>
          <w:p w14:paraId="6AC5785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484" w:type="pct"/>
            <w:vMerge w:val="continue"/>
            <w:tcBorders>
              <w:tl2br w:val="nil"/>
              <w:tr2bl w:val="nil"/>
            </w:tcBorders>
            <w:noWrap w:val="0"/>
            <w:vAlign w:val="center"/>
          </w:tcPr>
          <w:p w14:paraId="5E0BA5B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yellow"/>
                <w:lang w:val="en-US" w:eastAsia="zh-CN"/>
              </w:rPr>
            </w:pPr>
          </w:p>
        </w:tc>
      </w:tr>
      <w:tr w14:paraId="34DA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6399042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774D6E0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5146206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7C43B52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61D479E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一级</w:t>
            </w:r>
          </w:p>
        </w:tc>
        <w:tc>
          <w:tcPr>
            <w:tcW w:w="429" w:type="pct"/>
            <w:tcBorders>
              <w:tl2br w:val="nil"/>
              <w:tr2bl w:val="nil"/>
            </w:tcBorders>
            <w:noWrap w:val="0"/>
            <w:vAlign w:val="center"/>
          </w:tcPr>
          <w:p w14:paraId="3FA4317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4" w:type="pct"/>
            <w:vMerge w:val="continue"/>
            <w:tcBorders>
              <w:tl2br w:val="nil"/>
              <w:tr2bl w:val="nil"/>
            </w:tcBorders>
            <w:noWrap w:val="0"/>
            <w:vAlign w:val="center"/>
          </w:tcPr>
          <w:p w14:paraId="1322DBD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yellow"/>
                <w:lang w:val="en-US" w:eastAsia="zh-CN"/>
              </w:rPr>
            </w:pPr>
          </w:p>
        </w:tc>
      </w:tr>
      <w:tr w14:paraId="3F88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restart"/>
            <w:tcBorders>
              <w:tl2br w:val="nil"/>
              <w:tr2bl w:val="nil"/>
            </w:tcBorders>
            <w:noWrap w:val="0"/>
            <w:vAlign w:val="center"/>
          </w:tcPr>
          <w:p w14:paraId="66C14AD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430" w:type="pct"/>
            <w:vMerge w:val="restart"/>
            <w:tcBorders>
              <w:tl2br w:val="nil"/>
              <w:tr2bl w:val="nil"/>
            </w:tcBorders>
            <w:noWrap w:val="0"/>
            <w:vAlign w:val="center"/>
          </w:tcPr>
          <w:p w14:paraId="10E5FF4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应急物资储备情况</w:t>
            </w:r>
          </w:p>
        </w:tc>
        <w:tc>
          <w:tcPr>
            <w:tcW w:w="440" w:type="pct"/>
            <w:vMerge w:val="restart"/>
            <w:tcBorders>
              <w:tl2br w:val="nil"/>
              <w:tr2bl w:val="nil"/>
            </w:tcBorders>
            <w:noWrap w:val="0"/>
            <w:vAlign w:val="center"/>
          </w:tcPr>
          <w:p w14:paraId="22A14E0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环境应急部门</w:t>
            </w:r>
          </w:p>
        </w:tc>
        <w:tc>
          <w:tcPr>
            <w:tcW w:w="1094" w:type="pct"/>
            <w:vMerge w:val="restart"/>
            <w:tcBorders>
              <w:tl2br w:val="nil"/>
              <w:tr2bl w:val="nil"/>
            </w:tcBorders>
            <w:noWrap w:val="0"/>
            <w:vAlign w:val="center"/>
          </w:tcPr>
          <w:p w14:paraId="30FCD4A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评估区域内突发大气环境事件应急物资实物储备、协议储备、生产能力储备情况</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是否满足事件应急需求</w:t>
            </w:r>
          </w:p>
        </w:tc>
        <w:tc>
          <w:tcPr>
            <w:tcW w:w="1801" w:type="pct"/>
            <w:tcBorders>
              <w:tl2br w:val="nil"/>
              <w:tr2bl w:val="nil"/>
            </w:tcBorders>
            <w:noWrap w:val="0"/>
            <w:vAlign w:val="center"/>
          </w:tcPr>
          <w:p w14:paraId="38C3FEE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本地物资不能满足事件应急需求</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无其他区域物资储备信息</w:t>
            </w:r>
          </w:p>
        </w:tc>
        <w:tc>
          <w:tcPr>
            <w:tcW w:w="429" w:type="pct"/>
            <w:tcBorders>
              <w:tl2br w:val="nil"/>
              <w:tr2bl w:val="nil"/>
            </w:tcBorders>
            <w:noWrap w:val="0"/>
            <w:vAlign w:val="center"/>
          </w:tcPr>
          <w:p w14:paraId="5072B1B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484" w:type="pct"/>
            <w:vMerge w:val="restart"/>
            <w:tcBorders>
              <w:tl2br w:val="nil"/>
              <w:tr2bl w:val="nil"/>
            </w:tcBorders>
            <w:noWrap w:val="0"/>
            <w:vAlign w:val="center"/>
          </w:tcPr>
          <w:p w14:paraId="3BF8983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14:paraId="7F93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317" w:type="pct"/>
            <w:vMerge w:val="continue"/>
            <w:tcBorders>
              <w:tl2br w:val="nil"/>
              <w:tr2bl w:val="nil"/>
            </w:tcBorders>
            <w:noWrap w:val="0"/>
            <w:vAlign w:val="center"/>
          </w:tcPr>
          <w:p w14:paraId="6C646E7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7ED3335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5110EB3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35B24FC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1938475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本地物资不能满足事件应急需求</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但有其他区域物资储备信息</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可以进行调</w:t>
            </w:r>
          </w:p>
        </w:tc>
        <w:tc>
          <w:tcPr>
            <w:tcW w:w="429" w:type="pct"/>
            <w:tcBorders>
              <w:tl2br w:val="nil"/>
              <w:tr2bl w:val="nil"/>
            </w:tcBorders>
            <w:noWrap w:val="0"/>
            <w:vAlign w:val="center"/>
          </w:tcPr>
          <w:p w14:paraId="745127B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w:t>
            </w:r>
          </w:p>
        </w:tc>
        <w:tc>
          <w:tcPr>
            <w:tcW w:w="484" w:type="pct"/>
            <w:vMerge w:val="continue"/>
            <w:tcBorders>
              <w:tl2br w:val="nil"/>
              <w:tr2bl w:val="nil"/>
            </w:tcBorders>
            <w:noWrap w:val="0"/>
            <w:vAlign w:val="center"/>
          </w:tcPr>
          <w:p w14:paraId="349D7FA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r>
      <w:tr w14:paraId="420D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17" w:type="pct"/>
            <w:vMerge w:val="continue"/>
            <w:tcBorders>
              <w:tl2br w:val="nil"/>
              <w:tr2bl w:val="nil"/>
            </w:tcBorders>
            <w:noWrap w:val="0"/>
            <w:vAlign w:val="center"/>
          </w:tcPr>
          <w:p w14:paraId="242B280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22A1C20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7AE37EC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0EB8CF9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271FA71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本地物资基本满足事件应急需求</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不需要从其他区域调用</w:t>
            </w:r>
          </w:p>
        </w:tc>
        <w:tc>
          <w:tcPr>
            <w:tcW w:w="429" w:type="pct"/>
            <w:tcBorders>
              <w:tl2br w:val="nil"/>
              <w:tr2bl w:val="nil"/>
            </w:tcBorders>
            <w:noWrap w:val="0"/>
            <w:vAlign w:val="center"/>
          </w:tcPr>
          <w:p w14:paraId="40F7295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4" w:type="pct"/>
            <w:vMerge w:val="continue"/>
            <w:tcBorders>
              <w:tl2br w:val="nil"/>
              <w:tr2bl w:val="nil"/>
            </w:tcBorders>
            <w:noWrap w:val="0"/>
            <w:vAlign w:val="center"/>
          </w:tcPr>
          <w:p w14:paraId="722F0A1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r>
      <w:tr w14:paraId="77AC7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restart"/>
            <w:tcBorders>
              <w:tl2br w:val="nil"/>
              <w:tr2bl w:val="nil"/>
            </w:tcBorders>
            <w:noWrap w:val="0"/>
            <w:vAlign w:val="center"/>
          </w:tcPr>
          <w:p w14:paraId="24DA899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430" w:type="pct"/>
            <w:vMerge w:val="restart"/>
            <w:tcBorders>
              <w:tl2br w:val="nil"/>
              <w:tr2bl w:val="nil"/>
            </w:tcBorders>
            <w:noWrap w:val="0"/>
            <w:vAlign w:val="center"/>
          </w:tcPr>
          <w:p w14:paraId="000497B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环境应急监测能力</w:t>
            </w:r>
          </w:p>
        </w:tc>
        <w:tc>
          <w:tcPr>
            <w:tcW w:w="440" w:type="pct"/>
            <w:vMerge w:val="restart"/>
            <w:tcBorders>
              <w:tl2br w:val="nil"/>
              <w:tr2bl w:val="nil"/>
            </w:tcBorders>
            <w:noWrap w:val="0"/>
            <w:vAlign w:val="center"/>
          </w:tcPr>
          <w:p w14:paraId="12C8C4A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环境监测部门</w:t>
            </w:r>
          </w:p>
        </w:tc>
        <w:tc>
          <w:tcPr>
            <w:tcW w:w="1094" w:type="pct"/>
            <w:vMerge w:val="restart"/>
            <w:tcBorders>
              <w:tl2br w:val="nil"/>
              <w:tr2bl w:val="nil"/>
            </w:tcBorders>
            <w:noWrap w:val="0"/>
            <w:vAlign w:val="center"/>
          </w:tcPr>
          <w:p w14:paraId="54AD35F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评估区域内环境应急监测能力情况，根据全国环境监测站建设标准中关于机构、人员能力和应急环境监测仪器配置要求进行评估</w:t>
            </w:r>
          </w:p>
        </w:tc>
        <w:tc>
          <w:tcPr>
            <w:tcW w:w="1801" w:type="pct"/>
            <w:tcBorders>
              <w:tl2br w:val="nil"/>
              <w:tr2bl w:val="nil"/>
            </w:tcBorders>
            <w:noWrap w:val="0"/>
            <w:vAlign w:val="center"/>
          </w:tcPr>
          <w:p w14:paraId="030DA5F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不达标</w:t>
            </w:r>
          </w:p>
        </w:tc>
        <w:tc>
          <w:tcPr>
            <w:tcW w:w="429" w:type="pct"/>
            <w:tcBorders>
              <w:tl2br w:val="nil"/>
              <w:tr2bl w:val="nil"/>
            </w:tcBorders>
            <w:noWrap w:val="0"/>
            <w:vAlign w:val="center"/>
          </w:tcPr>
          <w:p w14:paraId="00E66F4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484" w:type="pct"/>
            <w:vMerge w:val="restart"/>
            <w:tcBorders>
              <w:tl2br w:val="nil"/>
              <w:tr2bl w:val="nil"/>
            </w:tcBorders>
            <w:noWrap w:val="0"/>
            <w:vAlign w:val="center"/>
          </w:tcPr>
          <w:p w14:paraId="156B305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r>
      <w:tr w14:paraId="491E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5C40C32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4BE5245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2B6291E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049702B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643960A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三级</w:t>
            </w:r>
          </w:p>
        </w:tc>
        <w:tc>
          <w:tcPr>
            <w:tcW w:w="429" w:type="pct"/>
            <w:tcBorders>
              <w:tl2br w:val="nil"/>
              <w:tr2bl w:val="nil"/>
            </w:tcBorders>
            <w:noWrap w:val="0"/>
            <w:vAlign w:val="center"/>
          </w:tcPr>
          <w:p w14:paraId="67FA377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w:t>
            </w:r>
          </w:p>
        </w:tc>
        <w:tc>
          <w:tcPr>
            <w:tcW w:w="484" w:type="pct"/>
            <w:vMerge w:val="continue"/>
            <w:tcBorders>
              <w:tl2br w:val="nil"/>
              <w:tr2bl w:val="nil"/>
            </w:tcBorders>
            <w:noWrap w:val="0"/>
            <w:vAlign w:val="center"/>
          </w:tcPr>
          <w:p w14:paraId="61FEF803">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r>
      <w:tr w14:paraId="5FED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17" w:type="pct"/>
            <w:vMerge w:val="continue"/>
            <w:tcBorders>
              <w:tl2br w:val="nil"/>
              <w:tr2bl w:val="nil"/>
            </w:tcBorders>
            <w:noWrap w:val="0"/>
            <w:vAlign w:val="center"/>
          </w:tcPr>
          <w:p w14:paraId="47F23F61">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30" w:type="pct"/>
            <w:vMerge w:val="continue"/>
            <w:tcBorders>
              <w:tl2br w:val="nil"/>
              <w:tr2bl w:val="nil"/>
            </w:tcBorders>
            <w:noWrap w:val="0"/>
            <w:vAlign w:val="center"/>
          </w:tcPr>
          <w:p w14:paraId="32F2FFD7">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40" w:type="pct"/>
            <w:vMerge w:val="continue"/>
            <w:tcBorders>
              <w:tl2br w:val="nil"/>
              <w:tr2bl w:val="nil"/>
            </w:tcBorders>
            <w:noWrap w:val="0"/>
            <w:vAlign w:val="center"/>
          </w:tcPr>
          <w:p w14:paraId="7887FD58">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1094" w:type="pct"/>
            <w:vMerge w:val="continue"/>
            <w:tcBorders>
              <w:tl2br w:val="nil"/>
              <w:tr2bl w:val="nil"/>
            </w:tcBorders>
            <w:noWrap w:val="0"/>
            <w:vAlign w:val="center"/>
          </w:tcPr>
          <w:p w14:paraId="76706A20">
            <w:pPr>
              <w:pStyle w:val="35"/>
              <w:keepNext w:val="0"/>
              <w:keepLines w:val="0"/>
              <w:pageBreakBefore w:val="0"/>
              <w:kinsoku w:val="0"/>
              <w:wordWrap/>
              <w:overflowPunct w:val="0"/>
              <w:topLinePunct w:val="0"/>
              <w:bidi w:val="0"/>
              <w:spacing w:beforeLines="0" w:afterLines="0" w:line="240" w:lineRule="exact"/>
              <w:ind w:left="34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1801" w:type="pct"/>
            <w:tcBorders>
              <w:tl2br w:val="nil"/>
              <w:tr2bl w:val="nil"/>
            </w:tcBorders>
            <w:noWrap w:val="0"/>
            <w:vAlign w:val="center"/>
          </w:tcPr>
          <w:p w14:paraId="23F5BEC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二级</w:t>
            </w:r>
          </w:p>
        </w:tc>
        <w:tc>
          <w:tcPr>
            <w:tcW w:w="429" w:type="pct"/>
            <w:tcBorders>
              <w:tl2br w:val="nil"/>
              <w:tr2bl w:val="nil"/>
            </w:tcBorders>
            <w:noWrap w:val="0"/>
            <w:vAlign w:val="center"/>
          </w:tcPr>
          <w:p w14:paraId="599E2E9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484" w:type="pct"/>
            <w:vMerge w:val="continue"/>
            <w:tcBorders>
              <w:tl2br w:val="nil"/>
              <w:tr2bl w:val="nil"/>
            </w:tcBorders>
            <w:noWrap w:val="0"/>
            <w:vAlign w:val="center"/>
          </w:tcPr>
          <w:p w14:paraId="2A01839E">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r>
      <w:tr w14:paraId="45CE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4FBA2571">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30" w:type="pct"/>
            <w:vMerge w:val="continue"/>
            <w:tcBorders>
              <w:tl2br w:val="nil"/>
              <w:tr2bl w:val="nil"/>
            </w:tcBorders>
            <w:noWrap w:val="0"/>
            <w:vAlign w:val="center"/>
          </w:tcPr>
          <w:p w14:paraId="5F827493">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40" w:type="pct"/>
            <w:vMerge w:val="continue"/>
            <w:tcBorders>
              <w:tl2br w:val="nil"/>
              <w:tr2bl w:val="nil"/>
            </w:tcBorders>
            <w:noWrap w:val="0"/>
            <w:vAlign w:val="center"/>
          </w:tcPr>
          <w:p w14:paraId="0F9FEB15">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1094" w:type="pct"/>
            <w:vMerge w:val="continue"/>
            <w:tcBorders>
              <w:tl2br w:val="nil"/>
              <w:tr2bl w:val="nil"/>
            </w:tcBorders>
            <w:noWrap w:val="0"/>
            <w:vAlign w:val="center"/>
          </w:tcPr>
          <w:p w14:paraId="11316529">
            <w:pPr>
              <w:pStyle w:val="35"/>
              <w:keepNext w:val="0"/>
              <w:keepLines w:val="0"/>
              <w:pageBreakBefore w:val="0"/>
              <w:kinsoku w:val="0"/>
              <w:wordWrap/>
              <w:overflowPunct w:val="0"/>
              <w:topLinePunct w:val="0"/>
              <w:bidi w:val="0"/>
              <w:spacing w:beforeLines="0" w:afterLines="0" w:line="240" w:lineRule="exact"/>
              <w:ind w:left="34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1801" w:type="pct"/>
            <w:tcBorders>
              <w:tl2br w:val="nil"/>
              <w:tr2bl w:val="nil"/>
            </w:tcBorders>
            <w:noWrap w:val="0"/>
            <w:vAlign w:val="center"/>
          </w:tcPr>
          <w:p w14:paraId="7D0FA75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一级</w:t>
            </w:r>
          </w:p>
        </w:tc>
        <w:tc>
          <w:tcPr>
            <w:tcW w:w="429" w:type="pct"/>
            <w:tcBorders>
              <w:tl2br w:val="nil"/>
              <w:tr2bl w:val="nil"/>
            </w:tcBorders>
            <w:noWrap w:val="0"/>
            <w:vAlign w:val="center"/>
          </w:tcPr>
          <w:p w14:paraId="31541B4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4" w:type="pct"/>
            <w:vMerge w:val="continue"/>
            <w:tcBorders>
              <w:tl2br w:val="nil"/>
              <w:tr2bl w:val="nil"/>
            </w:tcBorders>
            <w:noWrap w:val="0"/>
            <w:vAlign w:val="center"/>
          </w:tcPr>
          <w:p w14:paraId="47FDA95B">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r>
      <w:tr w14:paraId="032B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5" w:type="pct"/>
            <w:gridSpan w:val="6"/>
            <w:tcBorders>
              <w:tl2br w:val="nil"/>
              <w:tr2bl w:val="nil"/>
            </w:tcBorders>
            <w:noWrap w:val="0"/>
            <w:vAlign w:val="center"/>
          </w:tcPr>
          <w:p w14:paraId="2288F4A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484" w:type="pct"/>
            <w:tcBorders>
              <w:tl2br w:val="nil"/>
              <w:tr2bl w:val="nil"/>
            </w:tcBorders>
            <w:noWrap w:val="0"/>
            <w:vAlign w:val="center"/>
          </w:tcPr>
          <w:p w14:paraId="7CFE768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28</w:t>
            </w:r>
          </w:p>
        </w:tc>
      </w:tr>
    </w:tbl>
    <w:p w14:paraId="586B86EB">
      <w:pPr>
        <w:kinsoku w:val="0"/>
        <w:overflowPunct w:val="0"/>
        <w:spacing w:before="6" w:beforeLines="0" w:afterLines="0" w:line="280" w:lineRule="exact"/>
        <w:rPr>
          <w:rFonts w:hint="default" w:ascii="Times New Roman" w:hAnsi="Times New Roman" w:eastAsia="宋体" w:cs="Times New Roman"/>
          <w:color w:val="auto"/>
          <w:sz w:val="21"/>
          <w:szCs w:val="21"/>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41039E2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（四）大气环境风险指数（R)</w:t>
      </w:r>
    </w:p>
    <w:p w14:paraId="602DE1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drawing>
          <wp:anchor distT="0" distB="0" distL="114300" distR="114300" simplePos="0" relativeHeight="251681792" behindDoc="1" locked="0" layoutInCell="1" allowOverlap="1">
            <wp:simplePos x="0" y="0"/>
            <wp:positionH relativeFrom="column">
              <wp:posOffset>1798955</wp:posOffset>
            </wp:positionH>
            <wp:positionV relativeFrom="paragraph">
              <wp:posOffset>682625</wp:posOffset>
            </wp:positionV>
            <wp:extent cx="1420495" cy="457835"/>
            <wp:effectExtent l="0" t="0" r="8255" b="18415"/>
            <wp:wrapNone/>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8"/>
                    <a:stretch>
                      <a:fillRect/>
                    </a:stretch>
                  </pic:blipFill>
                  <pic:spPr>
                    <a:xfrm>
                      <a:off x="0" y="0"/>
                      <a:ext cx="1420495" cy="457835"/>
                    </a:xfrm>
                    <a:prstGeom prst="rect">
                      <a:avLst/>
                    </a:prstGeom>
                    <a:noFill/>
                    <a:ln>
                      <a:noFill/>
                    </a:ln>
                  </pic:spPr>
                </pic:pic>
              </a:graphicData>
            </a:graphic>
          </wp:anchor>
        </w:drawing>
      </w:r>
      <w:r>
        <w:rPr>
          <w:rFonts w:hint="default" w:ascii="Times New Roman" w:hAnsi="Times New Roman" w:eastAsia="仿宋" w:cs="Times New Roman"/>
          <w:bCs/>
          <w:color w:val="auto"/>
          <w:kern w:val="0"/>
          <w:sz w:val="28"/>
          <w:szCs w:val="28"/>
          <w:lang w:val="en-US" w:eastAsia="zh-CN" w:bidi="ar-SA"/>
        </w:rPr>
        <w:t>通过上述分析，计算出各镇的大气环境风险源强度指数值、大气环境风险受体脆弱性指数、大气环境风险防控与应急能力指数</w:t>
      </w:r>
      <w:r>
        <w:rPr>
          <w:rFonts w:hint="eastAsia" w:ascii="Times New Roman" w:hAnsi="Times New Roman" w:eastAsia="仿宋" w:cs="Times New Roman"/>
          <w:bCs/>
          <w:color w:val="auto"/>
          <w:kern w:val="0"/>
          <w:sz w:val="28"/>
          <w:szCs w:val="28"/>
          <w:lang w:val="en-US" w:eastAsia="zh-CN" w:bidi="ar-SA"/>
        </w:rPr>
        <w:t>；</w:t>
      </w:r>
    </w:p>
    <w:p w14:paraId="6817E24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由公式计算可知</w:t>
      </w:r>
      <w:r>
        <w:rPr>
          <w:rFonts w:hint="eastAsia" w:ascii="Times New Roman" w:hAnsi="Times New Roman" w:eastAsia="仿宋" w:cs="Times New Roman"/>
          <w:bCs/>
          <w:color w:val="auto"/>
          <w:kern w:val="0"/>
          <w:sz w:val="28"/>
          <w:szCs w:val="28"/>
          <w:lang w:val="en-US" w:eastAsia="zh-CN" w:bidi="ar-SA"/>
        </w:rPr>
        <w:t>：</w:t>
      </w:r>
    </w:p>
    <w:p w14:paraId="466F2C0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瓦塘镇的大气环境风险指数值R气为15.39，环境风险等级为低级。</w:t>
      </w:r>
    </w:p>
    <w:p w14:paraId="67C6432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sectPr>
          <w:pgSz w:w="11920" w:h="16838"/>
          <w:pgMar w:top="1440" w:right="1800" w:bottom="1440" w:left="180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1ED52F5A">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16" w:name="_Toc4010"/>
      <w:r>
        <w:rPr>
          <w:rFonts w:hint="default" w:ascii="Times New Roman" w:hAnsi="Times New Roman" w:eastAsia="仿宋" w:cs="Times New Roman"/>
          <w:bCs w:val="0"/>
          <w:color w:val="auto"/>
          <w:kern w:val="0"/>
          <w:sz w:val="30"/>
          <w:szCs w:val="30"/>
          <w:lang w:val="en-US" w:eastAsia="zh-CN"/>
        </w:rPr>
        <w:t>6.1.3综合环境风险指数计算与等级划分</w:t>
      </w:r>
      <w:bookmarkEnd w:id="116"/>
    </w:p>
    <w:p w14:paraId="05C3CC4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（一）环境风险源强度指数(S)</w:t>
      </w:r>
    </w:p>
    <w:p w14:paraId="4F2346A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综合环境风险源强度指数的计算采用评分法对其进行量化，评估指标及分值见表6</w:t>
      </w:r>
      <w:r>
        <w:rPr>
          <w:rFonts w:hint="eastAsia" w:ascii="Times New Roman" w:hAnsi="Times New Roman" w:eastAsia="仿宋" w:cs="Times New Roman"/>
          <w:bCs/>
          <w:color w:val="auto"/>
          <w:kern w:val="0"/>
          <w:sz w:val="28"/>
          <w:szCs w:val="28"/>
          <w:lang w:val="en-US" w:eastAsia="zh-CN" w:bidi="ar-SA"/>
        </w:rPr>
        <w:t>.1</w:t>
      </w:r>
      <w:r>
        <w:rPr>
          <w:rFonts w:hint="default" w:ascii="Times New Roman" w:hAnsi="Times New Roman" w:eastAsia="仿宋" w:cs="Times New Roman"/>
          <w:bCs/>
          <w:color w:val="auto"/>
          <w:kern w:val="0"/>
          <w:sz w:val="28"/>
          <w:szCs w:val="28"/>
          <w:lang w:val="en-US" w:eastAsia="zh-CN" w:bidi="ar-SA"/>
        </w:rPr>
        <w:t>-10。</w:t>
      </w:r>
    </w:p>
    <w:p w14:paraId="74B08C3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10</w:t>
      </w:r>
      <w:r>
        <w:rPr>
          <w:rFonts w:hint="default" w:ascii="Times New Roman" w:hAnsi="Times New Roman" w:eastAsia="仿宋" w:cs="Times New Roman"/>
          <w:b/>
          <w:bCs/>
          <w:color w:val="auto"/>
          <w:kern w:val="0"/>
          <w:sz w:val="24"/>
          <w:lang w:val="en-US" w:eastAsia="zh-CN"/>
        </w:rPr>
        <w:t xml:space="preserve">  综合环境风险源强指数（S）评估表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1781"/>
        <w:gridCol w:w="1590"/>
        <w:gridCol w:w="4342"/>
        <w:gridCol w:w="2928"/>
        <w:gridCol w:w="1635"/>
        <w:gridCol w:w="1701"/>
      </w:tblGrid>
      <w:tr w14:paraId="4609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306" w:type="pct"/>
            <w:vMerge w:val="restart"/>
            <w:tcBorders>
              <w:tl2br w:val="nil"/>
              <w:tr2bl w:val="nil"/>
            </w:tcBorders>
            <w:noWrap w:val="0"/>
            <w:vAlign w:val="center"/>
          </w:tcPr>
          <w:p w14:paraId="02EC48F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598" w:type="pct"/>
            <w:vMerge w:val="restart"/>
            <w:tcBorders>
              <w:tl2br w:val="nil"/>
              <w:tr2bl w:val="nil"/>
            </w:tcBorders>
            <w:noWrap w:val="0"/>
            <w:vAlign w:val="center"/>
          </w:tcPr>
          <w:p w14:paraId="74F2CEF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评估指标</w:t>
            </w:r>
          </w:p>
        </w:tc>
        <w:tc>
          <w:tcPr>
            <w:tcW w:w="534" w:type="pct"/>
            <w:vMerge w:val="restart"/>
            <w:tcBorders>
              <w:tl2br w:val="nil"/>
              <w:tr2bl w:val="nil"/>
            </w:tcBorders>
            <w:noWrap w:val="0"/>
            <w:vAlign w:val="center"/>
          </w:tcPr>
          <w:p w14:paraId="7ED73A9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w:t>
            </w:r>
          </w:p>
        </w:tc>
        <w:tc>
          <w:tcPr>
            <w:tcW w:w="2989" w:type="pct"/>
            <w:gridSpan w:val="3"/>
            <w:tcBorders>
              <w:tl2br w:val="nil"/>
              <w:tr2bl w:val="nil"/>
            </w:tcBorders>
            <w:noWrap w:val="0"/>
            <w:vAlign w:val="center"/>
          </w:tcPr>
          <w:p w14:paraId="7E4AD9A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综合环境风险</w:t>
            </w:r>
          </w:p>
        </w:tc>
        <w:tc>
          <w:tcPr>
            <w:tcW w:w="571" w:type="pct"/>
            <w:vMerge w:val="restart"/>
            <w:tcBorders>
              <w:tl2br w:val="nil"/>
              <w:tr2bl w:val="nil"/>
            </w:tcBorders>
            <w:noWrap w:val="0"/>
            <w:vAlign w:val="center"/>
          </w:tcPr>
          <w:p w14:paraId="5D0CCFC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r>
      <w:tr w14:paraId="7F01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306" w:type="pct"/>
            <w:vMerge w:val="continue"/>
            <w:tcBorders>
              <w:tl2br w:val="nil"/>
              <w:tr2bl w:val="nil"/>
            </w:tcBorders>
            <w:noWrap w:val="0"/>
            <w:vAlign w:val="center"/>
          </w:tcPr>
          <w:p w14:paraId="1DEB96C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0B890D7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631BD3F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tcBorders>
              <w:tl2br w:val="nil"/>
              <w:tr2bl w:val="nil"/>
            </w:tcBorders>
            <w:noWrap w:val="0"/>
            <w:vAlign w:val="center"/>
          </w:tcPr>
          <w:p w14:paraId="4F3EF28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指标说明</w:t>
            </w:r>
          </w:p>
        </w:tc>
        <w:tc>
          <w:tcPr>
            <w:tcW w:w="983" w:type="pct"/>
            <w:tcBorders>
              <w:tl2br w:val="nil"/>
              <w:tr2bl w:val="nil"/>
            </w:tcBorders>
            <w:noWrap w:val="0"/>
            <w:vAlign w:val="center"/>
          </w:tcPr>
          <w:p w14:paraId="676BE53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情</w:t>
            </w:r>
            <w:r>
              <w:rPr>
                <w:rFonts w:hint="default" w:ascii="Times New Roman" w:hAnsi="Times New Roman" w:eastAsia="仿宋" w:cs="Times New Roman"/>
                <w:color w:val="auto"/>
                <w:sz w:val="21"/>
                <w:szCs w:val="21"/>
                <w:lang w:val="en-US" w:eastAsia="zh-CN"/>
              </w:rPr>
              <w:tab/>
            </w:r>
            <w:r>
              <w:rPr>
                <w:rFonts w:hint="default" w:ascii="Times New Roman" w:hAnsi="Times New Roman" w:eastAsia="仿宋" w:cs="Times New Roman"/>
                <w:color w:val="auto"/>
                <w:sz w:val="21"/>
                <w:szCs w:val="21"/>
                <w:lang w:val="en-US" w:eastAsia="zh-CN"/>
              </w:rPr>
              <w:t>况</w:t>
            </w:r>
          </w:p>
        </w:tc>
        <w:tc>
          <w:tcPr>
            <w:tcW w:w="546" w:type="pct"/>
            <w:tcBorders>
              <w:tl2br w:val="nil"/>
              <w:tr2bl w:val="nil"/>
            </w:tcBorders>
            <w:noWrap w:val="0"/>
            <w:vAlign w:val="center"/>
          </w:tcPr>
          <w:p w14:paraId="3F882AE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分值</w:t>
            </w:r>
          </w:p>
        </w:tc>
        <w:tc>
          <w:tcPr>
            <w:tcW w:w="571" w:type="pct"/>
            <w:vMerge w:val="continue"/>
            <w:tcBorders>
              <w:tl2br w:val="nil"/>
              <w:tr2bl w:val="nil"/>
            </w:tcBorders>
            <w:noWrap w:val="0"/>
            <w:vAlign w:val="center"/>
          </w:tcPr>
          <w:p w14:paraId="3B45FF8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D63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306" w:type="pct"/>
            <w:vMerge w:val="restart"/>
            <w:tcBorders>
              <w:tl2br w:val="nil"/>
              <w:tr2bl w:val="nil"/>
            </w:tcBorders>
            <w:noWrap w:val="0"/>
            <w:vAlign w:val="center"/>
          </w:tcPr>
          <w:p w14:paraId="2476A78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598" w:type="pct"/>
            <w:vMerge w:val="restart"/>
            <w:tcBorders>
              <w:tl2br w:val="nil"/>
              <w:tr2bl w:val="nil"/>
            </w:tcBorders>
            <w:noWrap w:val="0"/>
            <w:vAlign w:val="center"/>
          </w:tcPr>
          <w:p w14:paraId="65BEE44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单位面积环境风险企业数量</w:t>
            </w:r>
          </w:p>
        </w:tc>
        <w:tc>
          <w:tcPr>
            <w:tcW w:w="534" w:type="pct"/>
            <w:vMerge w:val="restart"/>
            <w:tcBorders>
              <w:tl2br w:val="nil"/>
              <w:tr2bl w:val="nil"/>
            </w:tcBorders>
            <w:noWrap w:val="0"/>
            <w:vAlign w:val="center"/>
          </w:tcPr>
          <w:p w14:paraId="4AF096E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环保部门，企业环境风险评估报告</w:t>
            </w:r>
          </w:p>
        </w:tc>
        <w:tc>
          <w:tcPr>
            <w:tcW w:w="1458" w:type="pct"/>
            <w:vMerge w:val="restart"/>
            <w:tcBorders>
              <w:tl2br w:val="nil"/>
              <w:tr2bl w:val="nil"/>
            </w:tcBorders>
            <w:noWrap w:val="0"/>
            <w:vAlign w:val="center"/>
          </w:tcPr>
          <w:p w14:paraId="59CBA28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评估区域中环境风险企业数量与评估区域面积的比值，单位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个/平方公里</w:t>
            </w:r>
          </w:p>
        </w:tc>
        <w:tc>
          <w:tcPr>
            <w:tcW w:w="983" w:type="pct"/>
            <w:tcBorders>
              <w:tl2br w:val="nil"/>
              <w:tr2bl w:val="nil"/>
            </w:tcBorders>
            <w:noWrap w:val="0"/>
            <w:vAlign w:val="center"/>
          </w:tcPr>
          <w:p w14:paraId="43DD606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546" w:type="pct"/>
            <w:tcBorders>
              <w:tl2br w:val="nil"/>
              <w:tr2bl w:val="nil"/>
            </w:tcBorders>
            <w:noWrap w:val="0"/>
            <w:vAlign w:val="center"/>
          </w:tcPr>
          <w:p w14:paraId="21AEFF8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571" w:type="pct"/>
            <w:vMerge w:val="restart"/>
            <w:tcBorders>
              <w:tl2br w:val="nil"/>
              <w:tr2bl w:val="nil"/>
            </w:tcBorders>
            <w:noWrap w:val="0"/>
            <w:vAlign w:val="center"/>
          </w:tcPr>
          <w:p w14:paraId="1CB7345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14:paraId="6804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jc w:val="center"/>
        </w:trPr>
        <w:tc>
          <w:tcPr>
            <w:tcW w:w="306" w:type="pct"/>
            <w:vMerge w:val="continue"/>
            <w:tcBorders>
              <w:tl2br w:val="nil"/>
              <w:tr2bl w:val="nil"/>
            </w:tcBorders>
            <w:noWrap w:val="0"/>
            <w:vAlign w:val="center"/>
          </w:tcPr>
          <w:p w14:paraId="554FD02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0B4EA1C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0910234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4A138E8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7DE89A8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(0.1-1]</w:t>
            </w:r>
          </w:p>
        </w:tc>
        <w:tc>
          <w:tcPr>
            <w:tcW w:w="546" w:type="pct"/>
            <w:tcBorders>
              <w:tl2br w:val="nil"/>
              <w:tr2bl w:val="nil"/>
            </w:tcBorders>
            <w:noWrap w:val="0"/>
            <w:vAlign w:val="center"/>
          </w:tcPr>
          <w:p w14:paraId="7A14049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571" w:type="pct"/>
            <w:vMerge w:val="continue"/>
            <w:tcBorders>
              <w:tl2br w:val="nil"/>
              <w:tr2bl w:val="nil"/>
            </w:tcBorders>
            <w:noWrap w:val="0"/>
            <w:vAlign w:val="center"/>
          </w:tcPr>
          <w:p w14:paraId="1BF90DB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p>
        </w:tc>
      </w:tr>
      <w:tr w14:paraId="4EBD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306" w:type="pct"/>
            <w:vMerge w:val="continue"/>
            <w:tcBorders>
              <w:tl2br w:val="nil"/>
              <w:tr2bl w:val="nil"/>
            </w:tcBorders>
            <w:noWrap w:val="0"/>
            <w:vAlign w:val="center"/>
          </w:tcPr>
          <w:p w14:paraId="60F1FBD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2DFC192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6BB3BAA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650E5B0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4D8EC6A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(0.01-0.1]</w:t>
            </w:r>
          </w:p>
        </w:tc>
        <w:tc>
          <w:tcPr>
            <w:tcW w:w="546" w:type="pct"/>
            <w:tcBorders>
              <w:tl2br w:val="nil"/>
              <w:tr2bl w:val="nil"/>
            </w:tcBorders>
            <w:noWrap w:val="0"/>
            <w:vAlign w:val="center"/>
          </w:tcPr>
          <w:p w14:paraId="28E3FC5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71" w:type="pct"/>
            <w:vMerge w:val="continue"/>
            <w:tcBorders>
              <w:tl2br w:val="nil"/>
              <w:tr2bl w:val="nil"/>
            </w:tcBorders>
            <w:noWrap w:val="0"/>
            <w:vAlign w:val="center"/>
          </w:tcPr>
          <w:p w14:paraId="349EC80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p>
        </w:tc>
      </w:tr>
      <w:tr w14:paraId="2AA7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306" w:type="pct"/>
            <w:vMerge w:val="continue"/>
            <w:tcBorders>
              <w:tl2br w:val="nil"/>
              <w:tr2bl w:val="nil"/>
            </w:tcBorders>
            <w:noWrap w:val="0"/>
            <w:vAlign w:val="center"/>
          </w:tcPr>
          <w:p w14:paraId="01C2CB5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13789BB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2C4BD21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5718B8B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0B3994E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[0-0.01]</w:t>
            </w:r>
          </w:p>
        </w:tc>
        <w:tc>
          <w:tcPr>
            <w:tcW w:w="546" w:type="pct"/>
            <w:tcBorders>
              <w:tl2br w:val="nil"/>
              <w:tr2bl w:val="nil"/>
            </w:tcBorders>
            <w:noWrap w:val="0"/>
            <w:vAlign w:val="center"/>
          </w:tcPr>
          <w:p w14:paraId="5F7C55F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71" w:type="pct"/>
            <w:vMerge w:val="continue"/>
            <w:tcBorders>
              <w:tl2br w:val="nil"/>
              <w:tr2bl w:val="nil"/>
            </w:tcBorders>
            <w:noWrap w:val="0"/>
            <w:vAlign w:val="center"/>
          </w:tcPr>
          <w:p w14:paraId="5048EE5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p>
        </w:tc>
      </w:tr>
      <w:tr w14:paraId="0EFA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306" w:type="pct"/>
            <w:vMerge w:val="restart"/>
            <w:tcBorders>
              <w:tl2br w:val="nil"/>
              <w:tr2bl w:val="nil"/>
            </w:tcBorders>
            <w:noWrap w:val="0"/>
            <w:vAlign w:val="center"/>
          </w:tcPr>
          <w:p w14:paraId="3533748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598" w:type="pct"/>
            <w:vMerge w:val="restart"/>
            <w:tcBorders>
              <w:tl2br w:val="nil"/>
              <w:tr2bl w:val="nil"/>
            </w:tcBorders>
            <w:noWrap w:val="0"/>
            <w:vAlign w:val="center"/>
          </w:tcPr>
          <w:p w14:paraId="3B95829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单位面积环境风险物质存量与临界量的比值</w:t>
            </w:r>
          </w:p>
        </w:tc>
        <w:tc>
          <w:tcPr>
            <w:tcW w:w="534" w:type="pct"/>
            <w:vMerge w:val="restart"/>
            <w:tcBorders>
              <w:tl2br w:val="nil"/>
              <w:tr2bl w:val="nil"/>
            </w:tcBorders>
            <w:noWrap w:val="0"/>
            <w:vAlign w:val="center"/>
          </w:tcPr>
          <w:p w14:paraId="71E4C6C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环保部门，企业环境风险评估报告</w:t>
            </w:r>
          </w:p>
        </w:tc>
        <w:tc>
          <w:tcPr>
            <w:tcW w:w="1458" w:type="pct"/>
            <w:vMerge w:val="restart"/>
            <w:tcBorders>
              <w:tl2br w:val="nil"/>
              <w:tr2bl w:val="nil"/>
            </w:tcBorders>
            <w:noWrap w:val="0"/>
            <w:vAlign w:val="center"/>
          </w:tcPr>
          <w:p w14:paraId="0683508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评估区域内各个环境风险企业中环境风险物质的数量与临界量的比值加和后除以评估区域面积</w:t>
            </w:r>
          </w:p>
        </w:tc>
        <w:tc>
          <w:tcPr>
            <w:tcW w:w="983" w:type="pct"/>
            <w:tcBorders>
              <w:tl2br w:val="nil"/>
              <w:tr2bl w:val="nil"/>
            </w:tcBorders>
            <w:noWrap w:val="0"/>
            <w:vAlign w:val="center"/>
          </w:tcPr>
          <w:p w14:paraId="728206A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546" w:type="pct"/>
            <w:tcBorders>
              <w:tl2br w:val="nil"/>
              <w:tr2bl w:val="nil"/>
            </w:tcBorders>
            <w:noWrap w:val="0"/>
            <w:vAlign w:val="center"/>
          </w:tcPr>
          <w:p w14:paraId="37D031F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571" w:type="pct"/>
            <w:vMerge w:val="restart"/>
            <w:tcBorders>
              <w:tl2br w:val="nil"/>
              <w:tr2bl w:val="nil"/>
            </w:tcBorders>
            <w:noWrap w:val="0"/>
            <w:vAlign w:val="center"/>
          </w:tcPr>
          <w:p w14:paraId="4CF19DB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14:paraId="63E7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306" w:type="pct"/>
            <w:vMerge w:val="continue"/>
            <w:tcBorders>
              <w:tl2br w:val="nil"/>
              <w:tr2bl w:val="nil"/>
            </w:tcBorders>
            <w:noWrap w:val="0"/>
            <w:vAlign w:val="center"/>
          </w:tcPr>
          <w:p w14:paraId="7A6EE80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565E7CD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049394F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0AE925E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356D919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（50，100]</w:t>
            </w:r>
          </w:p>
        </w:tc>
        <w:tc>
          <w:tcPr>
            <w:tcW w:w="546" w:type="pct"/>
            <w:tcBorders>
              <w:tl2br w:val="nil"/>
              <w:tr2bl w:val="nil"/>
            </w:tcBorders>
            <w:noWrap w:val="0"/>
            <w:vAlign w:val="center"/>
          </w:tcPr>
          <w:p w14:paraId="689ABBC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71" w:type="pct"/>
            <w:vMerge w:val="continue"/>
            <w:tcBorders>
              <w:tl2br w:val="nil"/>
              <w:tr2bl w:val="nil"/>
            </w:tcBorders>
            <w:noWrap w:val="0"/>
            <w:vAlign w:val="center"/>
          </w:tcPr>
          <w:p w14:paraId="5A868C9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p>
        </w:tc>
      </w:tr>
      <w:tr w14:paraId="0C3C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306" w:type="pct"/>
            <w:vMerge w:val="continue"/>
            <w:tcBorders>
              <w:tl2br w:val="nil"/>
              <w:tr2bl w:val="nil"/>
            </w:tcBorders>
            <w:noWrap w:val="0"/>
            <w:vAlign w:val="center"/>
          </w:tcPr>
          <w:p w14:paraId="264B7D7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1337DC5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2F7D3E2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606CDAD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36446DB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w:t>
            </w:r>
          </w:p>
        </w:tc>
        <w:tc>
          <w:tcPr>
            <w:tcW w:w="546" w:type="pct"/>
            <w:tcBorders>
              <w:tl2br w:val="nil"/>
              <w:tr2bl w:val="nil"/>
            </w:tcBorders>
            <w:noWrap w:val="0"/>
            <w:vAlign w:val="center"/>
          </w:tcPr>
          <w:p w14:paraId="1C65AAA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571" w:type="pct"/>
            <w:vMerge w:val="continue"/>
            <w:tcBorders>
              <w:tl2br w:val="nil"/>
              <w:tr2bl w:val="nil"/>
            </w:tcBorders>
            <w:noWrap w:val="0"/>
            <w:vAlign w:val="center"/>
          </w:tcPr>
          <w:p w14:paraId="39D1B95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p>
        </w:tc>
      </w:tr>
      <w:tr w14:paraId="54A9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306" w:type="pct"/>
            <w:vMerge w:val="restart"/>
            <w:tcBorders>
              <w:tl2br w:val="nil"/>
              <w:tr2bl w:val="nil"/>
            </w:tcBorders>
            <w:noWrap w:val="0"/>
            <w:vAlign w:val="center"/>
          </w:tcPr>
          <w:p w14:paraId="117CCE9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98" w:type="pct"/>
            <w:vMerge w:val="restart"/>
            <w:tcBorders>
              <w:tl2br w:val="nil"/>
              <w:tr2bl w:val="nil"/>
            </w:tcBorders>
            <w:noWrap w:val="0"/>
            <w:vAlign w:val="center"/>
          </w:tcPr>
          <w:p w14:paraId="15E7E2C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较大以上环境风险企业所占百分比</w:t>
            </w:r>
          </w:p>
        </w:tc>
        <w:tc>
          <w:tcPr>
            <w:tcW w:w="534" w:type="pct"/>
            <w:vMerge w:val="restart"/>
            <w:tcBorders>
              <w:tl2br w:val="nil"/>
              <w:tr2bl w:val="nil"/>
            </w:tcBorders>
            <w:noWrap w:val="0"/>
            <w:vAlign w:val="center"/>
          </w:tcPr>
          <w:p w14:paraId="3884F2A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环保部门，企业环境风险评估报告</w:t>
            </w:r>
          </w:p>
        </w:tc>
        <w:tc>
          <w:tcPr>
            <w:tcW w:w="1458" w:type="pct"/>
            <w:vMerge w:val="restart"/>
            <w:tcBorders>
              <w:tl2br w:val="nil"/>
              <w:tr2bl w:val="nil"/>
            </w:tcBorders>
            <w:noWrap w:val="0"/>
            <w:vAlign w:val="center"/>
          </w:tcPr>
          <w:p w14:paraId="7BB7E8D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依据企业环境风险等级划分相关文件，等级为较大重大的环境风险企业数量占评估区域所有环境风险企业数量的百分数</w:t>
            </w:r>
          </w:p>
        </w:tc>
        <w:tc>
          <w:tcPr>
            <w:tcW w:w="983" w:type="pct"/>
            <w:tcBorders>
              <w:tl2br w:val="nil"/>
              <w:tr2bl w:val="nil"/>
            </w:tcBorders>
            <w:noWrap w:val="0"/>
            <w:vAlign w:val="center"/>
          </w:tcPr>
          <w:p w14:paraId="06F8E02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&gt;65</w:t>
            </w:r>
          </w:p>
        </w:tc>
        <w:tc>
          <w:tcPr>
            <w:tcW w:w="546" w:type="pct"/>
            <w:tcBorders>
              <w:tl2br w:val="nil"/>
              <w:tr2bl w:val="nil"/>
            </w:tcBorders>
            <w:noWrap w:val="0"/>
            <w:vAlign w:val="center"/>
          </w:tcPr>
          <w:p w14:paraId="0A46666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571" w:type="pct"/>
            <w:vMerge w:val="restart"/>
            <w:tcBorders>
              <w:tl2br w:val="nil"/>
              <w:tr2bl w:val="nil"/>
            </w:tcBorders>
            <w:noWrap w:val="0"/>
            <w:vAlign w:val="center"/>
          </w:tcPr>
          <w:p w14:paraId="715E28B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14:paraId="43B9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306" w:type="pct"/>
            <w:vMerge w:val="continue"/>
            <w:tcBorders>
              <w:tl2br w:val="nil"/>
              <w:tr2bl w:val="nil"/>
            </w:tcBorders>
            <w:noWrap w:val="0"/>
            <w:vAlign w:val="center"/>
          </w:tcPr>
          <w:p w14:paraId="57C9B45A">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98" w:type="pct"/>
            <w:vMerge w:val="continue"/>
            <w:tcBorders>
              <w:tl2br w:val="nil"/>
              <w:tr2bl w:val="nil"/>
            </w:tcBorders>
            <w:noWrap w:val="0"/>
            <w:vAlign w:val="center"/>
          </w:tcPr>
          <w:p w14:paraId="76DE1374">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7C9B827A">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31F5F2DA">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794A4F8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（30-65]</w:t>
            </w:r>
          </w:p>
        </w:tc>
        <w:tc>
          <w:tcPr>
            <w:tcW w:w="546" w:type="pct"/>
            <w:tcBorders>
              <w:tl2br w:val="nil"/>
              <w:tr2bl w:val="nil"/>
            </w:tcBorders>
            <w:noWrap w:val="0"/>
            <w:vAlign w:val="center"/>
          </w:tcPr>
          <w:p w14:paraId="57E8E7B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571" w:type="pct"/>
            <w:vMerge w:val="continue"/>
            <w:tcBorders>
              <w:tl2br w:val="nil"/>
              <w:tr2bl w:val="nil"/>
            </w:tcBorders>
            <w:noWrap w:val="0"/>
            <w:vAlign w:val="center"/>
          </w:tcPr>
          <w:p w14:paraId="665991AA">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2AB6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306" w:type="pct"/>
            <w:vMerge w:val="continue"/>
            <w:tcBorders>
              <w:tl2br w:val="nil"/>
              <w:tr2bl w:val="nil"/>
            </w:tcBorders>
            <w:noWrap w:val="0"/>
            <w:vAlign w:val="center"/>
          </w:tcPr>
          <w:p w14:paraId="49B965F9">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98" w:type="pct"/>
            <w:vMerge w:val="continue"/>
            <w:tcBorders>
              <w:tl2br w:val="nil"/>
              <w:tr2bl w:val="nil"/>
            </w:tcBorders>
            <w:noWrap w:val="0"/>
            <w:vAlign w:val="center"/>
          </w:tcPr>
          <w:p w14:paraId="2678D800">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66409696">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54BCD95E">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57C0B04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（15-30]</w:t>
            </w:r>
          </w:p>
        </w:tc>
        <w:tc>
          <w:tcPr>
            <w:tcW w:w="546" w:type="pct"/>
            <w:tcBorders>
              <w:tl2br w:val="nil"/>
              <w:tr2bl w:val="nil"/>
            </w:tcBorders>
            <w:noWrap w:val="0"/>
            <w:vAlign w:val="center"/>
          </w:tcPr>
          <w:p w14:paraId="639FDEE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571" w:type="pct"/>
            <w:vMerge w:val="continue"/>
            <w:tcBorders>
              <w:tl2br w:val="nil"/>
              <w:tr2bl w:val="nil"/>
            </w:tcBorders>
            <w:noWrap w:val="0"/>
            <w:vAlign w:val="center"/>
          </w:tcPr>
          <w:p w14:paraId="7D48E4C6">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505C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exact"/>
          <w:jc w:val="center"/>
        </w:trPr>
        <w:tc>
          <w:tcPr>
            <w:tcW w:w="306" w:type="pct"/>
            <w:vMerge w:val="continue"/>
            <w:tcBorders>
              <w:tl2br w:val="nil"/>
              <w:tr2bl w:val="nil"/>
            </w:tcBorders>
            <w:noWrap w:val="0"/>
            <w:vAlign w:val="center"/>
          </w:tcPr>
          <w:p w14:paraId="71BEAA80">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98" w:type="pct"/>
            <w:vMerge w:val="continue"/>
            <w:tcBorders>
              <w:tl2br w:val="nil"/>
              <w:tr2bl w:val="nil"/>
            </w:tcBorders>
            <w:noWrap w:val="0"/>
            <w:vAlign w:val="center"/>
          </w:tcPr>
          <w:p w14:paraId="49808CFD">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7537732E">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702A6930">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116B5D4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546" w:type="pct"/>
            <w:tcBorders>
              <w:tl2br w:val="nil"/>
              <w:tr2bl w:val="nil"/>
            </w:tcBorders>
            <w:noWrap w:val="0"/>
            <w:vAlign w:val="center"/>
          </w:tcPr>
          <w:p w14:paraId="2C6FAAC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71" w:type="pct"/>
            <w:vMerge w:val="continue"/>
            <w:tcBorders>
              <w:tl2br w:val="nil"/>
              <w:tr2bl w:val="nil"/>
            </w:tcBorders>
            <w:noWrap w:val="0"/>
            <w:vAlign w:val="center"/>
          </w:tcPr>
          <w:p w14:paraId="15B9FD77">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0054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306" w:type="pct"/>
            <w:vMerge w:val="restart"/>
            <w:tcBorders>
              <w:tl2br w:val="nil"/>
              <w:tr2bl w:val="nil"/>
            </w:tcBorders>
            <w:noWrap w:val="0"/>
            <w:vAlign w:val="center"/>
          </w:tcPr>
          <w:p w14:paraId="3731023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598" w:type="pct"/>
            <w:vMerge w:val="restart"/>
            <w:tcBorders>
              <w:tl2br w:val="nil"/>
              <w:tr2bl w:val="nil"/>
            </w:tcBorders>
            <w:noWrap w:val="0"/>
            <w:vAlign w:val="center"/>
          </w:tcPr>
          <w:p w14:paraId="6532C40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道路年运输危险化学品数量</w:t>
            </w:r>
          </w:p>
        </w:tc>
        <w:tc>
          <w:tcPr>
            <w:tcW w:w="534" w:type="pct"/>
            <w:vMerge w:val="restart"/>
            <w:tcBorders>
              <w:tl2br w:val="nil"/>
              <w:tr2bl w:val="nil"/>
            </w:tcBorders>
            <w:noWrap w:val="0"/>
            <w:vAlign w:val="center"/>
          </w:tcPr>
          <w:p w14:paraId="079A6E7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交通部门</w:t>
            </w:r>
          </w:p>
        </w:tc>
        <w:tc>
          <w:tcPr>
            <w:tcW w:w="1458" w:type="pct"/>
            <w:vMerge w:val="restart"/>
            <w:tcBorders>
              <w:tl2br w:val="nil"/>
              <w:tr2bl w:val="nil"/>
            </w:tcBorders>
            <w:noWrap w:val="0"/>
            <w:vAlign w:val="center"/>
          </w:tcPr>
          <w:p w14:paraId="724C142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评估区域内每年以道路运输方式运输的危险化学品数量，单位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万吨</w:t>
            </w:r>
          </w:p>
        </w:tc>
        <w:tc>
          <w:tcPr>
            <w:tcW w:w="983" w:type="pct"/>
            <w:tcBorders>
              <w:tl2br w:val="nil"/>
              <w:tr2bl w:val="nil"/>
            </w:tcBorders>
            <w:noWrap w:val="0"/>
            <w:vAlign w:val="center"/>
          </w:tcPr>
          <w:p w14:paraId="2BBEFD3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&gt;300</w:t>
            </w:r>
          </w:p>
        </w:tc>
        <w:tc>
          <w:tcPr>
            <w:tcW w:w="546" w:type="pct"/>
            <w:tcBorders>
              <w:tl2br w:val="nil"/>
              <w:tr2bl w:val="nil"/>
            </w:tcBorders>
            <w:noWrap w:val="0"/>
            <w:vAlign w:val="center"/>
          </w:tcPr>
          <w:p w14:paraId="2420DE7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571" w:type="pct"/>
            <w:vMerge w:val="restart"/>
            <w:tcBorders>
              <w:tl2br w:val="nil"/>
              <w:tr2bl w:val="nil"/>
            </w:tcBorders>
            <w:noWrap w:val="0"/>
            <w:vAlign w:val="center"/>
          </w:tcPr>
          <w:p w14:paraId="5F30A970">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0540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jc w:val="center"/>
        </w:trPr>
        <w:tc>
          <w:tcPr>
            <w:tcW w:w="306" w:type="pct"/>
            <w:vMerge w:val="continue"/>
            <w:tcBorders>
              <w:tl2br w:val="nil"/>
              <w:tr2bl w:val="nil"/>
            </w:tcBorders>
            <w:noWrap w:val="0"/>
            <w:vAlign w:val="center"/>
          </w:tcPr>
          <w:p w14:paraId="0C5E846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0A312E6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5AF0630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29C6DEF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7005681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300]</w:t>
            </w:r>
          </w:p>
        </w:tc>
        <w:tc>
          <w:tcPr>
            <w:tcW w:w="546" w:type="pct"/>
            <w:tcBorders>
              <w:tl2br w:val="nil"/>
              <w:tr2bl w:val="nil"/>
            </w:tcBorders>
            <w:noWrap w:val="0"/>
            <w:vAlign w:val="center"/>
          </w:tcPr>
          <w:p w14:paraId="1F48B0A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w:t>
            </w:r>
          </w:p>
        </w:tc>
        <w:tc>
          <w:tcPr>
            <w:tcW w:w="571" w:type="pct"/>
            <w:vMerge w:val="continue"/>
            <w:tcBorders>
              <w:tl2br w:val="nil"/>
              <w:tr2bl w:val="nil"/>
            </w:tcBorders>
            <w:noWrap w:val="0"/>
            <w:vAlign w:val="center"/>
          </w:tcPr>
          <w:p w14:paraId="79AFC2E8">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p>
        </w:tc>
      </w:tr>
      <w:tr w14:paraId="07B6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306" w:type="pct"/>
            <w:vMerge w:val="continue"/>
            <w:tcBorders>
              <w:tl2br w:val="nil"/>
              <w:tr2bl w:val="nil"/>
            </w:tcBorders>
            <w:noWrap w:val="0"/>
            <w:vAlign w:val="center"/>
          </w:tcPr>
          <w:p w14:paraId="0157232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4EBFFEE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2147AC9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162C870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1182B78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30]</w:t>
            </w:r>
          </w:p>
        </w:tc>
        <w:tc>
          <w:tcPr>
            <w:tcW w:w="546" w:type="pct"/>
            <w:tcBorders>
              <w:tl2br w:val="nil"/>
              <w:tr2bl w:val="nil"/>
            </w:tcBorders>
            <w:noWrap w:val="0"/>
            <w:vAlign w:val="center"/>
          </w:tcPr>
          <w:p w14:paraId="14ADB89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71" w:type="pct"/>
            <w:vMerge w:val="continue"/>
            <w:tcBorders>
              <w:tl2br w:val="nil"/>
              <w:tr2bl w:val="nil"/>
            </w:tcBorders>
            <w:noWrap w:val="0"/>
            <w:vAlign w:val="center"/>
          </w:tcPr>
          <w:p w14:paraId="046C1B37">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7855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306" w:type="pct"/>
            <w:vMerge w:val="continue"/>
            <w:tcBorders>
              <w:tl2br w:val="nil"/>
              <w:tr2bl w:val="nil"/>
            </w:tcBorders>
            <w:noWrap w:val="0"/>
            <w:vAlign w:val="center"/>
          </w:tcPr>
          <w:p w14:paraId="723F732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442EDD4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67D19CF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407DCA4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687B0B2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46" w:type="pct"/>
            <w:tcBorders>
              <w:tl2br w:val="nil"/>
              <w:tr2bl w:val="nil"/>
            </w:tcBorders>
            <w:noWrap w:val="0"/>
            <w:vAlign w:val="center"/>
          </w:tcPr>
          <w:p w14:paraId="209CDA8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71" w:type="pct"/>
            <w:vMerge w:val="continue"/>
            <w:tcBorders>
              <w:tl2br w:val="nil"/>
              <w:tr2bl w:val="nil"/>
            </w:tcBorders>
            <w:noWrap w:val="0"/>
            <w:vAlign w:val="center"/>
          </w:tcPr>
          <w:p w14:paraId="292E5380">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73F4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306" w:type="pct"/>
            <w:vMerge w:val="restart"/>
            <w:tcBorders>
              <w:tl2br w:val="nil"/>
              <w:tr2bl w:val="nil"/>
            </w:tcBorders>
            <w:noWrap w:val="0"/>
            <w:vAlign w:val="center"/>
          </w:tcPr>
          <w:p w14:paraId="0D8A544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598" w:type="pct"/>
            <w:vMerge w:val="restart"/>
            <w:tcBorders>
              <w:tl2br w:val="nil"/>
              <w:tr2bl w:val="nil"/>
            </w:tcBorders>
            <w:noWrap w:val="0"/>
            <w:vAlign w:val="center"/>
          </w:tcPr>
          <w:p w14:paraId="78709CC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环境风险等级为较大及以上的尾矿库数量</w:t>
            </w:r>
          </w:p>
        </w:tc>
        <w:tc>
          <w:tcPr>
            <w:tcW w:w="534" w:type="pct"/>
            <w:vMerge w:val="restart"/>
            <w:tcBorders>
              <w:tl2br w:val="nil"/>
              <w:tr2bl w:val="nil"/>
            </w:tcBorders>
            <w:noWrap w:val="0"/>
            <w:vAlign w:val="center"/>
          </w:tcPr>
          <w:p w14:paraId="7DEEBC6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环保部门</w:t>
            </w:r>
          </w:p>
        </w:tc>
        <w:tc>
          <w:tcPr>
            <w:tcW w:w="1458" w:type="pct"/>
            <w:vMerge w:val="restart"/>
            <w:tcBorders>
              <w:tl2br w:val="nil"/>
              <w:tr2bl w:val="nil"/>
            </w:tcBorders>
            <w:noWrap w:val="0"/>
            <w:vAlign w:val="center"/>
          </w:tcPr>
          <w:p w14:paraId="79FB382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依据《尾矿库</w:t>
            </w:r>
            <w:r>
              <w:rPr>
                <w:rFonts w:hint="default" w:ascii="Times New Roman" w:hAnsi="Times New Roman" w:eastAsia="仿宋" w:cs="Times New Roman"/>
                <w:color w:val="auto"/>
                <w:sz w:val="21"/>
                <w:szCs w:val="21"/>
              </w:rPr>
              <w:t>环境风险评估技术导则《试行》等级为较大</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重大的尾矿库数量《涉水）单位</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座</w:t>
            </w:r>
          </w:p>
        </w:tc>
        <w:tc>
          <w:tcPr>
            <w:tcW w:w="983" w:type="pct"/>
            <w:tcBorders>
              <w:tl2br w:val="nil"/>
              <w:tr2bl w:val="nil"/>
            </w:tcBorders>
            <w:noWrap w:val="0"/>
            <w:vAlign w:val="center"/>
          </w:tcPr>
          <w:p w14:paraId="0BD3DF0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w:t>
            </w:r>
            <w:r>
              <w:rPr>
                <w:rFonts w:hint="default" w:ascii="Times New Roman" w:hAnsi="Times New Roman" w:cs="Times New Roman"/>
                <w:color w:val="auto"/>
                <w:sz w:val="21"/>
                <w:szCs w:val="21"/>
                <w:lang w:val="en-US" w:eastAsia="zh-CN"/>
              </w:rPr>
              <w:t>5</w:t>
            </w:r>
          </w:p>
        </w:tc>
        <w:tc>
          <w:tcPr>
            <w:tcW w:w="546" w:type="pct"/>
            <w:tcBorders>
              <w:tl2br w:val="nil"/>
              <w:tr2bl w:val="nil"/>
            </w:tcBorders>
            <w:noWrap w:val="0"/>
            <w:vAlign w:val="center"/>
          </w:tcPr>
          <w:p w14:paraId="1573DCB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571" w:type="pct"/>
            <w:vMerge w:val="restart"/>
            <w:tcBorders>
              <w:tl2br w:val="nil"/>
              <w:tr2bl w:val="nil"/>
            </w:tcBorders>
            <w:noWrap w:val="0"/>
            <w:vAlign w:val="center"/>
          </w:tcPr>
          <w:p w14:paraId="0C2EE897">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457A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306" w:type="pct"/>
            <w:vMerge w:val="continue"/>
            <w:tcBorders>
              <w:tl2br w:val="nil"/>
              <w:tr2bl w:val="nil"/>
            </w:tcBorders>
            <w:noWrap w:val="0"/>
            <w:vAlign w:val="center"/>
          </w:tcPr>
          <w:p w14:paraId="43C2C8A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598" w:type="pct"/>
            <w:vMerge w:val="continue"/>
            <w:tcBorders>
              <w:tl2br w:val="nil"/>
              <w:tr2bl w:val="nil"/>
            </w:tcBorders>
            <w:noWrap w:val="0"/>
            <w:vAlign w:val="center"/>
          </w:tcPr>
          <w:p w14:paraId="471A070A">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1D6441B0">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0659D73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68FED51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3</w:t>
            </w:r>
            <w:r>
              <w:rPr>
                <w:rFonts w:hint="default" w:ascii="Times New Roman" w:hAnsi="Times New Roman" w:cs="Times New Roman"/>
                <w:color w:val="auto"/>
                <w:sz w:val="21"/>
                <w:szCs w:val="21"/>
                <w:lang w:val="en-US" w:eastAsia="zh-CN"/>
              </w:rPr>
              <w:t>，5</w:t>
            </w:r>
            <w:r>
              <w:rPr>
                <w:rFonts w:hint="default" w:ascii="Times New Roman" w:hAnsi="Times New Roman" w:eastAsia="仿宋" w:cs="Times New Roman"/>
                <w:color w:val="auto"/>
                <w:sz w:val="21"/>
                <w:szCs w:val="21"/>
                <w:lang w:val="en-US" w:eastAsia="zh-CN"/>
              </w:rPr>
              <w:t>]</w:t>
            </w:r>
          </w:p>
        </w:tc>
        <w:tc>
          <w:tcPr>
            <w:tcW w:w="546" w:type="pct"/>
            <w:tcBorders>
              <w:tl2br w:val="nil"/>
              <w:tr2bl w:val="nil"/>
            </w:tcBorders>
            <w:noWrap w:val="0"/>
            <w:vAlign w:val="center"/>
          </w:tcPr>
          <w:p w14:paraId="1000DBE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571" w:type="pct"/>
            <w:vMerge w:val="continue"/>
            <w:tcBorders>
              <w:tl2br w:val="nil"/>
              <w:tr2bl w:val="nil"/>
            </w:tcBorders>
            <w:noWrap w:val="0"/>
            <w:vAlign w:val="center"/>
          </w:tcPr>
          <w:p w14:paraId="662F6194">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224F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306" w:type="pct"/>
            <w:vMerge w:val="continue"/>
            <w:tcBorders>
              <w:tl2br w:val="nil"/>
              <w:tr2bl w:val="nil"/>
            </w:tcBorders>
            <w:noWrap w:val="0"/>
            <w:vAlign w:val="center"/>
          </w:tcPr>
          <w:p w14:paraId="016E14C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598" w:type="pct"/>
            <w:vMerge w:val="continue"/>
            <w:tcBorders>
              <w:tl2br w:val="nil"/>
              <w:tr2bl w:val="nil"/>
            </w:tcBorders>
            <w:noWrap w:val="0"/>
            <w:vAlign w:val="center"/>
          </w:tcPr>
          <w:p w14:paraId="7127B107">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54E4653A">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66536A8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11418E1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[1，2</w:t>
            </w:r>
            <w:r>
              <w:rPr>
                <w:rFonts w:hint="default" w:ascii="Times New Roman" w:hAnsi="Times New Roman" w:eastAsia="仿宋" w:cs="Times New Roman"/>
                <w:color w:val="auto"/>
                <w:sz w:val="21"/>
                <w:szCs w:val="21"/>
                <w:lang w:val="en-US" w:eastAsia="zh-CN"/>
              </w:rPr>
              <w:t>]</w:t>
            </w:r>
          </w:p>
        </w:tc>
        <w:tc>
          <w:tcPr>
            <w:tcW w:w="546" w:type="pct"/>
            <w:tcBorders>
              <w:tl2br w:val="nil"/>
              <w:tr2bl w:val="nil"/>
            </w:tcBorders>
            <w:noWrap w:val="0"/>
            <w:vAlign w:val="center"/>
          </w:tcPr>
          <w:p w14:paraId="197EB21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71" w:type="pct"/>
            <w:vMerge w:val="continue"/>
            <w:tcBorders>
              <w:tl2br w:val="nil"/>
              <w:tr2bl w:val="nil"/>
            </w:tcBorders>
            <w:noWrap w:val="0"/>
            <w:vAlign w:val="center"/>
          </w:tcPr>
          <w:p w14:paraId="35268417">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2278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306" w:type="pct"/>
            <w:vMerge w:val="continue"/>
            <w:tcBorders>
              <w:tl2br w:val="nil"/>
              <w:tr2bl w:val="nil"/>
            </w:tcBorders>
            <w:noWrap w:val="0"/>
            <w:vAlign w:val="center"/>
          </w:tcPr>
          <w:p w14:paraId="3E5B690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598" w:type="pct"/>
            <w:vMerge w:val="continue"/>
            <w:tcBorders>
              <w:tl2br w:val="nil"/>
              <w:tr2bl w:val="nil"/>
            </w:tcBorders>
            <w:noWrap w:val="0"/>
            <w:vAlign w:val="center"/>
          </w:tcPr>
          <w:p w14:paraId="3F42113C">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45133E93">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1E88AED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04138DE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无</w:t>
            </w:r>
          </w:p>
        </w:tc>
        <w:tc>
          <w:tcPr>
            <w:tcW w:w="546" w:type="pct"/>
            <w:tcBorders>
              <w:tl2br w:val="nil"/>
              <w:tr2bl w:val="nil"/>
            </w:tcBorders>
            <w:noWrap w:val="0"/>
            <w:vAlign w:val="center"/>
          </w:tcPr>
          <w:p w14:paraId="303575A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571" w:type="pct"/>
            <w:vMerge w:val="continue"/>
            <w:tcBorders>
              <w:tl2br w:val="nil"/>
              <w:tr2bl w:val="nil"/>
            </w:tcBorders>
            <w:noWrap w:val="0"/>
            <w:vAlign w:val="center"/>
          </w:tcPr>
          <w:p w14:paraId="2459E13F">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625C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exact"/>
          <w:jc w:val="center"/>
        </w:trPr>
        <w:tc>
          <w:tcPr>
            <w:tcW w:w="306" w:type="pct"/>
            <w:vMerge w:val="restart"/>
            <w:tcBorders>
              <w:tl2br w:val="nil"/>
              <w:tr2bl w:val="nil"/>
            </w:tcBorders>
            <w:noWrap w:val="0"/>
            <w:vAlign w:val="center"/>
          </w:tcPr>
          <w:p w14:paraId="47279B3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598" w:type="pct"/>
            <w:vMerge w:val="restart"/>
            <w:tcBorders>
              <w:tl2br w:val="nil"/>
              <w:tr2bl w:val="nil"/>
            </w:tcBorders>
            <w:noWrap w:val="0"/>
            <w:vAlign w:val="center"/>
          </w:tcPr>
          <w:p w14:paraId="6018E72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近五年突发环 境事件发生数 量及影响</w:t>
            </w:r>
          </w:p>
        </w:tc>
        <w:tc>
          <w:tcPr>
            <w:tcW w:w="534" w:type="pct"/>
            <w:vMerge w:val="restart"/>
            <w:tcBorders>
              <w:tl2br w:val="nil"/>
              <w:tr2bl w:val="nil"/>
            </w:tcBorders>
            <w:noWrap w:val="0"/>
            <w:vAlign w:val="center"/>
          </w:tcPr>
          <w:p w14:paraId="5DBB931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58" w:type="pct"/>
            <w:vMerge w:val="restart"/>
            <w:tcBorders>
              <w:tl2br w:val="nil"/>
              <w:tr2bl w:val="nil"/>
            </w:tcBorders>
            <w:noWrap w:val="0"/>
            <w:vAlign w:val="center"/>
          </w:tcPr>
          <w:p w14:paraId="2D87E6A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参照《国家突发环境事件应急预案》，</w:t>
            </w:r>
          </w:p>
          <w:p w14:paraId="48EF50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评估区域内近五年突发环境事件发生数量及影响</w:t>
            </w:r>
          </w:p>
        </w:tc>
        <w:tc>
          <w:tcPr>
            <w:tcW w:w="983" w:type="pct"/>
            <w:tcBorders>
              <w:tl2br w:val="nil"/>
              <w:tr2bl w:val="nil"/>
            </w:tcBorders>
            <w:noWrap w:val="0"/>
            <w:vAlign w:val="center"/>
          </w:tcPr>
          <w:p w14:paraId="53FF4C1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突发环境事件数量≥2且较大及以上等级的突发环境事件发生数量≥1</w:t>
            </w:r>
          </w:p>
        </w:tc>
        <w:tc>
          <w:tcPr>
            <w:tcW w:w="546" w:type="pct"/>
            <w:tcBorders>
              <w:tl2br w:val="nil"/>
              <w:tr2bl w:val="nil"/>
            </w:tcBorders>
            <w:noWrap w:val="0"/>
            <w:vAlign w:val="center"/>
          </w:tcPr>
          <w:p w14:paraId="650A73C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571" w:type="pct"/>
            <w:vMerge w:val="restart"/>
            <w:tcBorders>
              <w:tl2br w:val="nil"/>
              <w:tr2bl w:val="nil"/>
            </w:tcBorders>
            <w:noWrap w:val="0"/>
            <w:vAlign w:val="center"/>
          </w:tcPr>
          <w:p w14:paraId="3117B9B0">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08B9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exact"/>
          <w:jc w:val="center"/>
        </w:trPr>
        <w:tc>
          <w:tcPr>
            <w:tcW w:w="306" w:type="pct"/>
            <w:vMerge w:val="continue"/>
            <w:tcBorders>
              <w:tl2br w:val="nil"/>
              <w:tr2bl w:val="nil"/>
            </w:tcBorders>
            <w:noWrap w:val="0"/>
            <w:vAlign w:val="center"/>
          </w:tcPr>
          <w:p w14:paraId="510547CE">
            <w:pPr>
              <w:pStyle w:val="35"/>
              <w:keepNext w:val="0"/>
              <w:keepLines w:val="0"/>
              <w:pageBreakBefore w:val="0"/>
              <w:kinsoku w:val="0"/>
              <w:wordWrap/>
              <w:overflowPunct w:val="0"/>
              <w:topLinePunct w:val="0"/>
              <w:bidi w:val="0"/>
              <w:adjustRightInd w:val="0"/>
              <w:snapToGrid w:val="0"/>
              <w:spacing w:line="240" w:lineRule="exact"/>
              <w:ind w:left="228" w:leftChars="0" w:right="226" w:rightChars="0" w:firstLine="0" w:firstLineChars="0"/>
              <w:jc w:val="center"/>
              <w:textAlignment w:val="auto"/>
              <w:rPr>
                <w:rFonts w:hint="default" w:ascii="Times New Roman" w:hAnsi="Times New Roman" w:cs="Times New Roman"/>
                <w:color w:val="auto"/>
                <w:kern w:val="0"/>
                <w:sz w:val="21"/>
                <w:szCs w:val="21"/>
                <w:lang w:val="en-US" w:eastAsia="zh-CN" w:bidi="ar-SA"/>
              </w:rPr>
            </w:pPr>
          </w:p>
        </w:tc>
        <w:tc>
          <w:tcPr>
            <w:tcW w:w="598" w:type="pct"/>
            <w:vMerge w:val="continue"/>
            <w:tcBorders>
              <w:tl2br w:val="nil"/>
              <w:tr2bl w:val="nil"/>
            </w:tcBorders>
            <w:noWrap w:val="0"/>
            <w:vAlign w:val="center"/>
          </w:tcPr>
          <w:p w14:paraId="2F9B9C6C">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1F1F4961">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795F7EBB">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4F585FD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突发环境事件数量≥1，无较大及以上等级的突发环境事件</w:t>
            </w:r>
          </w:p>
        </w:tc>
        <w:tc>
          <w:tcPr>
            <w:tcW w:w="546" w:type="pct"/>
            <w:tcBorders>
              <w:tl2br w:val="nil"/>
              <w:tr2bl w:val="nil"/>
            </w:tcBorders>
            <w:noWrap w:val="0"/>
            <w:vAlign w:val="center"/>
          </w:tcPr>
          <w:p w14:paraId="5770A5D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571" w:type="pct"/>
            <w:vMerge w:val="continue"/>
            <w:tcBorders>
              <w:tl2br w:val="nil"/>
              <w:tr2bl w:val="nil"/>
            </w:tcBorders>
            <w:noWrap w:val="0"/>
            <w:vAlign w:val="center"/>
          </w:tcPr>
          <w:p w14:paraId="33253BB4">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41E8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jc w:val="center"/>
        </w:trPr>
        <w:tc>
          <w:tcPr>
            <w:tcW w:w="306" w:type="pct"/>
            <w:vMerge w:val="continue"/>
            <w:tcBorders>
              <w:tl2br w:val="nil"/>
              <w:tr2bl w:val="nil"/>
            </w:tcBorders>
            <w:noWrap w:val="0"/>
            <w:vAlign w:val="center"/>
          </w:tcPr>
          <w:p w14:paraId="2DB82625">
            <w:pPr>
              <w:pStyle w:val="35"/>
              <w:keepNext w:val="0"/>
              <w:keepLines w:val="0"/>
              <w:pageBreakBefore w:val="0"/>
              <w:kinsoku w:val="0"/>
              <w:wordWrap/>
              <w:overflowPunct w:val="0"/>
              <w:topLinePunct w:val="0"/>
              <w:bidi w:val="0"/>
              <w:adjustRightInd w:val="0"/>
              <w:snapToGrid w:val="0"/>
              <w:spacing w:line="240" w:lineRule="exact"/>
              <w:ind w:left="228" w:leftChars="0" w:right="226" w:rightChars="0" w:firstLine="0" w:firstLineChars="0"/>
              <w:jc w:val="center"/>
              <w:textAlignment w:val="auto"/>
              <w:rPr>
                <w:rFonts w:hint="default" w:ascii="Times New Roman" w:hAnsi="Times New Roman" w:cs="Times New Roman"/>
                <w:color w:val="auto"/>
                <w:kern w:val="0"/>
                <w:sz w:val="21"/>
                <w:szCs w:val="21"/>
                <w:lang w:val="en-US" w:eastAsia="zh-CN" w:bidi="ar-SA"/>
              </w:rPr>
            </w:pPr>
          </w:p>
        </w:tc>
        <w:tc>
          <w:tcPr>
            <w:tcW w:w="598" w:type="pct"/>
            <w:vMerge w:val="continue"/>
            <w:tcBorders>
              <w:tl2br w:val="nil"/>
              <w:tr2bl w:val="nil"/>
            </w:tcBorders>
            <w:noWrap w:val="0"/>
            <w:vAlign w:val="center"/>
          </w:tcPr>
          <w:p w14:paraId="05C3E0EA">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674038BC">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4B1F4025">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09330AB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无突发环境事件发生</w:t>
            </w:r>
          </w:p>
        </w:tc>
        <w:tc>
          <w:tcPr>
            <w:tcW w:w="546" w:type="pct"/>
            <w:tcBorders>
              <w:tl2br w:val="nil"/>
              <w:tr2bl w:val="nil"/>
            </w:tcBorders>
            <w:noWrap w:val="0"/>
            <w:vAlign w:val="center"/>
          </w:tcPr>
          <w:p w14:paraId="4F43990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71" w:type="pct"/>
            <w:vMerge w:val="continue"/>
            <w:tcBorders>
              <w:tl2br w:val="nil"/>
              <w:tr2bl w:val="nil"/>
            </w:tcBorders>
            <w:noWrap w:val="0"/>
            <w:vAlign w:val="center"/>
          </w:tcPr>
          <w:p w14:paraId="2E054051">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3B2A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306" w:type="pct"/>
            <w:vMerge w:val="restart"/>
            <w:tcBorders>
              <w:tl2br w:val="nil"/>
              <w:tr2bl w:val="nil"/>
            </w:tcBorders>
            <w:noWrap w:val="0"/>
            <w:vAlign w:val="center"/>
          </w:tcPr>
          <w:p w14:paraId="693496D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598" w:type="pct"/>
            <w:vMerge w:val="restart"/>
            <w:tcBorders>
              <w:tl2br w:val="nil"/>
              <w:tr2bl w:val="nil"/>
            </w:tcBorders>
            <w:noWrap w:val="0"/>
            <w:vAlign w:val="center"/>
          </w:tcPr>
          <w:p w14:paraId="6C25EEB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环境投诉数量</w:t>
            </w:r>
          </w:p>
        </w:tc>
        <w:tc>
          <w:tcPr>
            <w:tcW w:w="534" w:type="pct"/>
            <w:vMerge w:val="restart"/>
            <w:tcBorders>
              <w:tl2br w:val="nil"/>
              <w:tr2bl w:val="nil"/>
            </w:tcBorders>
            <w:noWrap w:val="0"/>
            <w:vAlign w:val="center"/>
          </w:tcPr>
          <w:p w14:paraId="780C4D8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58" w:type="pct"/>
            <w:vMerge w:val="restart"/>
            <w:tcBorders>
              <w:tl2br w:val="nil"/>
              <w:tr2bl w:val="nil"/>
            </w:tcBorders>
            <w:noWrap w:val="0"/>
            <w:vAlign w:val="center"/>
          </w:tcPr>
          <w:p w14:paraId="20108CE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评估区域上一年度因环境问题来信、来访、电话及网络投诉总数，单位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件</w:t>
            </w:r>
          </w:p>
        </w:tc>
        <w:tc>
          <w:tcPr>
            <w:tcW w:w="983" w:type="pct"/>
            <w:tcBorders>
              <w:tl2br w:val="nil"/>
              <w:tr2bl w:val="nil"/>
            </w:tcBorders>
            <w:noWrap w:val="0"/>
            <w:vAlign w:val="center"/>
          </w:tcPr>
          <w:p w14:paraId="1B02F44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&gt;300</w:t>
            </w:r>
          </w:p>
        </w:tc>
        <w:tc>
          <w:tcPr>
            <w:tcW w:w="546" w:type="pct"/>
            <w:tcBorders>
              <w:tl2br w:val="nil"/>
              <w:tr2bl w:val="nil"/>
            </w:tcBorders>
            <w:noWrap w:val="0"/>
            <w:vAlign w:val="center"/>
          </w:tcPr>
          <w:p w14:paraId="149EEFF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571" w:type="pct"/>
            <w:vMerge w:val="restart"/>
            <w:tcBorders>
              <w:tl2br w:val="nil"/>
              <w:tr2bl w:val="nil"/>
            </w:tcBorders>
            <w:noWrap w:val="0"/>
            <w:vAlign w:val="center"/>
          </w:tcPr>
          <w:p w14:paraId="6588477E">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716E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306" w:type="pct"/>
            <w:vMerge w:val="continue"/>
            <w:tcBorders>
              <w:tl2br w:val="nil"/>
              <w:tr2bl w:val="nil"/>
            </w:tcBorders>
            <w:noWrap w:val="0"/>
            <w:vAlign w:val="center"/>
          </w:tcPr>
          <w:p w14:paraId="075A50AD">
            <w:pPr>
              <w:pStyle w:val="35"/>
              <w:keepNext w:val="0"/>
              <w:keepLines w:val="0"/>
              <w:pageBreakBefore w:val="0"/>
              <w:kinsoku w:val="0"/>
              <w:wordWrap/>
              <w:overflowPunct w:val="0"/>
              <w:topLinePunct w:val="0"/>
              <w:bidi w:val="0"/>
              <w:adjustRightInd w:val="0"/>
              <w:snapToGrid w:val="0"/>
              <w:spacing w:line="240" w:lineRule="exact"/>
              <w:ind w:left="228" w:leftChars="0" w:right="226" w:rightChars="0" w:firstLine="0" w:firstLineChars="0"/>
              <w:jc w:val="center"/>
              <w:textAlignment w:val="auto"/>
              <w:rPr>
                <w:rFonts w:hint="default" w:ascii="Times New Roman" w:hAnsi="Times New Roman" w:cs="Times New Roman"/>
                <w:color w:val="auto"/>
                <w:kern w:val="0"/>
                <w:sz w:val="21"/>
                <w:szCs w:val="21"/>
                <w:lang w:val="en-US" w:eastAsia="zh-CN" w:bidi="ar-SA"/>
              </w:rPr>
            </w:pPr>
          </w:p>
        </w:tc>
        <w:tc>
          <w:tcPr>
            <w:tcW w:w="598" w:type="pct"/>
            <w:vMerge w:val="continue"/>
            <w:tcBorders>
              <w:tl2br w:val="nil"/>
              <w:tr2bl w:val="nil"/>
            </w:tcBorders>
            <w:noWrap w:val="0"/>
            <w:vAlign w:val="center"/>
          </w:tcPr>
          <w:p w14:paraId="611C9185">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44EF0253">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12480AC2">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373A6B3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300]</w:t>
            </w:r>
          </w:p>
        </w:tc>
        <w:tc>
          <w:tcPr>
            <w:tcW w:w="546" w:type="pct"/>
            <w:tcBorders>
              <w:tl2br w:val="nil"/>
              <w:tr2bl w:val="nil"/>
            </w:tcBorders>
            <w:noWrap w:val="0"/>
            <w:vAlign w:val="center"/>
          </w:tcPr>
          <w:p w14:paraId="09D877F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571" w:type="pct"/>
            <w:vMerge w:val="continue"/>
            <w:tcBorders>
              <w:tl2br w:val="nil"/>
              <w:tr2bl w:val="nil"/>
            </w:tcBorders>
            <w:noWrap w:val="0"/>
            <w:vAlign w:val="center"/>
          </w:tcPr>
          <w:p w14:paraId="39299397">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22E9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306" w:type="pct"/>
            <w:vMerge w:val="continue"/>
            <w:tcBorders>
              <w:tl2br w:val="nil"/>
              <w:tr2bl w:val="nil"/>
            </w:tcBorders>
            <w:noWrap w:val="0"/>
            <w:vAlign w:val="center"/>
          </w:tcPr>
          <w:p w14:paraId="1E1319FC">
            <w:pPr>
              <w:pStyle w:val="35"/>
              <w:keepNext w:val="0"/>
              <w:keepLines w:val="0"/>
              <w:pageBreakBefore w:val="0"/>
              <w:kinsoku w:val="0"/>
              <w:wordWrap/>
              <w:overflowPunct w:val="0"/>
              <w:topLinePunct w:val="0"/>
              <w:bidi w:val="0"/>
              <w:adjustRightInd w:val="0"/>
              <w:snapToGrid w:val="0"/>
              <w:spacing w:line="240" w:lineRule="exact"/>
              <w:ind w:left="228" w:leftChars="0" w:right="226" w:rightChars="0" w:firstLine="0" w:firstLineChars="0"/>
              <w:jc w:val="center"/>
              <w:textAlignment w:val="auto"/>
              <w:rPr>
                <w:rFonts w:hint="default" w:ascii="Times New Roman" w:hAnsi="Times New Roman" w:cs="Times New Roman"/>
                <w:color w:val="auto"/>
                <w:kern w:val="0"/>
                <w:sz w:val="21"/>
                <w:szCs w:val="21"/>
                <w:lang w:val="en-US" w:eastAsia="zh-CN" w:bidi="ar-SA"/>
              </w:rPr>
            </w:pPr>
          </w:p>
        </w:tc>
        <w:tc>
          <w:tcPr>
            <w:tcW w:w="598" w:type="pct"/>
            <w:vMerge w:val="continue"/>
            <w:tcBorders>
              <w:tl2br w:val="nil"/>
              <w:tr2bl w:val="nil"/>
            </w:tcBorders>
            <w:noWrap w:val="0"/>
            <w:vAlign w:val="center"/>
          </w:tcPr>
          <w:p w14:paraId="1602E480">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30BE8DE1">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35633FED">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2E2517F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（100，200]</w:t>
            </w:r>
          </w:p>
        </w:tc>
        <w:tc>
          <w:tcPr>
            <w:tcW w:w="546" w:type="pct"/>
            <w:tcBorders>
              <w:tl2br w:val="nil"/>
              <w:tr2bl w:val="nil"/>
            </w:tcBorders>
            <w:noWrap w:val="0"/>
            <w:vAlign w:val="center"/>
          </w:tcPr>
          <w:p w14:paraId="511A988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571" w:type="pct"/>
            <w:vMerge w:val="continue"/>
            <w:tcBorders>
              <w:tl2br w:val="nil"/>
              <w:tr2bl w:val="nil"/>
            </w:tcBorders>
            <w:noWrap w:val="0"/>
            <w:vAlign w:val="center"/>
          </w:tcPr>
          <w:p w14:paraId="3803A174">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164C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306" w:type="pct"/>
            <w:vMerge w:val="continue"/>
            <w:tcBorders>
              <w:tl2br w:val="nil"/>
              <w:tr2bl w:val="nil"/>
            </w:tcBorders>
            <w:noWrap w:val="0"/>
            <w:vAlign w:val="center"/>
          </w:tcPr>
          <w:p w14:paraId="2114BEB4">
            <w:pPr>
              <w:pStyle w:val="35"/>
              <w:keepNext w:val="0"/>
              <w:keepLines w:val="0"/>
              <w:pageBreakBefore w:val="0"/>
              <w:kinsoku w:val="0"/>
              <w:wordWrap/>
              <w:overflowPunct w:val="0"/>
              <w:topLinePunct w:val="0"/>
              <w:bidi w:val="0"/>
              <w:adjustRightInd w:val="0"/>
              <w:snapToGrid w:val="0"/>
              <w:spacing w:line="240" w:lineRule="exact"/>
              <w:ind w:left="228" w:leftChars="0" w:right="226" w:rightChars="0" w:firstLine="0" w:firstLineChars="0"/>
              <w:jc w:val="center"/>
              <w:textAlignment w:val="auto"/>
              <w:rPr>
                <w:rFonts w:hint="default" w:ascii="Times New Roman" w:hAnsi="Times New Roman" w:cs="Times New Roman"/>
                <w:color w:val="auto"/>
                <w:kern w:val="0"/>
                <w:sz w:val="21"/>
                <w:szCs w:val="21"/>
                <w:lang w:val="en-US" w:eastAsia="zh-CN" w:bidi="ar-SA"/>
              </w:rPr>
            </w:pPr>
          </w:p>
        </w:tc>
        <w:tc>
          <w:tcPr>
            <w:tcW w:w="598" w:type="pct"/>
            <w:vMerge w:val="continue"/>
            <w:tcBorders>
              <w:tl2br w:val="nil"/>
              <w:tr2bl w:val="nil"/>
            </w:tcBorders>
            <w:noWrap w:val="0"/>
            <w:vAlign w:val="center"/>
          </w:tcPr>
          <w:p w14:paraId="5B29A2CA">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32FCC6F8">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3A04191E">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1E97072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546" w:type="pct"/>
            <w:tcBorders>
              <w:tl2br w:val="nil"/>
              <w:tr2bl w:val="nil"/>
            </w:tcBorders>
            <w:noWrap w:val="0"/>
            <w:vAlign w:val="center"/>
          </w:tcPr>
          <w:p w14:paraId="73E4527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71" w:type="pct"/>
            <w:vMerge w:val="continue"/>
            <w:tcBorders>
              <w:tl2br w:val="nil"/>
              <w:tr2bl w:val="nil"/>
            </w:tcBorders>
            <w:noWrap w:val="0"/>
            <w:vAlign w:val="center"/>
          </w:tcPr>
          <w:p w14:paraId="057D1D1A">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099C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exact"/>
          <w:jc w:val="center"/>
        </w:trPr>
        <w:tc>
          <w:tcPr>
            <w:tcW w:w="4428" w:type="pct"/>
            <w:gridSpan w:val="6"/>
            <w:tcBorders>
              <w:tl2br w:val="nil"/>
              <w:tr2bl w:val="nil"/>
            </w:tcBorders>
            <w:noWrap w:val="0"/>
            <w:vAlign w:val="center"/>
          </w:tcPr>
          <w:p w14:paraId="4E85B8BE">
            <w:pPr>
              <w:pStyle w:val="35"/>
              <w:keepNext w:val="0"/>
              <w:keepLines w:val="0"/>
              <w:pageBreakBefore w:val="0"/>
              <w:kinsoku w:val="0"/>
              <w:wordWrap/>
              <w:overflowPunct w:val="0"/>
              <w:topLinePunct w:val="0"/>
              <w:bidi w:val="0"/>
              <w:adjustRightInd w:val="0"/>
              <w:snapToGrid w:val="0"/>
              <w:spacing w:line="240" w:lineRule="exact"/>
              <w:ind w:left="205" w:leftChars="0" w:right="207"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bidi="ar-SA"/>
              </w:rPr>
              <w:t>合计</w:t>
            </w:r>
          </w:p>
        </w:tc>
        <w:tc>
          <w:tcPr>
            <w:tcW w:w="571" w:type="pct"/>
            <w:tcBorders>
              <w:tl2br w:val="nil"/>
              <w:tr2bl w:val="nil"/>
            </w:tcBorders>
            <w:noWrap w:val="0"/>
            <w:vAlign w:val="center"/>
          </w:tcPr>
          <w:p w14:paraId="79BB6C2C">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r>
    </w:tbl>
    <w:p w14:paraId="618C728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（二）环境风险受体脆弱性指数(v)</w:t>
      </w:r>
    </w:p>
    <w:p w14:paraId="30532A76">
      <w:pPr>
        <w:pStyle w:val="27"/>
        <w:tabs>
          <w:tab w:val="right" w:leader="dot" w:pos="8313"/>
        </w:tabs>
        <w:adjustRightInd w:val="0"/>
        <w:snapToGrid w:val="0"/>
        <w:spacing w:line="560" w:lineRule="exact"/>
        <w:ind w:firstLine="560" w:firstLineChars="200"/>
        <w:rPr>
          <w:rFonts w:hint="default" w:ascii="Times New Roman" w:hAnsi="Times New Roman" w:cs="Times New Roman"/>
          <w:color w:val="auto"/>
        </w:rPr>
      </w:pPr>
      <w:r>
        <w:rPr>
          <w:rFonts w:hint="default" w:ascii="Times New Roman" w:hAnsi="Times New Roman" w:eastAsia="仿宋" w:cs="Times New Roman"/>
          <w:bCs/>
          <w:color w:val="auto"/>
          <w:kern w:val="0"/>
          <w:sz w:val="28"/>
          <w:szCs w:val="28"/>
          <w:lang w:val="en-US" w:eastAsia="zh-CN" w:bidi="ar-SA"/>
        </w:rPr>
        <w:t>具体内容详见6.1.</w:t>
      </w:r>
      <w:r>
        <w:rPr>
          <w:rFonts w:hint="eastAsia" w:ascii="Times New Roman" w:hAnsi="Times New Roman" w:eastAsia="仿宋" w:cs="Times New Roman"/>
          <w:bCs/>
          <w:color w:val="auto"/>
          <w:kern w:val="0"/>
          <w:sz w:val="28"/>
          <w:szCs w:val="28"/>
          <w:lang w:val="en-US" w:eastAsia="zh-CN" w:bidi="ar-SA"/>
        </w:rPr>
        <w:t>11</w:t>
      </w:r>
      <w:r>
        <w:rPr>
          <w:rFonts w:hint="default" w:ascii="Times New Roman" w:hAnsi="Times New Roman" w:eastAsia="仿宋" w:cs="Times New Roman"/>
          <w:bCs/>
          <w:color w:val="auto"/>
          <w:kern w:val="0"/>
          <w:sz w:val="28"/>
          <w:szCs w:val="28"/>
          <w:lang w:val="en-US" w:eastAsia="zh-CN" w:bidi="ar-SA"/>
        </w:rPr>
        <w:t>。</w:t>
      </w:r>
    </w:p>
    <w:p w14:paraId="2E46732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11</w:t>
      </w:r>
      <w:r>
        <w:rPr>
          <w:rFonts w:hint="default" w:ascii="Times New Roman" w:hAnsi="Times New Roman" w:eastAsia="仿宋" w:cs="Times New Roman"/>
          <w:b/>
          <w:bCs/>
          <w:color w:val="auto"/>
          <w:kern w:val="0"/>
          <w:sz w:val="24"/>
          <w:lang w:val="en-US" w:eastAsia="zh-CN"/>
        </w:rPr>
        <w:t xml:space="preserve">   综合环境风险受体脆弱性（V）评估表</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2252"/>
        <w:gridCol w:w="1460"/>
        <w:gridCol w:w="4200"/>
        <w:gridCol w:w="2335"/>
        <w:gridCol w:w="1251"/>
        <w:gridCol w:w="2285"/>
      </w:tblGrid>
      <w:tr w14:paraId="5033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53225A2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756" w:type="pct"/>
            <w:vMerge w:val="restart"/>
            <w:tcBorders>
              <w:tl2br w:val="nil"/>
              <w:tr2bl w:val="nil"/>
            </w:tcBorders>
            <w:noWrap w:val="0"/>
            <w:vAlign w:val="center"/>
          </w:tcPr>
          <w:p w14:paraId="61C02FA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评估指标</w:t>
            </w:r>
          </w:p>
        </w:tc>
        <w:tc>
          <w:tcPr>
            <w:tcW w:w="490" w:type="pct"/>
            <w:vMerge w:val="restart"/>
            <w:tcBorders>
              <w:tl2br w:val="nil"/>
              <w:tr2bl w:val="nil"/>
            </w:tcBorders>
            <w:noWrap w:val="0"/>
            <w:vAlign w:val="center"/>
          </w:tcPr>
          <w:p w14:paraId="0DE042E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w:t>
            </w:r>
          </w:p>
        </w:tc>
        <w:tc>
          <w:tcPr>
            <w:tcW w:w="2613" w:type="pct"/>
            <w:gridSpan w:val="3"/>
            <w:tcBorders>
              <w:tl2br w:val="nil"/>
              <w:tr2bl w:val="nil"/>
            </w:tcBorders>
            <w:noWrap w:val="0"/>
            <w:vAlign w:val="center"/>
          </w:tcPr>
          <w:p w14:paraId="18D1EDB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综合环境风险</w:t>
            </w:r>
          </w:p>
        </w:tc>
        <w:tc>
          <w:tcPr>
            <w:tcW w:w="767" w:type="pct"/>
            <w:vMerge w:val="restart"/>
            <w:tcBorders>
              <w:tl2br w:val="nil"/>
              <w:tr2bl w:val="nil"/>
            </w:tcBorders>
            <w:noWrap w:val="0"/>
            <w:vAlign w:val="center"/>
          </w:tcPr>
          <w:p w14:paraId="2B18FC5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r>
      <w:tr w14:paraId="4325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622C866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2BDD4E3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6D5C45F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tcBorders>
              <w:tl2br w:val="nil"/>
              <w:tr2bl w:val="nil"/>
            </w:tcBorders>
            <w:noWrap w:val="0"/>
            <w:vAlign w:val="center"/>
          </w:tcPr>
          <w:p w14:paraId="6BE9003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指标说明</w:t>
            </w:r>
          </w:p>
        </w:tc>
        <w:tc>
          <w:tcPr>
            <w:tcW w:w="784" w:type="pct"/>
            <w:tcBorders>
              <w:tl2br w:val="nil"/>
              <w:tr2bl w:val="nil"/>
            </w:tcBorders>
            <w:noWrap w:val="0"/>
            <w:vAlign w:val="center"/>
          </w:tcPr>
          <w:p w14:paraId="029F053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情</w:t>
            </w:r>
            <w:r>
              <w:rPr>
                <w:rFonts w:hint="default" w:ascii="Times New Roman" w:hAnsi="Times New Roman" w:eastAsia="仿宋" w:cs="Times New Roman"/>
                <w:color w:val="auto"/>
                <w:sz w:val="21"/>
                <w:szCs w:val="21"/>
                <w:lang w:val="en-US" w:eastAsia="zh-CN"/>
              </w:rPr>
              <w:tab/>
            </w:r>
            <w:r>
              <w:rPr>
                <w:rFonts w:hint="default" w:ascii="Times New Roman" w:hAnsi="Times New Roman" w:eastAsia="仿宋" w:cs="Times New Roman"/>
                <w:color w:val="auto"/>
                <w:sz w:val="21"/>
                <w:szCs w:val="21"/>
                <w:lang w:val="en-US" w:eastAsia="zh-CN"/>
              </w:rPr>
              <w:t>况</w:t>
            </w:r>
          </w:p>
        </w:tc>
        <w:tc>
          <w:tcPr>
            <w:tcW w:w="418" w:type="pct"/>
            <w:tcBorders>
              <w:tl2br w:val="nil"/>
              <w:tr2bl w:val="nil"/>
            </w:tcBorders>
            <w:noWrap w:val="0"/>
            <w:vAlign w:val="center"/>
          </w:tcPr>
          <w:p w14:paraId="0D28A17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分值</w:t>
            </w:r>
          </w:p>
        </w:tc>
        <w:tc>
          <w:tcPr>
            <w:tcW w:w="767" w:type="pct"/>
            <w:vMerge w:val="continue"/>
            <w:tcBorders>
              <w:tl2br w:val="nil"/>
              <w:tr2bl w:val="nil"/>
            </w:tcBorders>
            <w:noWrap w:val="0"/>
            <w:vAlign w:val="center"/>
          </w:tcPr>
          <w:p w14:paraId="364D37D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5813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72" w:type="pct"/>
            <w:vMerge w:val="restart"/>
            <w:tcBorders>
              <w:tl2br w:val="nil"/>
              <w:tr2bl w:val="nil"/>
            </w:tcBorders>
            <w:noWrap w:val="0"/>
            <w:vAlign w:val="center"/>
          </w:tcPr>
          <w:p w14:paraId="73D290A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756" w:type="pct"/>
            <w:vMerge w:val="restart"/>
            <w:tcBorders>
              <w:tl2br w:val="nil"/>
              <w:tr2bl w:val="nil"/>
            </w:tcBorders>
            <w:noWrap w:val="0"/>
            <w:vAlign w:val="center"/>
          </w:tcPr>
          <w:p w14:paraId="5E026EC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重</w:t>
            </w:r>
            <w:r>
              <w:rPr>
                <w:rFonts w:hint="default" w:ascii="Times New Roman" w:hAnsi="Times New Roman" w:eastAsia="仿宋" w:cs="Times New Roman"/>
                <w:color w:val="auto"/>
                <w:sz w:val="21"/>
                <w:szCs w:val="21"/>
                <w:lang w:val="en-US" w:eastAsia="zh-CN"/>
              </w:rPr>
              <w:t>要水体流通渠</w:t>
            </w:r>
          </w:p>
          <w:p w14:paraId="3E73B27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道水质类别</w:t>
            </w:r>
          </w:p>
        </w:tc>
        <w:tc>
          <w:tcPr>
            <w:tcW w:w="490" w:type="pct"/>
            <w:vMerge w:val="restart"/>
            <w:tcBorders>
              <w:tl2br w:val="nil"/>
              <w:tr2bl w:val="nil"/>
            </w:tcBorders>
            <w:noWrap w:val="0"/>
            <w:vAlign w:val="center"/>
          </w:tcPr>
          <w:p w14:paraId="0C1FEF0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水利部门、</w:t>
            </w:r>
          </w:p>
          <w:p w14:paraId="2406623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农业部门、</w:t>
            </w:r>
          </w:p>
          <w:p w14:paraId="57499D1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10" w:type="pct"/>
            <w:vMerge w:val="restart"/>
            <w:tcBorders>
              <w:tl2br w:val="nil"/>
              <w:tr2bl w:val="nil"/>
            </w:tcBorders>
            <w:noWrap w:val="0"/>
            <w:vAlign w:val="center"/>
          </w:tcPr>
          <w:p w14:paraId="4B2971A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河道、湖泊水质类别，如Ⅰ类、Ⅱ类、Ⅲ类、Ⅳ类、Ⅴ类、劣Ⅴ类</w:t>
            </w:r>
          </w:p>
          <w:p w14:paraId="2ED0CA8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（若存在多个水质类别，取高值）</w:t>
            </w:r>
          </w:p>
        </w:tc>
        <w:tc>
          <w:tcPr>
            <w:tcW w:w="784" w:type="pct"/>
            <w:tcBorders>
              <w:tl2br w:val="nil"/>
              <w:tr2bl w:val="nil"/>
            </w:tcBorders>
            <w:noWrap w:val="0"/>
            <w:vAlign w:val="center"/>
          </w:tcPr>
          <w:p w14:paraId="12FDDA4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Ⅰ类、Ⅱ类</w:t>
            </w:r>
          </w:p>
        </w:tc>
        <w:tc>
          <w:tcPr>
            <w:tcW w:w="418" w:type="pct"/>
            <w:tcBorders>
              <w:tl2br w:val="nil"/>
              <w:tr2bl w:val="nil"/>
            </w:tcBorders>
            <w:noWrap w:val="0"/>
            <w:vAlign w:val="center"/>
          </w:tcPr>
          <w:p w14:paraId="2CEC377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767" w:type="pct"/>
            <w:vMerge w:val="restart"/>
            <w:tcBorders>
              <w:tl2br w:val="nil"/>
              <w:tr2bl w:val="nil"/>
            </w:tcBorders>
            <w:noWrap w:val="0"/>
            <w:vAlign w:val="center"/>
          </w:tcPr>
          <w:p w14:paraId="1907072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210A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72" w:type="pct"/>
            <w:vMerge w:val="continue"/>
            <w:tcBorders>
              <w:tl2br w:val="nil"/>
              <w:tr2bl w:val="nil"/>
            </w:tcBorders>
            <w:noWrap w:val="0"/>
            <w:vAlign w:val="center"/>
          </w:tcPr>
          <w:p w14:paraId="175653B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1C5E2AF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2DD5935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06A9FB6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51CE6A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Ⅲ类、Ⅳ类</w:t>
            </w:r>
          </w:p>
        </w:tc>
        <w:tc>
          <w:tcPr>
            <w:tcW w:w="418" w:type="pct"/>
            <w:tcBorders>
              <w:tl2br w:val="nil"/>
              <w:tr2bl w:val="nil"/>
            </w:tcBorders>
            <w:noWrap w:val="0"/>
            <w:vAlign w:val="center"/>
          </w:tcPr>
          <w:p w14:paraId="78E1EFD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767" w:type="pct"/>
            <w:vMerge w:val="continue"/>
            <w:tcBorders>
              <w:tl2br w:val="nil"/>
              <w:tr2bl w:val="nil"/>
            </w:tcBorders>
            <w:noWrap w:val="0"/>
            <w:vAlign w:val="center"/>
          </w:tcPr>
          <w:p w14:paraId="4B48DE1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896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372" w:type="pct"/>
            <w:vMerge w:val="continue"/>
            <w:tcBorders>
              <w:tl2br w:val="nil"/>
              <w:tr2bl w:val="nil"/>
            </w:tcBorders>
            <w:noWrap w:val="0"/>
            <w:vAlign w:val="center"/>
          </w:tcPr>
          <w:p w14:paraId="0939CA5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FA4AEC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6EE4820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54D0E81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A83B98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Ⅴ类、劣Ⅴ类</w:t>
            </w:r>
          </w:p>
        </w:tc>
        <w:tc>
          <w:tcPr>
            <w:tcW w:w="418" w:type="pct"/>
            <w:tcBorders>
              <w:tl2br w:val="nil"/>
              <w:tr2bl w:val="nil"/>
            </w:tcBorders>
            <w:noWrap w:val="0"/>
            <w:vAlign w:val="center"/>
          </w:tcPr>
          <w:p w14:paraId="0243AEA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06F37EA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4CD9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72" w:type="pct"/>
            <w:vMerge w:val="restart"/>
            <w:tcBorders>
              <w:tl2br w:val="nil"/>
              <w:tr2bl w:val="nil"/>
            </w:tcBorders>
            <w:noWrap w:val="0"/>
            <w:vAlign w:val="center"/>
          </w:tcPr>
          <w:p w14:paraId="27036A1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756" w:type="pct"/>
            <w:vMerge w:val="restart"/>
            <w:tcBorders>
              <w:tl2br w:val="nil"/>
              <w:tr2bl w:val="nil"/>
            </w:tcBorders>
            <w:noWrap w:val="0"/>
            <w:vAlign w:val="center"/>
          </w:tcPr>
          <w:p w14:paraId="00DF228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水网密度指数</w:t>
            </w:r>
          </w:p>
        </w:tc>
        <w:tc>
          <w:tcPr>
            <w:tcW w:w="490" w:type="pct"/>
            <w:vMerge w:val="restart"/>
            <w:tcBorders>
              <w:tl2br w:val="nil"/>
              <w:tr2bl w:val="nil"/>
            </w:tcBorders>
            <w:noWrap w:val="0"/>
            <w:vAlign w:val="center"/>
          </w:tcPr>
          <w:p w14:paraId="1053508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10" w:type="pct"/>
            <w:vMerge w:val="restart"/>
            <w:tcBorders>
              <w:tl2br w:val="nil"/>
              <w:tr2bl w:val="nil"/>
            </w:tcBorders>
            <w:noWrap w:val="0"/>
            <w:vAlign w:val="center"/>
          </w:tcPr>
          <w:p w14:paraId="0BA38F6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参照《生态环境状况评价技术规范》</w:t>
            </w:r>
          </w:p>
        </w:tc>
        <w:tc>
          <w:tcPr>
            <w:tcW w:w="784" w:type="pct"/>
            <w:tcBorders>
              <w:tl2br w:val="nil"/>
              <w:tr2bl w:val="nil"/>
            </w:tcBorders>
            <w:noWrap w:val="0"/>
            <w:vAlign w:val="center"/>
          </w:tcPr>
          <w:p w14:paraId="04E64EA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&gt;50</w:t>
            </w:r>
          </w:p>
        </w:tc>
        <w:tc>
          <w:tcPr>
            <w:tcW w:w="418" w:type="pct"/>
            <w:tcBorders>
              <w:tl2br w:val="nil"/>
              <w:tr2bl w:val="nil"/>
            </w:tcBorders>
            <w:noWrap w:val="0"/>
            <w:vAlign w:val="center"/>
          </w:tcPr>
          <w:p w14:paraId="779394E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767" w:type="pct"/>
            <w:vMerge w:val="restart"/>
            <w:tcBorders>
              <w:tl2br w:val="nil"/>
              <w:tr2bl w:val="nil"/>
            </w:tcBorders>
            <w:noWrap w:val="0"/>
            <w:vAlign w:val="center"/>
          </w:tcPr>
          <w:p w14:paraId="4E36B87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r>
      <w:tr w14:paraId="3BDB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624E99A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6A839AC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6AEB86A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48DB0F5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02DDE48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50]</w:t>
            </w:r>
          </w:p>
        </w:tc>
        <w:tc>
          <w:tcPr>
            <w:tcW w:w="418" w:type="pct"/>
            <w:tcBorders>
              <w:tl2br w:val="nil"/>
              <w:tr2bl w:val="nil"/>
            </w:tcBorders>
            <w:noWrap w:val="0"/>
            <w:vAlign w:val="center"/>
          </w:tcPr>
          <w:p w14:paraId="3BD659F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767" w:type="pct"/>
            <w:vMerge w:val="continue"/>
            <w:tcBorders>
              <w:tl2br w:val="nil"/>
              <w:tr2bl w:val="nil"/>
            </w:tcBorders>
            <w:noWrap w:val="0"/>
            <w:vAlign w:val="center"/>
          </w:tcPr>
          <w:p w14:paraId="58A06A7F">
            <w:pPr>
              <w:pStyle w:val="17"/>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color w:val="auto"/>
                <w:vertAlign w:val="baseline"/>
              </w:rPr>
            </w:pPr>
          </w:p>
        </w:tc>
      </w:tr>
      <w:tr w14:paraId="71BA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72" w:type="pct"/>
            <w:vMerge w:val="continue"/>
            <w:tcBorders>
              <w:tl2br w:val="nil"/>
              <w:tr2bl w:val="nil"/>
            </w:tcBorders>
            <w:noWrap w:val="0"/>
            <w:vAlign w:val="center"/>
          </w:tcPr>
          <w:p w14:paraId="6BB54E3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7F597FF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2915759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5B63034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4DE39FF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25]</w:t>
            </w:r>
          </w:p>
        </w:tc>
        <w:tc>
          <w:tcPr>
            <w:tcW w:w="418" w:type="pct"/>
            <w:tcBorders>
              <w:tl2br w:val="nil"/>
              <w:tr2bl w:val="nil"/>
            </w:tcBorders>
            <w:noWrap w:val="0"/>
            <w:vAlign w:val="center"/>
          </w:tcPr>
          <w:p w14:paraId="7581397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1349558C">
            <w:pPr>
              <w:pStyle w:val="17"/>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color w:val="auto"/>
                <w:vertAlign w:val="baseline"/>
              </w:rPr>
            </w:pPr>
          </w:p>
        </w:tc>
      </w:tr>
      <w:tr w14:paraId="5176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0CBE4D7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756" w:type="pct"/>
            <w:vMerge w:val="restart"/>
            <w:tcBorders>
              <w:tl2br w:val="nil"/>
              <w:tr2bl w:val="nil"/>
            </w:tcBorders>
            <w:noWrap w:val="0"/>
            <w:vAlign w:val="center"/>
          </w:tcPr>
          <w:p w14:paraId="37ED0FA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单位面积常住人口数量（人/平方公里）</w:t>
            </w:r>
          </w:p>
        </w:tc>
        <w:tc>
          <w:tcPr>
            <w:tcW w:w="490" w:type="pct"/>
            <w:vMerge w:val="restart"/>
            <w:tcBorders>
              <w:tl2br w:val="nil"/>
              <w:tr2bl w:val="nil"/>
            </w:tcBorders>
            <w:noWrap w:val="0"/>
            <w:vAlign w:val="center"/>
          </w:tcPr>
          <w:p w14:paraId="3AAC6FD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统计部门</w:t>
            </w:r>
          </w:p>
        </w:tc>
        <w:tc>
          <w:tcPr>
            <w:tcW w:w="1410" w:type="pct"/>
            <w:vMerge w:val="restart"/>
            <w:tcBorders>
              <w:tl2br w:val="nil"/>
              <w:tr2bl w:val="nil"/>
            </w:tcBorders>
            <w:noWrap w:val="0"/>
            <w:vAlign w:val="center"/>
          </w:tcPr>
          <w:p w14:paraId="2158261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常住</w:t>
            </w:r>
            <w:r>
              <w:rPr>
                <w:rFonts w:hint="default" w:ascii="Times New Roman" w:hAnsi="Times New Roman" w:eastAsia="仿宋" w:cs="Times New Roman"/>
                <w:color w:val="auto"/>
                <w:sz w:val="21"/>
                <w:szCs w:val="21"/>
                <w:highlight w:val="none"/>
                <w:lang w:val="en-US" w:eastAsia="zh-CN"/>
              </w:rPr>
              <w:t>人口数量与评估区域总面积的比值</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单位</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人/平方公里</w:t>
            </w:r>
          </w:p>
        </w:tc>
        <w:tc>
          <w:tcPr>
            <w:tcW w:w="784" w:type="pct"/>
            <w:tcBorders>
              <w:tl2br w:val="nil"/>
              <w:tr2bl w:val="nil"/>
            </w:tcBorders>
            <w:noWrap w:val="0"/>
            <w:vAlign w:val="center"/>
          </w:tcPr>
          <w:p w14:paraId="5B584FE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&gt;1500</w:t>
            </w:r>
          </w:p>
        </w:tc>
        <w:tc>
          <w:tcPr>
            <w:tcW w:w="418" w:type="pct"/>
            <w:tcBorders>
              <w:tl2br w:val="nil"/>
              <w:tr2bl w:val="nil"/>
            </w:tcBorders>
            <w:noWrap w:val="0"/>
            <w:vAlign w:val="center"/>
          </w:tcPr>
          <w:p w14:paraId="375AD04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767" w:type="pct"/>
            <w:vMerge w:val="restart"/>
            <w:tcBorders>
              <w:tl2br w:val="nil"/>
              <w:tr2bl w:val="nil"/>
            </w:tcBorders>
            <w:noWrap w:val="0"/>
            <w:vAlign w:val="center"/>
          </w:tcPr>
          <w:p w14:paraId="6F3091E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r>
      <w:tr w14:paraId="04CF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7D15E7D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7C51E4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3683FF4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2A6B8C6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610BC68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[1000，1500)</w:t>
            </w:r>
          </w:p>
        </w:tc>
        <w:tc>
          <w:tcPr>
            <w:tcW w:w="418" w:type="pct"/>
            <w:tcBorders>
              <w:tl2br w:val="nil"/>
              <w:tr2bl w:val="nil"/>
            </w:tcBorders>
            <w:noWrap w:val="0"/>
            <w:vAlign w:val="center"/>
          </w:tcPr>
          <w:p w14:paraId="44A6D8B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767" w:type="pct"/>
            <w:vMerge w:val="continue"/>
            <w:tcBorders>
              <w:tl2br w:val="nil"/>
              <w:tr2bl w:val="nil"/>
            </w:tcBorders>
            <w:noWrap w:val="0"/>
            <w:vAlign w:val="center"/>
          </w:tcPr>
          <w:p w14:paraId="1915A08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F82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41D9933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6B5C825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7CB1DF5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1BB29A9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61AEC6C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[500，1000)</w:t>
            </w:r>
          </w:p>
        </w:tc>
        <w:tc>
          <w:tcPr>
            <w:tcW w:w="418" w:type="pct"/>
            <w:tcBorders>
              <w:tl2br w:val="nil"/>
              <w:tr2bl w:val="nil"/>
            </w:tcBorders>
            <w:noWrap w:val="0"/>
            <w:vAlign w:val="center"/>
          </w:tcPr>
          <w:p w14:paraId="0BA2EA6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767" w:type="pct"/>
            <w:vMerge w:val="continue"/>
            <w:tcBorders>
              <w:tl2br w:val="nil"/>
              <w:tr2bl w:val="nil"/>
            </w:tcBorders>
            <w:noWrap w:val="0"/>
            <w:vAlign w:val="center"/>
          </w:tcPr>
          <w:p w14:paraId="305F1D8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0F64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3DB1D9C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67F1C43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75BC85C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1B7D425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526B54A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＜500</w:t>
            </w:r>
          </w:p>
        </w:tc>
        <w:tc>
          <w:tcPr>
            <w:tcW w:w="418" w:type="pct"/>
            <w:tcBorders>
              <w:tl2br w:val="nil"/>
              <w:tr2bl w:val="nil"/>
            </w:tcBorders>
            <w:noWrap w:val="0"/>
            <w:vAlign w:val="center"/>
          </w:tcPr>
          <w:p w14:paraId="6325F49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6C793CA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923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328795F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756" w:type="pct"/>
            <w:vMerge w:val="restart"/>
            <w:tcBorders>
              <w:tl2br w:val="nil"/>
              <w:tr2bl w:val="nil"/>
            </w:tcBorders>
            <w:noWrap w:val="0"/>
            <w:vAlign w:val="center"/>
          </w:tcPr>
          <w:p w14:paraId="13A5BF4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单位面积环境风险受体数量</w:t>
            </w:r>
          </w:p>
          <w:p w14:paraId="2AB6D9A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（个/平方公里）</w:t>
            </w:r>
          </w:p>
        </w:tc>
        <w:tc>
          <w:tcPr>
            <w:tcW w:w="490" w:type="pct"/>
            <w:vMerge w:val="restart"/>
            <w:tcBorders>
              <w:tl2br w:val="nil"/>
              <w:tr2bl w:val="nil"/>
            </w:tcBorders>
            <w:noWrap w:val="0"/>
            <w:vAlign w:val="center"/>
          </w:tcPr>
          <w:p w14:paraId="7E81E38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10" w:type="pct"/>
            <w:vMerge w:val="restart"/>
            <w:tcBorders>
              <w:tl2br w:val="nil"/>
              <w:tr2bl w:val="nil"/>
            </w:tcBorders>
            <w:noWrap w:val="0"/>
            <w:vAlign w:val="center"/>
          </w:tcPr>
          <w:p w14:paraId="6DA1BE0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单位面积中环境风险受体数量，</w:t>
            </w:r>
          </w:p>
          <w:p w14:paraId="1892647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单位：个/平方公里</w:t>
            </w:r>
          </w:p>
        </w:tc>
        <w:tc>
          <w:tcPr>
            <w:tcW w:w="784" w:type="pct"/>
            <w:tcBorders>
              <w:tl2br w:val="nil"/>
              <w:tr2bl w:val="nil"/>
            </w:tcBorders>
            <w:noWrap w:val="0"/>
            <w:vAlign w:val="center"/>
          </w:tcPr>
          <w:p w14:paraId="78614A9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≥0.5</w:t>
            </w:r>
          </w:p>
        </w:tc>
        <w:tc>
          <w:tcPr>
            <w:tcW w:w="418" w:type="pct"/>
            <w:tcBorders>
              <w:tl2br w:val="nil"/>
              <w:tr2bl w:val="nil"/>
            </w:tcBorders>
            <w:noWrap w:val="0"/>
            <w:vAlign w:val="center"/>
          </w:tcPr>
          <w:p w14:paraId="29B3CEC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767" w:type="pct"/>
            <w:vMerge w:val="restart"/>
            <w:tcBorders>
              <w:tl2br w:val="nil"/>
              <w:tr2bl w:val="nil"/>
            </w:tcBorders>
            <w:noWrap w:val="0"/>
            <w:vAlign w:val="center"/>
          </w:tcPr>
          <w:p w14:paraId="67112EC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r>
      <w:tr w14:paraId="4DE8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10B2380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5FD4568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45ECEED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06C4FFD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32C39F3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[0.1-0.5)</w:t>
            </w:r>
          </w:p>
        </w:tc>
        <w:tc>
          <w:tcPr>
            <w:tcW w:w="418" w:type="pct"/>
            <w:tcBorders>
              <w:tl2br w:val="nil"/>
              <w:tr2bl w:val="nil"/>
            </w:tcBorders>
            <w:noWrap w:val="0"/>
            <w:vAlign w:val="center"/>
          </w:tcPr>
          <w:p w14:paraId="09130A7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767" w:type="pct"/>
            <w:vMerge w:val="continue"/>
            <w:tcBorders>
              <w:tl2br w:val="nil"/>
              <w:tr2bl w:val="nil"/>
            </w:tcBorders>
            <w:noWrap w:val="0"/>
            <w:vAlign w:val="center"/>
          </w:tcPr>
          <w:p w14:paraId="4111BD00">
            <w:pPr>
              <w:pStyle w:val="17"/>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color w:val="auto"/>
                <w:vertAlign w:val="baseline"/>
              </w:rPr>
            </w:pPr>
          </w:p>
        </w:tc>
      </w:tr>
      <w:tr w14:paraId="5739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5ADE605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76E3485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0951205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230CF8D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786FAE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[0.01-0.1)</w:t>
            </w:r>
          </w:p>
        </w:tc>
        <w:tc>
          <w:tcPr>
            <w:tcW w:w="418" w:type="pct"/>
            <w:tcBorders>
              <w:tl2br w:val="nil"/>
              <w:tr2bl w:val="nil"/>
            </w:tcBorders>
            <w:noWrap w:val="0"/>
            <w:vAlign w:val="center"/>
          </w:tcPr>
          <w:p w14:paraId="64DC32D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767" w:type="pct"/>
            <w:vMerge w:val="continue"/>
            <w:tcBorders>
              <w:tl2br w:val="nil"/>
              <w:tr2bl w:val="nil"/>
            </w:tcBorders>
            <w:noWrap w:val="0"/>
            <w:vAlign w:val="center"/>
          </w:tcPr>
          <w:p w14:paraId="68039E29">
            <w:pPr>
              <w:pStyle w:val="17"/>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color w:val="auto"/>
                <w:vertAlign w:val="baseline"/>
              </w:rPr>
            </w:pPr>
          </w:p>
        </w:tc>
      </w:tr>
      <w:tr w14:paraId="03B3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495A36E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EA212B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7852677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580653D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01DB6F3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w:t>
            </w:r>
          </w:p>
        </w:tc>
        <w:tc>
          <w:tcPr>
            <w:tcW w:w="418" w:type="pct"/>
            <w:tcBorders>
              <w:tl2br w:val="nil"/>
              <w:tr2bl w:val="nil"/>
            </w:tcBorders>
            <w:noWrap w:val="0"/>
            <w:vAlign w:val="center"/>
          </w:tcPr>
          <w:p w14:paraId="067D92E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096014EE">
            <w:pPr>
              <w:pStyle w:val="17"/>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color w:val="auto"/>
                <w:vertAlign w:val="baseline"/>
              </w:rPr>
            </w:pPr>
          </w:p>
        </w:tc>
      </w:tr>
      <w:tr w14:paraId="4F62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4DB4804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756" w:type="pct"/>
            <w:vMerge w:val="restart"/>
            <w:tcBorders>
              <w:tl2br w:val="nil"/>
              <w:tr2bl w:val="nil"/>
            </w:tcBorders>
            <w:noWrap w:val="0"/>
            <w:vAlign w:val="center"/>
          </w:tcPr>
          <w:p w14:paraId="4C2FB1D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乡镇及以上集中式饮用水水源地数量</w:t>
            </w:r>
          </w:p>
        </w:tc>
        <w:tc>
          <w:tcPr>
            <w:tcW w:w="490" w:type="pct"/>
            <w:vMerge w:val="restart"/>
            <w:tcBorders>
              <w:tl2br w:val="nil"/>
              <w:tr2bl w:val="nil"/>
            </w:tcBorders>
            <w:noWrap w:val="0"/>
            <w:vAlign w:val="center"/>
          </w:tcPr>
          <w:p w14:paraId="7C37500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地方政府</w:t>
            </w:r>
          </w:p>
          <w:p w14:paraId="5440741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10" w:type="pct"/>
            <w:vMerge w:val="restart"/>
            <w:tcBorders>
              <w:tl2br w:val="nil"/>
              <w:tr2bl w:val="nil"/>
            </w:tcBorders>
            <w:noWrap w:val="0"/>
            <w:vAlign w:val="center"/>
          </w:tcPr>
          <w:p w14:paraId="5B086B8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提供居民生活及公共服务用水的水源地的个数，包括河流、湖泊水库等，</w:t>
            </w:r>
          </w:p>
          <w:p w14:paraId="208744E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单位：个</w:t>
            </w:r>
          </w:p>
        </w:tc>
        <w:tc>
          <w:tcPr>
            <w:tcW w:w="784" w:type="pct"/>
            <w:tcBorders>
              <w:tl2br w:val="nil"/>
              <w:tr2bl w:val="nil"/>
            </w:tcBorders>
            <w:noWrap w:val="0"/>
            <w:vAlign w:val="center"/>
          </w:tcPr>
          <w:p w14:paraId="1F656A7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&gt;1</w:t>
            </w:r>
          </w:p>
        </w:tc>
        <w:tc>
          <w:tcPr>
            <w:tcW w:w="418" w:type="pct"/>
            <w:tcBorders>
              <w:tl2br w:val="nil"/>
              <w:tr2bl w:val="nil"/>
            </w:tcBorders>
            <w:noWrap w:val="0"/>
            <w:vAlign w:val="center"/>
          </w:tcPr>
          <w:p w14:paraId="7DEE264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767" w:type="pct"/>
            <w:vMerge w:val="restart"/>
            <w:tcBorders>
              <w:tl2br w:val="nil"/>
              <w:tr2bl w:val="nil"/>
            </w:tcBorders>
            <w:noWrap w:val="0"/>
            <w:vAlign w:val="center"/>
          </w:tcPr>
          <w:p w14:paraId="634B9F2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r>
      <w:tr w14:paraId="5E77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1E589BF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516E1D6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613E540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6678219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055737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10]</w:t>
            </w:r>
          </w:p>
        </w:tc>
        <w:tc>
          <w:tcPr>
            <w:tcW w:w="418" w:type="pct"/>
            <w:tcBorders>
              <w:tl2br w:val="nil"/>
              <w:tr2bl w:val="nil"/>
            </w:tcBorders>
            <w:noWrap w:val="0"/>
            <w:vAlign w:val="center"/>
          </w:tcPr>
          <w:p w14:paraId="79F4B28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767" w:type="pct"/>
            <w:vMerge w:val="continue"/>
            <w:tcBorders>
              <w:tl2br w:val="nil"/>
              <w:tr2bl w:val="nil"/>
            </w:tcBorders>
            <w:noWrap w:val="0"/>
            <w:vAlign w:val="center"/>
          </w:tcPr>
          <w:p w14:paraId="53032E0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6A7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68588F0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5E87D28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06842D7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54B9FD5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6832AF4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4]</w:t>
            </w:r>
          </w:p>
        </w:tc>
        <w:tc>
          <w:tcPr>
            <w:tcW w:w="418" w:type="pct"/>
            <w:tcBorders>
              <w:tl2br w:val="nil"/>
              <w:tr2bl w:val="nil"/>
            </w:tcBorders>
            <w:noWrap w:val="0"/>
            <w:vAlign w:val="center"/>
          </w:tcPr>
          <w:p w14:paraId="09F3F65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767" w:type="pct"/>
            <w:vMerge w:val="continue"/>
            <w:tcBorders>
              <w:tl2br w:val="nil"/>
              <w:tr2bl w:val="nil"/>
            </w:tcBorders>
            <w:noWrap w:val="0"/>
            <w:vAlign w:val="center"/>
          </w:tcPr>
          <w:p w14:paraId="2351ED3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E70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5A855F9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3F5FAD4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7863F6D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5349AB2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57A51B2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18" w:type="pct"/>
            <w:tcBorders>
              <w:tl2br w:val="nil"/>
              <w:tr2bl w:val="nil"/>
            </w:tcBorders>
            <w:noWrap w:val="0"/>
            <w:vAlign w:val="center"/>
          </w:tcPr>
          <w:p w14:paraId="04C2F1D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03D2A29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771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65D4807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756" w:type="pct"/>
            <w:vMerge w:val="restart"/>
            <w:tcBorders>
              <w:tl2br w:val="nil"/>
              <w:tr2bl w:val="nil"/>
            </w:tcBorders>
            <w:noWrap w:val="0"/>
            <w:vAlign w:val="center"/>
          </w:tcPr>
          <w:p w14:paraId="1DAC0AF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乡镇及以上集中式饮用水水源地服务人口数量</w:t>
            </w:r>
          </w:p>
        </w:tc>
        <w:tc>
          <w:tcPr>
            <w:tcW w:w="490" w:type="pct"/>
            <w:vMerge w:val="restart"/>
            <w:tcBorders>
              <w:tl2br w:val="nil"/>
              <w:tr2bl w:val="nil"/>
            </w:tcBorders>
            <w:noWrap w:val="0"/>
            <w:vAlign w:val="center"/>
          </w:tcPr>
          <w:p w14:paraId="63F4578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地方政府</w:t>
            </w:r>
          </w:p>
        </w:tc>
        <w:tc>
          <w:tcPr>
            <w:tcW w:w="1410" w:type="pct"/>
            <w:vMerge w:val="restart"/>
            <w:tcBorders>
              <w:tl2br w:val="nil"/>
              <w:tr2bl w:val="nil"/>
            </w:tcBorders>
            <w:noWrap w:val="0"/>
            <w:vAlign w:val="center"/>
          </w:tcPr>
          <w:p w14:paraId="1F7A2A6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以乡镇及以上饮用水水源地为取水来源的人口数量，单位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万人</w:t>
            </w:r>
          </w:p>
        </w:tc>
        <w:tc>
          <w:tcPr>
            <w:tcW w:w="784" w:type="pct"/>
            <w:tcBorders>
              <w:tl2br w:val="nil"/>
              <w:tr2bl w:val="nil"/>
            </w:tcBorders>
            <w:noWrap w:val="0"/>
            <w:vAlign w:val="center"/>
          </w:tcPr>
          <w:p w14:paraId="227C30B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&gt;10</w:t>
            </w:r>
          </w:p>
        </w:tc>
        <w:tc>
          <w:tcPr>
            <w:tcW w:w="418" w:type="pct"/>
            <w:tcBorders>
              <w:tl2br w:val="nil"/>
              <w:tr2bl w:val="nil"/>
            </w:tcBorders>
            <w:noWrap w:val="0"/>
            <w:vAlign w:val="center"/>
          </w:tcPr>
          <w:p w14:paraId="087526E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767" w:type="pct"/>
            <w:vMerge w:val="restart"/>
            <w:tcBorders>
              <w:tl2br w:val="nil"/>
              <w:tr2bl w:val="nil"/>
            </w:tcBorders>
            <w:noWrap w:val="0"/>
            <w:vAlign w:val="center"/>
          </w:tcPr>
          <w:p w14:paraId="7A40149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r>
      <w:tr w14:paraId="2EB4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04DF30A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631AEEB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565815D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0C3682B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6CA260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10]</w:t>
            </w:r>
          </w:p>
        </w:tc>
        <w:tc>
          <w:tcPr>
            <w:tcW w:w="418" w:type="pct"/>
            <w:tcBorders>
              <w:tl2br w:val="nil"/>
              <w:tr2bl w:val="nil"/>
            </w:tcBorders>
            <w:noWrap w:val="0"/>
            <w:vAlign w:val="center"/>
          </w:tcPr>
          <w:p w14:paraId="4834652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767" w:type="pct"/>
            <w:vMerge w:val="continue"/>
            <w:tcBorders>
              <w:tl2br w:val="nil"/>
              <w:tr2bl w:val="nil"/>
            </w:tcBorders>
            <w:noWrap w:val="0"/>
            <w:vAlign w:val="center"/>
          </w:tcPr>
          <w:p w14:paraId="73C40DD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4104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07132DE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701D570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30A6EE1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4877ABC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7358A0B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7]</w:t>
            </w:r>
          </w:p>
        </w:tc>
        <w:tc>
          <w:tcPr>
            <w:tcW w:w="418" w:type="pct"/>
            <w:tcBorders>
              <w:tl2br w:val="nil"/>
              <w:tr2bl w:val="nil"/>
            </w:tcBorders>
            <w:noWrap w:val="0"/>
            <w:vAlign w:val="center"/>
          </w:tcPr>
          <w:p w14:paraId="533B85B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767" w:type="pct"/>
            <w:vMerge w:val="continue"/>
            <w:tcBorders>
              <w:tl2br w:val="nil"/>
              <w:tr2bl w:val="nil"/>
            </w:tcBorders>
            <w:noWrap w:val="0"/>
            <w:vAlign w:val="center"/>
          </w:tcPr>
          <w:p w14:paraId="496E36F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676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7671693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520EB6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4931690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62BE2D8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47A2E40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18" w:type="pct"/>
            <w:tcBorders>
              <w:tl2br w:val="nil"/>
              <w:tr2bl w:val="nil"/>
            </w:tcBorders>
            <w:noWrap w:val="0"/>
            <w:vAlign w:val="center"/>
          </w:tcPr>
          <w:p w14:paraId="34D0A7F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5C08056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C57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3F54196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756" w:type="pct"/>
            <w:vMerge w:val="restart"/>
            <w:tcBorders>
              <w:tl2br w:val="nil"/>
              <w:tr2bl w:val="nil"/>
            </w:tcBorders>
            <w:noWrap w:val="0"/>
            <w:vAlign w:val="center"/>
          </w:tcPr>
          <w:p w14:paraId="5811A87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人均GDP水平</w:t>
            </w:r>
          </w:p>
        </w:tc>
        <w:tc>
          <w:tcPr>
            <w:tcW w:w="490" w:type="pct"/>
            <w:vMerge w:val="restart"/>
            <w:tcBorders>
              <w:tl2br w:val="nil"/>
              <w:tr2bl w:val="nil"/>
            </w:tcBorders>
            <w:noWrap w:val="0"/>
            <w:vAlign w:val="center"/>
          </w:tcPr>
          <w:p w14:paraId="7EAC1D5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统计部门</w:t>
            </w:r>
          </w:p>
        </w:tc>
        <w:tc>
          <w:tcPr>
            <w:tcW w:w="1410" w:type="pct"/>
            <w:vMerge w:val="restart"/>
            <w:tcBorders>
              <w:tl2br w:val="nil"/>
              <w:tr2bl w:val="nil"/>
            </w:tcBorders>
            <w:noWrap w:val="0"/>
            <w:vAlign w:val="center"/>
          </w:tcPr>
          <w:p w14:paraId="5B57F9F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评估区域所在地市或区县上一年度 GDP与当地常住人口数量的比值，</w:t>
            </w:r>
          </w:p>
          <w:p w14:paraId="3B492F5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万元/人</w:t>
            </w:r>
          </w:p>
        </w:tc>
        <w:tc>
          <w:tcPr>
            <w:tcW w:w="784" w:type="pct"/>
            <w:tcBorders>
              <w:tl2br w:val="nil"/>
              <w:tr2bl w:val="nil"/>
            </w:tcBorders>
            <w:noWrap w:val="0"/>
            <w:vAlign w:val="center"/>
          </w:tcPr>
          <w:p w14:paraId="10FE4CF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18" w:type="pct"/>
            <w:tcBorders>
              <w:tl2br w:val="nil"/>
              <w:tr2bl w:val="nil"/>
            </w:tcBorders>
            <w:noWrap w:val="0"/>
            <w:vAlign w:val="center"/>
          </w:tcPr>
          <w:p w14:paraId="2D65ED5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767" w:type="pct"/>
            <w:vMerge w:val="restart"/>
            <w:tcBorders>
              <w:tl2br w:val="nil"/>
              <w:tr2bl w:val="nil"/>
            </w:tcBorders>
            <w:noWrap w:val="0"/>
            <w:vAlign w:val="center"/>
          </w:tcPr>
          <w:p w14:paraId="7A712B8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60A0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1B6BE63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67CC9C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18368F3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1F1E1C9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6EFC72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5)</w:t>
            </w:r>
          </w:p>
        </w:tc>
        <w:tc>
          <w:tcPr>
            <w:tcW w:w="418" w:type="pct"/>
            <w:tcBorders>
              <w:tl2br w:val="nil"/>
              <w:tr2bl w:val="nil"/>
            </w:tcBorders>
            <w:noWrap w:val="0"/>
            <w:vAlign w:val="center"/>
          </w:tcPr>
          <w:p w14:paraId="0EDD8EC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767" w:type="pct"/>
            <w:vMerge w:val="continue"/>
            <w:tcBorders>
              <w:tl2br w:val="nil"/>
              <w:tr2bl w:val="nil"/>
            </w:tcBorders>
            <w:noWrap w:val="0"/>
            <w:vAlign w:val="center"/>
          </w:tcPr>
          <w:p w14:paraId="1098E2F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EB1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303188A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551D18A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689759A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11DDB5C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D518A1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10)</w:t>
            </w:r>
          </w:p>
        </w:tc>
        <w:tc>
          <w:tcPr>
            <w:tcW w:w="418" w:type="pct"/>
            <w:tcBorders>
              <w:tl2br w:val="nil"/>
              <w:tr2bl w:val="nil"/>
            </w:tcBorders>
            <w:noWrap w:val="0"/>
            <w:vAlign w:val="center"/>
          </w:tcPr>
          <w:p w14:paraId="0F3F6FB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767" w:type="pct"/>
            <w:vMerge w:val="continue"/>
            <w:tcBorders>
              <w:tl2br w:val="nil"/>
              <w:tr2bl w:val="nil"/>
            </w:tcBorders>
            <w:noWrap w:val="0"/>
            <w:vAlign w:val="center"/>
          </w:tcPr>
          <w:p w14:paraId="1C4C2F4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5DD6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24486FB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59A6C4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0A75B51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6AAD701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4D11B4A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418" w:type="pct"/>
            <w:tcBorders>
              <w:tl2br w:val="nil"/>
              <w:tr2bl w:val="nil"/>
            </w:tcBorders>
            <w:noWrap w:val="0"/>
            <w:vAlign w:val="center"/>
          </w:tcPr>
          <w:p w14:paraId="1B5DD4B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5133081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5E5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2" w:type="pct"/>
            <w:gridSpan w:val="6"/>
            <w:tcBorders>
              <w:tl2br w:val="nil"/>
              <w:tr2bl w:val="nil"/>
            </w:tcBorders>
            <w:noWrap w:val="0"/>
            <w:vAlign w:val="center"/>
          </w:tcPr>
          <w:p w14:paraId="475106D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kern w:val="0"/>
                <w:sz w:val="21"/>
                <w:szCs w:val="21"/>
                <w:lang w:val="en-US" w:eastAsia="zh-CN" w:bidi="ar-SA"/>
              </w:rPr>
              <w:t>合计</w:t>
            </w:r>
          </w:p>
        </w:tc>
        <w:tc>
          <w:tcPr>
            <w:tcW w:w="767" w:type="pct"/>
            <w:tcBorders>
              <w:tl2br w:val="nil"/>
              <w:tr2bl w:val="nil"/>
            </w:tcBorders>
            <w:noWrap w:val="0"/>
            <w:vAlign w:val="center"/>
          </w:tcPr>
          <w:p w14:paraId="65D75C1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24</w:t>
            </w:r>
          </w:p>
        </w:tc>
      </w:tr>
    </w:tbl>
    <w:p w14:paraId="0A7B4153">
      <w:pPr>
        <w:ind w:firstLine="480"/>
        <w:outlineLvl w:val="9"/>
        <w:rPr>
          <w:rFonts w:hint="default" w:ascii="Times New Roman" w:hAnsi="Times New Roman" w:cs="Times New Roman"/>
          <w:color w:val="auto"/>
          <w:spacing w:val="-2"/>
          <w:sz w:val="28"/>
          <w:szCs w:val="28"/>
          <w:lang w:eastAsia="zh-CN"/>
        </w:rPr>
      </w:pPr>
    </w:p>
    <w:p w14:paraId="2C54B644">
      <w:pPr>
        <w:ind w:firstLine="480"/>
        <w:outlineLvl w:val="9"/>
        <w:rPr>
          <w:rFonts w:hint="default" w:ascii="Times New Roman" w:hAnsi="Times New Roman" w:cs="Times New Roman"/>
          <w:color w:val="auto"/>
          <w:spacing w:val="-2"/>
          <w:sz w:val="28"/>
          <w:szCs w:val="28"/>
          <w:lang w:eastAsia="zh-CN"/>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50DFB45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（三）环境风险防控与应急能力指数(M）</w:t>
      </w:r>
    </w:p>
    <w:p w14:paraId="499AB86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综合环境风险防控与应急能力指数的计算采用评分法对其进行量化，评估指标及分值见下表。</w:t>
      </w:r>
    </w:p>
    <w:p w14:paraId="2E61CD6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-1</w:t>
      </w:r>
      <w:r>
        <w:rPr>
          <w:rFonts w:hint="default"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 xml:space="preserve">   综合环境风险防控与应急能力指数（M）评估表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1304"/>
        <w:gridCol w:w="1424"/>
        <w:gridCol w:w="3607"/>
        <w:gridCol w:w="4220"/>
        <w:gridCol w:w="1230"/>
        <w:gridCol w:w="2052"/>
      </w:tblGrid>
      <w:tr w14:paraId="32FC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noWrap w:val="0"/>
            <w:vAlign w:val="center"/>
          </w:tcPr>
          <w:p w14:paraId="585F5CF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438" w:type="pct"/>
            <w:vMerge w:val="restart"/>
            <w:tcBorders>
              <w:tl2br w:val="nil"/>
              <w:tr2bl w:val="nil"/>
            </w:tcBorders>
            <w:noWrap w:val="0"/>
            <w:vAlign w:val="center"/>
          </w:tcPr>
          <w:p w14:paraId="6CDE169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评估指标</w:t>
            </w:r>
          </w:p>
        </w:tc>
        <w:tc>
          <w:tcPr>
            <w:tcW w:w="478" w:type="pct"/>
            <w:vMerge w:val="restart"/>
            <w:tcBorders>
              <w:tl2br w:val="nil"/>
              <w:tr2bl w:val="nil"/>
            </w:tcBorders>
            <w:noWrap w:val="0"/>
            <w:vAlign w:val="center"/>
          </w:tcPr>
          <w:p w14:paraId="36583B0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w:t>
            </w:r>
          </w:p>
        </w:tc>
        <w:tc>
          <w:tcPr>
            <w:tcW w:w="3040" w:type="pct"/>
            <w:gridSpan w:val="3"/>
            <w:tcBorders>
              <w:tl2br w:val="nil"/>
              <w:tr2bl w:val="nil"/>
            </w:tcBorders>
            <w:noWrap w:val="0"/>
            <w:vAlign w:val="center"/>
          </w:tcPr>
          <w:p w14:paraId="1D228DD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综合环境风险</w:t>
            </w:r>
          </w:p>
        </w:tc>
        <w:tc>
          <w:tcPr>
            <w:tcW w:w="689" w:type="pct"/>
            <w:vMerge w:val="restart"/>
            <w:tcBorders>
              <w:tl2br w:val="nil"/>
              <w:tr2bl w:val="nil"/>
            </w:tcBorders>
            <w:noWrap w:val="0"/>
            <w:vAlign w:val="center"/>
          </w:tcPr>
          <w:p w14:paraId="1FDB0D7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r>
      <w:tr w14:paraId="2FCE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7516CDF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2382AE6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579D2FD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tcBorders>
              <w:tl2br w:val="nil"/>
              <w:tr2bl w:val="nil"/>
            </w:tcBorders>
            <w:noWrap w:val="0"/>
            <w:vAlign w:val="center"/>
          </w:tcPr>
          <w:p w14:paraId="3DC260D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指标说明</w:t>
            </w:r>
          </w:p>
        </w:tc>
        <w:tc>
          <w:tcPr>
            <w:tcW w:w="1417" w:type="pct"/>
            <w:tcBorders>
              <w:tl2br w:val="nil"/>
              <w:tr2bl w:val="nil"/>
            </w:tcBorders>
            <w:noWrap w:val="0"/>
            <w:vAlign w:val="center"/>
          </w:tcPr>
          <w:p w14:paraId="52869FD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情</w:t>
            </w:r>
            <w:r>
              <w:rPr>
                <w:rFonts w:hint="default" w:ascii="Times New Roman" w:hAnsi="Times New Roman" w:eastAsia="仿宋" w:cs="Times New Roman"/>
                <w:color w:val="auto"/>
                <w:sz w:val="21"/>
                <w:szCs w:val="21"/>
                <w:lang w:val="en-US" w:eastAsia="zh-CN"/>
              </w:rPr>
              <w:tab/>
            </w:r>
            <w:r>
              <w:rPr>
                <w:rFonts w:hint="default" w:ascii="Times New Roman" w:hAnsi="Times New Roman" w:eastAsia="仿宋" w:cs="Times New Roman"/>
                <w:color w:val="auto"/>
                <w:sz w:val="21"/>
                <w:szCs w:val="21"/>
                <w:lang w:val="en-US" w:eastAsia="zh-CN"/>
              </w:rPr>
              <w:t>况</w:t>
            </w:r>
          </w:p>
        </w:tc>
        <w:tc>
          <w:tcPr>
            <w:tcW w:w="410" w:type="pct"/>
            <w:tcBorders>
              <w:tl2br w:val="nil"/>
              <w:tr2bl w:val="nil"/>
            </w:tcBorders>
            <w:noWrap w:val="0"/>
            <w:vAlign w:val="center"/>
          </w:tcPr>
          <w:p w14:paraId="3CFD3F3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分值</w:t>
            </w:r>
          </w:p>
        </w:tc>
        <w:tc>
          <w:tcPr>
            <w:tcW w:w="689" w:type="pct"/>
            <w:vMerge w:val="continue"/>
            <w:tcBorders>
              <w:tl2br w:val="nil"/>
              <w:tr2bl w:val="nil"/>
            </w:tcBorders>
            <w:noWrap w:val="0"/>
            <w:vAlign w:val="center"/>
          </w:tcPr>
          <w:p w14:paraId="2E3DDB8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0723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noWrap w:val="0"/>
            <w:vAlign w:val="center"/>
          </w:tcPr>
          <w:p w14:paraId="46E8886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438" w:type="pct"/>
            <w:vMerge w:val="restart"/>
            <w:tcBorders>
              <w:tl2br w:val="nil"/>
              <w:tr2bl w:val="nil"/>
            </w:tcBorders>
            <w:noWrap w:val="0"/>
            <w:vAlign w:val="center"/>
          </w:tcPr>
          <w:p w14:paraId="00BECF2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监测预警能力</w:t>
            </w:r>
          </w:p>
        </w:tc>
        <w:tc>
          <w:tcPr>
            <w:tcW w:w="478" w:type="pct"/>
            <w:vMerge w:val="restart"/>
            <w:tcBorders>
              <w:tl2br w:val="nil"/>
              <w:tr2bl w:val="nil"/>
            </w:tcBorders>
            <w:noWrap w:val="0"/>
            <w:vAlign w:val="center"/>
          </w:tcPr>
          <w:p w14:paraId="7C84073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211" w:type="pct"/>
            <w:vMerge w:val="restart"/>
            <w:tcBorders>
              <w:tl2br w:val="nil"/>
              <w:tr2bl w:val="nil"/>
            </w:tcBorders>
            <w:noWrap w:val="0"/>
            <w:vAlign w:val="center"/>
          </w:tcPr>
          <w:p w14:paraId="6687813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评估区域内，通过设置水环境应急监测点位预测预警突发水环境事件的能力以及涉及有毒有害气体环境风险企业安装有毒有害气体预警装置</w:t>
            </w:r>
          </w:p>
        </w:tc>
        <w:tc>
          <w:tcPr>
            <w:tcW w:w="1417" w:type="pct"/>
            <w:tcBorders>
              <w:tl2br w:val="nil"/>
              <w:tr2bl w:val="nil"/>
            </w:tcBorders>
            <w:noWrap w:val="0"/>
            <w:vAlign w:val="center"/>
          </w:tcPr>
          <w:p w14:paraId="7C897D4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未设置水环境应急监测点位，50%以下的涉及有毒有害气体环境风险企业安装有毒有害气体预警装置</w:t>
            </w:r>
          </w:p>
        </w:tc>
        <w:tc>
          <w:tcPr>
            <w:tcW w:w="410" w:type="pct"/>
            <w:tcBorders>
              <w:tl2br w:val="nil"/>
              <w:tr2bl w:val="nil"/>
            </w:tcBorders>
            <w:noWrap w:val="0"/>
            <w:vAlign w:val="center"/>
          </w:tcPr>
          <w:p w14:paraId="643C4EC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689" w:type="pct"/>
            <w:vMerge w:val="restart"/>
            <w:tcBorders>
              <w:tl2br w:val="nil"/>
              <w:tr2bl w:val="nil"/>
            </w:tcBorders>
            <w:noWrap w:val="0"/>
            <w:vAlign w:val="center"/>
          </w:tcPr>
          <w:p w14:paraId="75F1743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14:paraId="7103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34B9540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20C7D33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422B2C4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2737855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0E153D2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设置水环境应急监测点位，50%以上、80%以下的涉及有毒有害气体环境风险企业安装有毒有害气体预警装置</w:t>
            </w:r>
          </w:p>
        </w:tc>
        <w:tc>
          <w:tcPr>
            <w:tcW w:w="410" w:type="pct"/>
            <w:tcBorders>
              <w:tl2br w:val="nil"/>
              <w:tr2bl w:val="nil"/>
            </w:tcBorders>
            <w:noWrap w:val="0"/>
            <w:vAlign w:val="center"/>
          </w:tcPr>
          <w:p w14:paraId="768FA58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689" w:type="pct"/>
            <w:vMerge w:val="continue"/>
            <w:tcBorders>
              <w:tl2br w:val="nil"/>
              <w:tr2bl w:val="nil"/>
            </w:tcBorders>
            <w:noWrap w:val="0"/>
            <w:vAlign w:val="center"/>
          </w:tcPr>
          <w:p w14:paraId="484F9C04">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4086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353" w:type="pct"/>
            <w:vMerge w:val="continue"/>
            <w:tcBorders>
              <w:tl2br w:val="nil"/>
              <w:tr2bl w:val="nil"/>
            </w:tcBorders>
            <w:noWrap w:val="0"/>
            <w:vAlign w:val="center"/>
          </w:tcPr>
          <w:p w14:paraId="721DF89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20A3E9C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4DAF540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0DC5B4C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33B9737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设置水环境应急监测点位，80%以上的涉及有毒有害气体环境风险企业安装有毒有害气体预警装置</w:t>
            </w:r>
          </w:p>
        </w:tc>
        <w:tc>
          <w:tcPr>
            <w:tcW w:w="410" w:type="pct"/>
            <w:tcBorders>
              <w:tl2br w:val="nil"/>
              <w:tr2bl w:val="nil"/>
            </w:tcBorders>
            <w:noWrap w:val="0"/>
            <w:vAlign w:val="center"/>
          </w:tcPr>
          <w:p w14:paraId="4A292C7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45817762">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4EB3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53" w:type="pct"/>
            <w:vMerge w:val="restart"/>
            <w:tcBorders>
              <w:tl2br w:val="nil"/>
              <w:tr2bl w:val="nil"/>
            </w:tcBorders>
            <w:noWrap w:val="0"/>
            <w:vAlign w:val="center"/>
          </w:tcPr>
          <w:p w14:paraId="7DAC608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438" w:type="pct"/>
            <w:vMerge w:val="restart"/>
            <w:tcBorders>
              <w:tl2br w:val="nil"/>
              <w:tr2bl w:val="nil"/>
            </w:tcBorders>
            <w:noWrap w:val="0"/>
            <w:vAlign w:val="center"/>
          </w:tcPr>
          <w:p w14:paraId="079AF3C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污染物的拦截、释和处置</w:t>
            </w:r>
          </w:p>
          <w:p w14:paraId="6EAB182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能力</w:t>
            </w:r>
          </w:p>
          <w:p w14:paraId="4EB04F0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restart"/>
            <w:tcBorders>
              <w:tl2br w:val="nil"/>
              <w:tr2bl w:val="nil"/>
            </w:tcBorders>
            <w:noWrap w:val="0"/>
            <w:vAlign w:val="center"/>
          </w:tcPr>
          <w:p w14:paraId="446A601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政府应急部门</w:t>
            </w:r>
          </w:p>
        </w:tc>
        <w:tc>
          <w:tcPr>
            <w:tcW w:w="1211" w:type="pct"/>
            <w:vMerge w:val="restart"/>
            <w:tcBorders>
              <w:tl2br w:val="nil"/>
              <w:tr2bl w:val="nil"/>
            </w:tcBorders>
            <w:noWrap w:val="0"/>
            <w:vAlign w:val="center"/>
          </w:tcPr>
          <w:p w14:paraId="6307BBB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当突发环境事件发生时</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评估区域内通过筑坝、导流等方式对污染物的拦截能力</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通过上游调水降低水体中污染物浓度的能力</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通过物化处理、吸附等方式对污染物就地处置或异地处置能力</w:t>
            </w:r>
          </w:p>
        </w:tc>
        <w:tc>
          <w:tcPr>
            <w:tcW w:w="1417" w:type="pct"/>
            <w:tcBorders>
              <w:tl2br w:val="nil"/>
              <w:tr2bl w:val="nil"/>
            </w:tcBorders>
            <w:noWrap w:val="0"/>
            <w:vAlign w:val="center"/>
          </w:tcPr>
          <w:p w14:paraId="4587EDC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拦截、导流、稀释及物理化学处理能力皆不具备</w:t>
            </w:r>
          </w:p>
        </w:tc>
        <w:tc>
          <w:tcPr>
            <w:tcW w:w="410" w:type="pct"/>
            <w:tcBorders>
              <w:tl2br w:val="nil"/>
              <w:tr2bl w:val="nil"/>
            </w:tcBorders>
            <w:noWrap w:val="0"/>
            <w:vAlign w:val="center"/>
          </w:tcPr>
          <w:p w14:paraId="55422C6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689" w:type="pct"/>
            <w:vMerge w:val="restart"/>
            <w:tcBorders>
              <w:tl2br w:val="nil"/>
              <w:tr2bl w:val="nil"/>
            </w:tcBorders>
            <w:noWrap w:val="0"/>
            <w:vAlign w:val="center"/>
          </w:tcPr>
          <w:p w14:paraId="5A20EDB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77F8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3E8FEAE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4D27E05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027E794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149BF72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071C673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具备拦截、导流、稀释及物理化学处理其中任意一种能力</w:t>
            </w:r>
          </w:p>
        </w:tc>
        <w:tc>
          <w:tcPr>
            <w:tcW w:w="410" w:type="pct"/>
            <w:tcBorders>
              <w:tl2br w:val="nil"/>
              <w:tr2bl w:val="nil"/>
            </w:tcBorders>
            <w:noWrap w:val="0"/>
            <w:vAlign w:val="center"/>
          </w:tcPr>
          <w:p w14:paraId="688A61D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689" w:type="pct"/>
            <w:vMerge w:val="continue"/>
            <w:tcBorders>
              <w:tl2br w:val="nil"/>
              <w:tr2bl w:val="nil"/>
            </w:tcBorders>
            <w:noWrap w:val="0"/>
            <w:vAlign w:val="center"/>
          </w:tcPr>
          <w:p w14:paraId="310023A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2E3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079ECB0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0999925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025839D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3594B25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584D9D2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具备拦截、导流、稀释及物理化学处理其中任意两种能力</w:t>
            </w:r>
          </w:p>
        </w:tc>
        <w:tc>
          <w:tcPr>
            <w:tcW w:w="410" w:type="pct"/>
            <w:tcBorders>
              <w:tl2br w:val="nil"/>
              <w:tr2bl w:val="nil"/>
            </w:tcBorders>
            <w:noWrap w:val="0"/>
            <w:vAlign w:val="center"/>
          </w:tcPr>
          <w:p w14:paraId="05F0087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512B786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301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noWrap w:val="0"/>
            <w:vAlign w:val="center"/>
          </w:tcPr>
          <w:p w14:paraId="46A77BA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38" w:type="pct"/>
            <w:vMerge w:val="restart"/>
            <w:tcBorders>
              <w:tl2br w:val="nil"/>
              <w:tr2bl w:val="nil"/>
            </w:tcBorders>
            <w:noWrap w:val="0"/>
            <w:vAlign w:val="center"/>
          </w:tcPr>
          <w:p w14:paraId="50046A2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环境应急预案编制情况</w:t>
            </w:r>
          </w:p>
        </w:tc>
        <w:tc>
          <w:tcPr>
            <w:tcW w:w="478" w:type="pct"/>
            <w:vMerge w:val="restart"/>
            <w:tcBorders>
              <w:tl2br w:val="nil"/>
              <w:tr2bl w:val="nil"/>
            </w:tcBorders>
            <w:noWrap w:val="0"/>
            <w:vAlign w:val="center"/>
          </w:tcPr>
          <w:p w14:paraId="30E3DF0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政府应急部门</w:t>
            </w:r>
          </w:p>
        </w:tc>
        <w:tc>
          <w:tcPr>
            <w:tcW w:w="1211" w:type="pct"/>
            <w:vMerge w:val="restart"/>
            <w:tcBorders>
              <w:tl2br w:val="nil"/>
              <w:tr2bl w:val="nil"/>
            </w:tcBorders>
            <w:noWrap w:val="0"/>
            <w:vAlign w:val="center"/>
          </w:tcPr>
          <w:p w14:paraId="57FC2FE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评估区域内是否具有完整预案体系</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包括</w:t>
            </w:r>
            <w:r>
              <w:rPr>
                <w:rFonts w:hint="default" w:ascii="Times New Roman" w:hAnsi="Times New Roman" w:eastAsia="仿宋" w:cs="Times New Roman"/>
                <w:color w:val="auto"/>
                <w:sz w:val="21"/>
                <w:szCs w:val="21"/>
                <w:lang w:val="en-US" w:eastAsia="zh-CN"/>
              </w:rPr>
              <w:t>政府环境应急预案和部门环境应急预案</w:t>
            </w:r>
            <w:r>
              <w:rPr>
                <w:rFonts w:hint="default" w:ascii="Times New Roman" w:hAnsi="Times New Roman" w:cs="Times New Roman"/>
                <w:color w:val="auto"/>
                <w:sz w:val="21"/>
                <w:szCs w:val="21"/>
                <w:lang w:val="en-US" w:eastAsia="zh-CN"/>
              </w:rPr>
              <w:t>等</w:t>
            </w:r>
          </w:p>
        </w:tc>
        <w:tc>
          <w:tcPr>
            <w:tcW w:w="1417" w:type="pct"/>
            <w:tcBorders>
              <w:tl2br w:val="nil"/>
              <w:tr2bl w:val="nil"/>
            </w:tcBorders>
            <w:noWrap w:val="0"/>
            <w:vAlign w:val="center"/>
          </w:tcPr>
          <w:p w14:paraId="2D9A1FF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w:t>
            </w:r>
            <w:r>
              <w:rPr>
                <w:rFonts w:hint="default" w:ascii="Times New Roman" w:hAnsi="Times New Roman" w:cs="Times New Roman"/>
                <w:color w:val="auto"/>
                <w:sz w:val="21"/>
                <w:szCs w:val="21"/>
                <w:lang w:val="en-US" w:eastAsia="zh-CN"/>
              </w:rPr>
              <w:t>任何</w:t>
            </w:r>
            <w:r>
              <w:rPr>
                <w:rFonts w:hint="default" w:ascii="Times New Roman" w:hAnsi="Times New Roman" w:eastAsia="仿宋" w:cs="Times New Roman"/>
                <w:color w:val="auto"/>
                <w:sz w:val="21"/>
                <w:szCs w:val="21"/>
                <w:lang w:val="en-US" w:eastAsia="zh-CN"/>
              </w:rPr>
              <w:t>应急预案</w:t>
            </w:r>
          </w:p>
        </w:tc>
        <w:tc>
          <w:tcPr>
            <w:tcW w:w="410" w:type="pct"/>
            <w:tcBorders>
              <w:tl2br w:val="nil"/>
              <w:tr2bl w:val="nil"/>
            </w:tcBorders>
            <w:noWrap w:val="0"/>
            <w:vAlign w:val="center"/>
          </w:tcPr>
          <w:p w14:paraId="04487F1E">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default" w:ascii="Times New Roman" w:hAnsi="Times New Roman" w:eastAsia="仿宋" w:cs="Times New Roman"/>
                <w:color w:val="auto"/>
                <w:sz w:val="21"/>
                <w:szCs w:val="21"/>
                <w:lang w:val="en-US" w:eastAsia="zh-CN"/>
              </w:rPr>
              <w:t>0</w:t>
            </w:r>
          </w:p>
        </w:tc>
        <w:tc>
          <w:tcPr>
            <w:tcW w:w="689" w:type="pct"/>
            <w:vMerge w:val="restart"/>
            <w:tcBorders>
              <w:tl2br w:val="nil"/>
              <w:tr2bl w:val="nil"/>
            </w:tcBorders>
            <w:noWrap w:val="0"/>
            <w:vAlign w:val="center"/>
          </w:tcPr>
          <w:p w14:paraId="1701F57E">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14:paraId="3C41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67EE3FC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042EA48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08C665A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58B8C7B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164F7E4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w:t>
            </w:r>
            <w:r>
              <w:rPr>
                <w:rFonts w:hint="default" w:ascii="Times New Roman" w:hAnsi="Times New Roman" w:cs="Times New Roman"/>
                <w:color w:val="auto"/>
                <w:sz w:val="21"/>
                <w:szCs w:val="21"/>
                <w:lang w:val="en-US" w:eastAsia="zh-CN"/>
              </w:rPr>
              <w:t>政府</w:t>
            </w:r>
            <w:r>
              <w:rPr>
                <w:rFonts w:hint="default" w:ascii="Times New Roman" w:hAnsi="Times New Roman" w:eastAsia="仿宋" w:cs="Times New Roman"/>
                <w:color w:val="auto"/>
                <w:sz w:val="21"/>
                <w:szCs w:val="21"/>
                <w:lang w:val="en-US" w:eastAsia="zh-CN"/>
              </w:rPr>
              <w:t>应急预案</w:t>
            </w:r>
            <w:r>
              <w:rPr>
                <w:rFonts w:hint="default" w:ascii="Times New Roman" w:hAnsi="Times New Roman" w:cs="Times New Roman"/>
                <w:color w:val="auto"/>
                <w:sz w:val="21"/>
                <w:szCs w:val="21"/>
                <w:lang w:val="en-US" w:eastAsia="zh-CN"/>
              </w:rPr>
              <w:t>，有部门应急预案或有政府应急预案，无部门应急预案</w:t>
            </w:r>
          </w:p>
        </w:tc>
        <w:tc>
          <w:tcPr>
            <w:tcW w:w="410" w:type="pct"/>
            <w:tcBorders>
              <w:tl2br w:val="nil"/>
              <w:tr2bl w:val="nil"/>
            </w:tcBorders>
            <w:noWrap w:val="0"/>
            <w:vAlign w:val="center"/>
          </w:tcPr>
          <w:p w14:paraId="3EACBAF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689" w:type="pct"/>
            <w:vMerge w:val="continue"/>
            <w:tcBorders>
              <w:tl2br w:val="nil"/>
              <w:tr2bl w:val="nil"/>
            </w:tcBorders>
            <w:noWrap w:val="0"/>
            <w:vAlign w:val="center"/>
          </w:tcPr>
          <w:p w14:paraId="6DC6AC7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02F2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7288BC7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349541E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0281BDC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7A07976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059A8E3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既有政府应急预案，又有部门应急预案</w:t>
            </w:r>
          </w:p>
        </w:tc>
        <w:tc>
          <w:tcPr>
            <w:tcW w:w="410" w:type="pct"/>
            <w:tcBorders>
              <w:tl2br w:val="nil"/>
              <w:tr2bl w:val="nil"/>
            </w:tcBorders>
            <w:noWrap w:val="0"/>
            <w:vAlign w:val="center"/>
          </w:tcPr>
          <w:p w14:paraId="18880D1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354C330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338C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noWrap w:val="0"/>
            <w:vAlign w:val="center"/>
          </w:tcPr>
          <w:p w14:paraId="75600AE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438" w:type="pct"/>
            <w:vMerge w:val="restart"/>
            <w:tcBorders>
              <w:tl2br w:val="nil"/>
              <w:tr2bl w:val="nil"/>
            </w:tcBorders>
            <w:noWrap w:val="0"/>
            <w:vAlign w:val="center"/>
          </w:tcPr>
          <w:p w14:paraId="4BA4BC4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环境应急决策支持</w:t>
            </w:r>
          </w:p>
        </w:tc>
        <w:tc>
          <w:tcPr>
            <w:tcW w:w="478" w:type="pct"/>
            <w:vMerge w:val="restart"/>
            <w:tcBorders>
              <w:tl2br w:val="nil"/>
              <w:tr2bl w:val="nil"/>
            </w:tcBorders>
            <w:noWrap w:val="0"/>
            <w:vAlign w:val="center"/>
          </w:tcPr>
          <w:p w14:paraId="066250E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环境应急部门</w:t>
            </w:r>
          </w:p>
        </w:tc>
        <w:tc>
          <w:tcPr>
            <w:tcW w:w="1211" w:type="pct"/>
            <w:vMerge w:val="restart"/>
            <w:tcBorders>
              <w:tl2br w:val="nil"/>
              <w:tr2bl w:val="nil"/>
            </w:tcBorders>
            <w:noWrap w:val="0"/>
            <w:vAlign w:val="center"/>
          </w:tcPr>
          <w:p w14:paraId="1EA4DC7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是否成立环境应急专门机构或部门(环境应急中心或具有相关职能的部门)</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是否建立突发环境事件应急专家组</w:t>
            </w:r>
          </w:p>
        </w:tc>
        <w:tc>
          <w:tcPr>
            <w:tcW w:w="1417" w:type="pct"/>
            <w:tcBorders>
              <w:tl2br w:val="nil"/>
              <w:tr2bl w:val="nil"/>
            </w:tcBorders>
            <w:noWrap w:val="0"/>
            <w:vAlign w:val="center"/>
          </w:tcPr>
          <w:p w14:paraId="03FB674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未成立环境应急专门机构或部门，未建立突发环境事件应急专家组</w:t>
            </w:r>
          </w:p>
        </w:tc>
        <w:tc>
          <w:tcPr>
            <w:tcW w:w="410" w:type="pct"/>
            <w:tcBorders>
              <w:tl2br w:val="nil"/>
              <w:tr2bl w:val="nil"/>
            </w:tcBorders>
            <w:noWrap w:val="0"/>
            <w:vAlign w:val="center"/>
          </w:tcPr>
          <w:p w14:paraId="7E9383F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689" w:type="pct"/>
            <w:vMerge w:val="restart"/>
            <w:tcBorders>
              <w:tl2br w:val="nil"/>
              <w:tr2bl w:val="nil"/>
            </w:tcBorders>
            <w:noWrap w:val="0"/>
            <w:vAlign w:val="center"/>
          </w:tcPr>
          <w:p w14:paraId="7EF8F92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1725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353" w:type="pct"/>
            <w:vMerge w:val="continue"/>
            <w:tcBorders>
              <w:tl2br w:val="nil"/>
              <w:tr2bl w:val="nil"/>
            </w:tcBorders>
            <w:noWrap w:val="0"/>
            <w:vAlign w:val="center"/>
          </w:tcPr>
          <w:p w14:paraId="4D73484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2A7B92C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1BA6341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2A13F83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539F627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已成立环境应急专门机构或部门，未建立突发环境事件应急专家组</w:t>
            </w:r>
          </w:p>
        </w:tc>
        <w:tc>
          <w:tcPr>
            <w:tcW w:w="410" w:type="pct"/>
            <w:tcBorders>
              <w:tl2br w:val="nil"/>
              <w:tr2bl w:val="nil"/>
            </w:tcBorders>
            <w:noWrap w:val="0"/>
            <w:vAlign w:val="center"/>
          </w:tcPr>
          <w:p w14:paraId="1C4439A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689" w:type="pct"/>
            <w:vMerge w:val="continue"/>
            <w:tcBorders>
              <w:tl2br w:val="nil"/>
              <w:tr2bl w:val="nil"/>
            </w:tcBorders>
            <w:noWrap w:val="0"/>
            <w:vAlign w:val="center"/>
          </w:tcPr>
          <w:p w14:paraId="4306406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14FD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353" w:type="pct"/>
            <w:vMerge w:val="continue"/>
            <w:tcBorders>
              <w:tl2br w:val="nil"/>
              <w:tr2bl w:val="nil"/>
            </w:tcBorders>
            <w:noWrap w:val="0"/>
            <w:vAlign w:val="center"/>
          </w:tcPr>
          <w:p w14:paraId="595FCAE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34A09AE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4763375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03B32F5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231B11B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己成立环境应急专门机构或部门</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已</w:t>
            </w:r>
            <w:r>
              <w:rPr>
                <w:rFonts w:hint="default" w:ascii="Times New Roman" w:hAnsi="Times New Roman" w:eastAsia="仿宋" w:cs="Times New Roman"/>
                <w:color w:val="auto"/>
                <w:sz w:val="21"/>
                <w:szCs w:val="21"/>
                <w:lang w:val="en-US" w:eastAsia="zh-CN"/>
              </w:rPr>
              <w:t>建立突发环境事件应急专家组</w:t>
            </w:r>
          </w:p>
        </w:tc>
        <w:tc>
          <w:tcPr>
            <w:tcW w:w="410" w:type="pct"/>
            <w:tcBorders>
              <w:tl2br w:val="nil"/>
              <w:tr2bl w:val="nil"/>
            </w:tcBorders>
            <w:noWrap w:val="0"/>
            <w:vAlign w:val="center"/>
          </w:tcPr>
          <w:p w14:paraId="2860C5B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6116E3F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661A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noWrap w:val="0"/>
            <w:vAlign w:val="center"/>
          </w:tcPr>
          <w:p w14:paraId="78E62D0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438" w:type="pct"/>
            <w:vMerge w:val="restart"/>
            <w:tcBorders>
              <w:tl2br w:val="nil"/>
              <w:tr2bl w:val="nil"/>
            </w:tcBorders>
            <w:noWrap w:val="0"/>
            <w:vAlign w:val="center"/>
          </w:tcPr>
          <w:p w14:paraId="78B888B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应急物资储备情况</w:t>
            </w:r>
          </w:p>
        </w:tc>
        <w:tc>
          <w:tcPr>
            <w:tcW w:w="478" w:type="pct"/>
            <w:vMerge w:val="restart"/>
            <w:tcBorders>
              <w:tl2br w:val="nil"/>
              <w:tr2bl w:val="nil"/>
            </w:tcBorders>
            <w:noWrap w:val="0"/>
            <w:vAlign w:val="center"/>
          </w:tcPr>
          <w:p w14:paraId="15AA310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环境应急部门</w:t>
            </w:r>
          </w:p>
        </w:tc>
        <w:tc>
          <w:tcPr>
            <w:tcW w:w="1211" w:type="pct"/>
            <w:vMerge w:val="restart"/>
            <w:tcBorders>
              <w:tl2br w:val="nil"/>
              <w:tr2bl w:val="nil"/>
            </w:tcBorders>
            <w:noWrap w:val="0"/>
            <w:vAlign w:val="center"/>
          </w:tcPr>
          <w:p w14:paraId="7733CB8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评估区域内突发环境事件应急物资实物储备、协议储备、生产能力储备情况</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是否满足事件应急需求</w:t>
            </w:r>
          </w:p>
        </w:tc>
        <w:tc>
          <w:tcPr>
            <w:tcW w:w="1417" w:type="pct"/>
            <w:tcBorders>
              <w:tl2br w:val="nil"/>
              <w:tr2bl w:val="nil"/>
            </w:tcBorders>
            <w:noWrap w:val="0"/>
            <w:vAlign w:val="center"/>
          </w:tcPr>
          <w:p w14:paraId="35DD2A6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本地物资不能满足事件应急需求</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无其他区域物资储备信息</w:t>
            </w:r>
          </w:p>
        </w:tc>
        <w:tc>
          <w:tcPr>
            <w:tcW w:w="410" w:type="pct"/>
            <w:tcBorders>
              <w:tl2br w:val="nil"/>
              <w:tr2bl w:val="nil"/>
            </w:tcBorders>
            <w:noWrap w:val="0"/>
            <w:vAlign w:val="center"/>
          </w:tcPr>
          <w:p w14:paraId="3BFCFA2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689" w:type="pct"/>
            <w:vMerge w:val="restart"/>
            <w:tcBorders>
              <w:tl2br w:val="nil"/>
              <w:tr2bl w:val="nil"/>
            </w:tcBorders>
            <w:noWrap w:val="0"/>
            <w:vAlign w:val="center"/>
          </w:tcPr>
          <w:p w14:paraId="7E8F26D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4A4E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5B5F449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19D824B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4F30A11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11CEDED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64BDE6D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本地物资不能满足事件应急需求</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但有其他区域物资储备信息</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可以进行调</w:t>
            </w:r>
          </w:p>
        </w:tc>
        <w:tc>
          <w:tcPr>
            <w:tcW w:w="410" w:type="pct"/>
            <w:tcBorders>
              <w:tl2br w:val="nil"/>
              <w:tr2bl w:val="nil"/>
            </w:tcBorders>
            <w:noWrap w:val="0"/>
            <w:vAlign w:val="center"/>
          </w:tcPr>
          <w:p w14:paraId="62925DD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689" w:type="pct"/>
            <w:vMerge w:val="continue"/>
            <w:tcBorders>
              <w:tl2br w:val="nil"/>
              <w:tr2bl w:val="nil"/>
            </w:tcBorders>
            <w:noWrap w:val="0"/>
            <w:vAlign w:val="center"/>
          </w:tcPr>
          <w:p w14:paraId="3A21D433">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039A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6B6D612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713CE29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6131582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72E1DBB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7675544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本地物资基本满足事件应急需求</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不需要从其他区域调用</w:t>
            </w:r>
          </w:p>
        </w:tc>
        <w:tc>
          <w:tcPr>
            <w:tcW w:w="410" w:type="pct"/>
            <w:tcBorders>
              <w:tl2br w:val="nil"/>
              <w:tr2bl w:val="nil"/>
            </w:tcBorders>
            <w:noWrap w:val="0"/>
            <w:vAlign w:val="center"/>
          </w:tcPr>
          <w:p w14:paraId="500F874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1A3C063B">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0D41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353" w:type="pct"/>
            <w:vMerge w:val="restart"/>
            <w:tcBorders>
              <w:tl2br w:val="nil"/>
              <w:tr2bl w:val="nil"/>
            </w:tcBorders>
            <w:noWrap w:val="0"/>
            <w:vAlign w:val="center"/>
          </w:tcPr>
          <w:p w14:paraId="01DCF73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438" w:type="pct"/>
            <w:vMerge w:val="restart"/>
            <w:tcBorders>
              <w:tl2br w:val="nil"/>
              <w:tr2bl w:val="nil"/>
            </w:tcBorders>
            <w:noWrap w:val="0"/>
            <w:vAlign w:val="center"/>
          </w:tcPr>
          <w:p w14:paraId="0AC8F3E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环境应急人员数量</w:t>
            </w:r>
          </w:p>
        </w:tc>
        <w:tc>
          <w:tcPr>
            <w:tcW w:w="478" w:type="pct"/>
            <w:vMerge w:val="restart"/>
            <w:tcBorders>
              <w:tl2br w:val="nil"/>
              <w:tr2bl w:val="nil"/>
            </w:tcBorders>
            <w:noWrap w:val="0"/>
            <w:vAlign w:val="center"/>
          </w:tcPr>
          <w:p w14:paraId="55832C4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环境应急部门</w:t>
            </w:r>
          </w:p>
        </w:tc>
        <w:tc>
          <w:tcPr>
            <w:tcW w:w="1211" w:type="pct"/>
            <w:vMerge w:val="restart"/>
            <w:tcBorders>
              <w:tl2br w:val="nil"/>
              <w:tr2bl w:val="nil"/>
            </w:tcBorders>
            <w:noWrap w:val="0"/>
            <w:vAlign w:val="center"/>
          </w:tcPr>
          <w:p w14:paraId="7953543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评估区域内环境应急人员数量，主要参照全国环保部门环境应急能力建设标准中人员规模、人员学历和培训上岗率要求进行评估。选取与评估子区域所属行政区域级别匹配的标准进行评估</w:t>
            </w:r>
          </w:p>
        </w:tc>
        <w:tc>
          <w:tcPr>
            <w:tcW w:w="1417" w:type="pct"/>
            <w:tcBorders>
              <w:tl2br w:val="nil"/>
              <w:tr2bl w:val="nil"/>
            </w:tcBorders>
            <w:noWrap w:val="0"/>
            <w:vAlign w:val="center"/>
          </w:tcPr>
          <w:p w14:paraId="5821C19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不达标</w:t>
            </w:r>
          </w:p>
        </w:tc>
        <w:tc>
          <w:tcPr>
            <w:tcW w:w="410" w:type="pct"/>
            <w:tcBorders>
              <w:tl2br w:val="nil"/>
              <w:tr2bl w:val="nil"/>
            </w:tcBorders>
            <w:noWrap w:val="0"/>
            <w:vAlign w:val="center"/>
          </w:tcPr>
          <w:p w14:paraId="5974BF4E">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689" w:type="pct"/>
            <w:vMerge w:val="restart"/>
            <w:tcBorders>
              <w:tl2br w:val="nil"/>
              <w:tr2bl w:val="nil"/>
            </w:tcBorders>
            <w:noWrap w:val="0"/>
            <w:vAlign w:val="center"/>
          </w:tcPr>
          <w:p w14:paraId="70EACAA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r>
      <w:tr w14:paraId="1BB5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53" w:type="pct"/>
            <w:vMerge w:val="continue"/>
            <w:tcBorders>
              <w:tl2br w:val="nil"/>
              <w:tr2bl w:val="nil"/>
            </w:tcBorders>
            <w:noWrap w:val="0"/>
            <w:vAlign w:val="center"/>
          </w:tcPr>
          <w:p w14:paraId="7B1DB5D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239D052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1B08B2D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71AA9CE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47D2AE7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三级</w:t>
            </w:r>
          </w:p>
        </w:tc>
        <w:tc>
          <w:tcPr>
            <w:tcW w:w="410" w:type="pct"/>
            <w:tcBorders>
              <w:tl2br w:val="nil"/>
              <w:tr2bl w:val="nil"/>
            </w:tcBorders>
            <w:noWrap w:val="0"/>
            <w:vAlign w:val="center"/>
          </w:tcPr>
          <w:p w14:paraId="4946AAC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689" w:type="pct"/>
            <w:vMerge w:val="continue"/>
            <w:tcBorders>
              <w:tl2br w:val="nil"/>
              <w:tr2bl w:val="nil"/>
            </w:tcBorders>
            <w:noWrap w:val="0"/>
            <w:vAlign w:val="center"/>
          </w:tcPr>
          <w:p w14:paraId="4EA70AC1">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0540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53" w:type="pct"/>
            <w:vMerge w:val="continue"/>
            <w:tcBorders>
              <w:tl2br w:val="nil"/>
              <w:tr2bl w:val="nil"/>
            </w:tcBorders>
            <w:noWrap w:val="0"/>
            <w:vAlign w:val="center"/>
          </w:tcPr>
          <w:p w14:paraId="255DCE3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15C1362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3BE7795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702A8B1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31ADBD8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二级</w:t>
            </w:r>
          </w:p>
        </w:tc>
        <w:tc>
          <w:tcPr>
            <w:tcW w:w="410" w:type="pct"/>
            <w:tcBorders>
              <w:tl2br w:val="nil"/>
              <w:tr2bl w:val="nil"/>
            </w:tcBorders>
            <w:noWrap w:val="0"/>
            <w:vAlign w:val="center"/>
          </w:tcPr>
          <w:p w14:paraId="1F0E57A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689" w:type="pct"/>
            <w:vMerge w:val="continue"/>
            <w:tcBorders>
              <w:tl2br w:val="nil"/>
              <w:tr2bl w:val="nil"/>
            </w:tcBorders>
            <w:noWrap w:val="0"/>
            <w:vAlign w:val="center"/>
          </w:tcPr>
          <w:p w14:paraId="7512D9B1">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4952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42BEBDE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6FA928E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38C29F5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6F6FA29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681260D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一级</w:t>
            </w:r>
          </w:p>
        </w:tc>
        <w:tc>
          <w:tcPr>
            <w:tcW w:w="410" w:type="pct"/>
            <w:tcBorders>
              <w:tl2br w:val="nil"/>
              <w:tr2bl w:val="nil"/>
            </w:tcBorders>
            <w:noWrap w:val="0"/>
            <w:vAlign w:val="center"/>
          </w:tcPr>
          <w:p w14:paraId="180A6A7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2293B5DE">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2131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 w:type="pct"/>
            <w:vMerge w:val="restart"/>
            <w:tcBorders>
              <w:tl2br w:val="nil"/>
              <w:tr2bl w:val="nil"/>
            </w:tcBorders>
            <w:noWrap w:val="0"/>
            <w:vAlign w:val="center"/>
          </w:tcPr>
          <w:p w14:paraId="4EF7822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438" w:type="pct"/>
            <w:vMerge w:val="restart"/>
            <w:tcBorders>
              <w:tl2br w:val="nil"/>
              <w:tr2bl w:val="nil"/>
            </w:tcBorders>
            <w:noWrap w:val="0"/>
            <w:vAlign w:val="center"/>
          </w:tcPr>
          <w:p w14:paraId="2534920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环境应急监测能力</w:t>
            </w:r>
          </w:p>
        </w:tc>
        <w:tc>
          <w:tcPr>
            <w:tcW w:w="478" w:type="pct"/>
            <w:vMerge w:val="restart"/>
            <w:tcBorders>
              <w:tl2br w:val="nil"/>
              <w:tr2bl w:val="nil"/>
            </w:tcBorders>
            <w:noWrap w:val="0"/>
            <w:vAlign w:val="center"/>
          </w:tcPr>
          <w:p w14:paraId="08EC882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环境监测部门</w:t>
            </w:r>
          </w:p>
        </w:tc>
        <w:tc>
          <w:tcPr>
            <w:tcW w:w="1211" w:type="pct"/>
            <w:vMerge w:val="restart"/>
            <w:tcBorders>
              <w:tl2br w:val="nil"/>
              <w:tr2bl w:val="nil"/>
            </w:tcBorders>
            <w:noWrap w:val="0"/>
            <w:vAlign w:val="center"/>
          </w:tcPr>
          <w:p w14:paraId="01A85F1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评估区域内环境应急监测能力情况，根据全国环境监测站建设标准中关于机构、人员能力和应急环境监测仪器配置要求进行评估</w:t>
            </w:r>
          </w:p>
        </w:tc>
        <w:tc>
          <w:tcPr>
            <w:tcW w:w="1417" w:type="pct"/>
            <w:tcBorders>
              <w:tl2br w:val="nil"/>
              <w:tr2bl w:val="nil"/>
            </w:tcBorders>
            <w:noWrap w:val="0"/>
            <w:vAlign w:val="center"/>
          </w:tcPr>
          <w:p w14:paraId="4E08098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不达标</w:t>
            </w:r>
          </w:p>
        </w:tc>
        <w:tc>
          <w:tcPr>
            <w:tcW w:w="410" w:type="pct"/>
            <w:tcBorders>
              <w:tl2br w:val="nil"/>
              <w:tr2bl w:val="nil"/>
            </w:tcBorders>
            <w:noWrap w:val="0"/>
            <w:vAlign w:val="center"/>
          </w:tcPr>
          <w:p w14:paraId="512E4A8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689" w:type="pct"/>
            <w:vMerge w:val="restart"/>
            <w:tcBorders>
              <w:tl2br w:val="nil"/>
              <w:tr2bl w:val="nil"/>
            </w:tcBorders>
            <w:noWrap w:val="0"/>
            <w:vAlign w:val="center"/>
          </w:tcPr>
          <w:p w14:paraId="591143E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r>
      <w:tr w14:paraId="6EF9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 w:type="pct"/>
            <w:vMerge w:val="continue"/>
            <w:tcBorders>
              <w:tl2br w:val="nil"/>
              <w:tr2bl w:val="nil"/>
            </w:tcBorders>
            <w:noWrap w:val="0"/>
            <w:vAlign w:val="center"/>
          </w:tcPr>
          <w:p w14:paraId="566916D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32CB02E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71105A0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16154DE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4006906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三级</w:t>
            </w:r>
          </w:p>
        </w:tc>
        <w:tc>
          <w:tcPr>
            <w:tcW w:w="410" w:type="pct"/>
            <w:tcBorders>
              <w:tl2br w:val="nil"/>
              <w:tr2bl w:val="nil"/>
            </w:tcBorders>
            <w:noWrap w:val="0"/>
            <w:vAlign w:val="center"/>
          </w:tcPr>
          <w:p w14:paraId="78A2609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689" w:type="pct"/>
            <w:vMerge w:val="continue"/>
            <w:tcBorders>
              <w:tl2br w:val="nil"/>
              <w:tr2bl w:val="nil"/>
            </w:tcBorders>
            <w:noWrap w:val="0"/>
            <w:vAlign w:val="center"/>
          </w:tcPr>
          <w:p w14:paraId="731468A8">
            <w:pPr>
              <w:keepNext w:val="0"/>
              <w:keepLines w:val="0"/>
              <w:pageBreakBefore w:val="0"/>
              <w:kinsoku w:val="0"/>
              <w:wordWrap/>
              <w:overflowPunct w:val="0"/>
              <w:topLinePunct w:val="0"/>
              <w:autoSpaceDE/>
              <w:autoSpaceDN/>
              <w:bidi w:val="0"/>
              <w:spacing w:beforeAutospacing="0" w:afterAutospacing="0" w:line="2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3321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 w:type="pct"/>
            <w:vMerge w:val="continue"/>
            <w:tcBorders>
              <w:tl2br w:val="nil"/>
              <w:tr2bl w:val="nil"/>
            </w:tcBorders>
            <w:noWrap w:val="0"/>
            <w:vAlign w:val="center"/>
          </w:tcPr>
          <w:p w14:paraId="4A1E76C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35CB15A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6C83EFE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0D8B79FE">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7E6BAEA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二级</w:t>
            </w:r>
          </w:p>
        </w:tc>
        <w:tc>
          <w:tcPr>
            <w:tcW w:w="410" w:type="pct"/>
            <w:tcBorders>
              <w:tl2br w:val="nil"/>
              <w:tr2bl w:val="nil"/>
            </w:tcBorders>
            <w:noWrap w:val="0"/>
            <w:vAlign w:val="center"/>
          </w:tcPr>
          <w:p w14:paraId="145BC09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689" w:type="pct"/>
            <w:vMerge w:val="continue"/>
            <w:tcBorders>
              <w:tl2br w:val="nil"/>
              <w:tr2bl w:val="nil"/>
            </w:tcBorders>
            <w:noWrap w:val="0"/>
            <w:vAlign w:val="center"/>
          </w:tcPr>
          <w:p w14:paraId="46B0BEA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587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 w:type="pct"/>
            <w:vMerge w:val="continue"/>
            <w:tcBorders>
              <w:tl2br w:val="nil"/>
              <w:tr2bl w:val="nil"/>
            </w:tcBorders>
            <w:noWrap w:val="0"/>
            <w:vAlign w:val="center"/>
          </w:tcPr>
          <w:p w14:paraId="0FE3638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7C29C4F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1CCD3A7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238A5F6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61970E1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一级</w:t>
            </w:r>
          </w:p>
        </w:tc>
        <w:tc>
          <w:tcPr>
            <w:tcW w:w="410" w:type="pct"/>
            <w:tcBorders>
              <w:tl2br w:val="nil"/>
              <w:tr2bl w:val="nil"/>
            </w:tcBorders>
            <w:noWrap w:val="0"/>
            <w:vAlign w:val="center"/>
          </w:tcPr>
          <w:p w14:paraId="6EE766B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63998CC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6E88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0" w:type="pct"/>
            <w:gridSpan w:val="6"/>
            <w:tcBorders>
              <w:tl2br w:val="nil"/>
              <w:tr2bl w:val="nil"/>
            </w:tcBorders>
            <w:noWrap w:val="0"/>
            <w:vAlign w:val="center"/>
          </w:tcPr>
          <w:p w14:paraId="6EF526D8">
            <w:pPr>
              <w:keepNext w:val="0"/>
              <w:keepLines w:val="0"/>
              <w:pageBreakBefore w:val="0"/>
              <w:kinsoku w:val="0"/>
              <w:wordWrap/>
              <w:overflowPunct w:val="0"/>
              <w:topLinePunct w:val="0"/>
              <w:autoSpaceDE/>
              <w:autoSpaceDN/>
              <w:bidi w:val="0"/>
              <w:spacing w:beforeAutospacing="0" w:afterAutospacing="0" w:line="2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vertAlign w:val="baseline"/>
                <w:lang w:val="en-US" w:eastAsia="zh-CN"/>
              </w:rPr>
              <w:t>合计</w:t>
            </w:r>
          </w:p>
        </w:tc>
        <w:tc>
          <w:tcPr>
            <w:tcW w:w="689" w:type="pct"/>
            <w:tcBorders>
              <w:tl2br w:val="nil"/>
              <w:tr2bl w:val="nil"/>
            </w:tcBorders>
            <w:noWrap w:val="0"/>
            <w:vAlign w:val="center"/>
          </w:tcPr>
          <w:p w14:paraId="3FBA2AE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19</w:t>
            </w:r>
          </w:p>
        </w:tc>
      </w:tr>
    </w:tbl>
    <w:p w14:paraId="6C9356C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（四）综合环境风险指数（R综合）</w:t>
      </w:r>
    </w:p>
    <w:p w14:paraId="0F128DAA">
      <w:pPr>
        <w:pStyle w:val="27"/>
        <w:tabs>
          <w:tab w:val="right" w:leader="dot" w:pos="8313"/>
        </w:tabs>
        <w:adjustRightInd w:val="0"/>
        <w:snapToGrid w:val="0"/>
        <w:spacing w:line="560" w:lineRule="exact"/>
        <w:ind w:firstLine="560" w:firstLineChars="200"/>
        <w:rPr>
          <w:rFonts w:hint="eastAsia"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通过上述分析，由计算可知</w:t>
      </w:r>
      <w:r>
        <w:rPr>
          <w:rFonts w:hint="eastAsia" w:ascii="Times New Roman" w:hAnsi="Times New Roman" w:eastAsia="仿宋" w:cs="Times New Roman"/>
          <w:bCs/>
          <w:color w:val="auto"/>
          <w:kern w:val="0"/>
          <w:sz w:val="28"/>
          <w:szCs w:val="28"/>
          <w:lang w:val="en-US" w:eastAsia="zh-CN" w:bidi="ar-SA"/>
        </w:rPr>
        <w:t>：</w:t>
      </w:r>
    </w:p>
    <w:p w14:paraId="1FE70B1C">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drawing>
          <wp:inline distT="0" distB="0" distL="114300" distR="114300">
            <wp:extent cx="2432685" cy="521335"/>
            <wp:effectExtent l="0" t="0" r="5715" b="1206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9"/>
                    <a:stretch>
                      <a:fillRect/>
                    </a:stretch>
                  </pic:blipFill>
                  <pic:spPr>
                    <a:xfrm>
                      <a:off x="0" y="0"/>
                      <a:ext cx="2432685" cy="521335"/>
                    </a:xfrm>
                    <a:prstGeom prst="rect">
                      <a:avLst/>
                    </a:prstGeom>
                    <a:noFill/>
                    <a:ln>
                      <a:noFill/>
                    </a:ln>
                  </pic:spPr>
                </pic:pic>
              </a:graphicData>
            </a:graphic>
          </wp:inline>
        </w:drawing>
      </w:r>
    </w:p>
    <w:p w14:paraId="079A00D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瓦塘镇的综合环境风险指数值R综合为14.72，属于低级。</w:t>
      </w:r>
    </w:p>
    <w:p w14:paraId="46A6A90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395D9DDF">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17" w:name="_Toc10843"/>
      <w:bookmarkStart w:id="118" w:name="_Toc9871"/>
      <w:r>
        <w:rPr>
          <w:rFonts w:hint="default" w:ascii="Times New Roman" w:hAnsi="Times New Roman" w:eastAsia="仿宋" w:cs="Times New Roman"/>
          <w:color w:val="auto"/>
          <w:kern w:val="0"/>
          <w:sz w:val="32"/>
          <w:lang w:val="en-US" w:eastAsia="zh-CN"/>
        </w:rPr>
        <w:t>6.</w:t>
      </w:r>
      <w:r>
        <w:rPr>
          <w:rFonts w:hint="eastAsia" w:ascii="Times New Roman" w:hAnsi="Times New Roman" w:eastAsia="仿宋" w:cs="Times New Roman"/>
          <w:color w:val="auto"/>
          <w:kern w:val="0"/>
          <w:sz w:val="32"/>
          <w:lang w:val="en-US" w:eastAsia="zh-CN"/>
        </w:rPr>
        <w:t>2</w:t>
      </w:r>
      <w:r>
        <w:rPr>
          <w:rFonts w:hint="default" w:ascii="Times New Roman" w:hAnsi="Times New Roman" w:eastAsia="仿宋" w:cs="Times New Roman"/>
          <w:color w:val="auto"/>
          <w:kern w:val="0"/>
          <w:sz w:val="32"/>
          <w:lang w:val="en-US" w:eastAsia="zh-CN"/>
        </w:rPr>
        <w:t>环境风险指数的计算及结果表征</w:t>
      </w:r>
      <w:bookmarkEnd w:id="117"/>
      <w:bookmarkEnd w:id="118"/>
    </w:p>
    <w:p w14:paraId="3610494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根据水环境风险指数、大气环境风险指数、综合环境风险指数值的大小，可得到瓦塘镇的评估结果，见下表。从结果可以看出，三项指标均为低级。</w:t>
      </w:r>
    </w:p>
    <w:p w14:paraId="0F0595B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 xml:space="preserve">  环境风险指数表征表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2461"/>
        <w:gridCol w:w="2461"/>
        <w:gridCol w:w="2462"/>
      </w:tblGrid>
      <w:tr w14:paraId="1ECF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tcBorders>
              <w:tl2br w:val="nil"/>
              <w:tr2bl w:val="nil"/>
            </w:tcBorders>
            <w:noWrap w:val="0"/>
            <w:vAlign w:val="center"/>
          </w:tcPr>
          <w:p w14:paraId="48495DBE">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所在乡镇</w:t>
            </w:r>
          </w:p>
        </w:tc>
        <w:tc>
          <w:tcPr>
            <w:tcW w:w="1444" w:type="pct"/>
            <w:tcBorders>
              <w:tl2br w:val="nil"/>
              <w:tr2bl w:val="nil"/>
            </w:tcBorders>
            <w:noWrap w:val="0"/>
            <w:vAlign w:val="center"/>
          </w:tcPr>
          <w:p w14:paraId="6AB0B49E">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水环境风险</w:t>
            </w:r>
          </w:p>
        </w:tc>
        <w:tc>
          <w:tcPr>
            <w:tcW w:w="1444" w:type="pct"/>
            <w:tcBorders>
              <w:tl2br w:val="nil"/>
              <w:tr2bl w:val="nil"/>
            </w:tcBorders>
            <w:noWrap w:val="0"/>
            <w:vAlign w:val="center"/>
          </w:tcPr>
          <w:p w14:paraId="118F3CD2">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大气环境风险</w:t>
            </w:r>
          </w:p>
        </w:tc>
        <w:tc>
          <w:tcPr>
            <w:tcW w:w="1444" w:type="pct"/>
            <w:tcBorders>
              <w:tl2br w:val="nil"/>
              <w:tr2bl w:val="nil"/>
            </w:tcBorders>
            <w:noWrap w:val="0"/>
            <w:vAlign w:val="center"/>
          </w:tcPr>
          <w:p w14:paraId="145C8E93">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综合环境风险</w:t>
            </w:r>
          </w:p>
        </w:tc>
      </w:tr>
      <w:tr w14:paraId="0C00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tcBorders>
              <w:tl2br w:val="nil"/>
              <w:tr2bl w:val="nil"/>
            </w:tcBorders>
            <w:noWrap w:val="0"/>
            <w:vAlign w:val="center"/>
          </w:tcPr>
          <w:p w14:paraId="1EA82DD0">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c>
          <w:tcPr>
            <w:tcW w:w="1444" w:type="pct"/>
            <w:tcBorders>
              <w:tl2br w:val="nil"/>
              <w:tr2bl w:val="nil"/>
            </w:tcBorders>
            <w:noWrap w:val="0"/>
            <w:vAlign w:val="center"/>
          </w:tcPr>
          <w:p w14:paraId="2EE7D258">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R</w:t>
            </w:r>
            <w:r>
              <w:rPr>
                <w:rFonts w:hint="default" w:ascii="Times New Roman" w:hAnsi="Times New Roman" w:eastAsia="仿宋" w:cs="Times New Roman"/>
                <w:color w:val="auto"/>
                <w:sz w:val="21"/>
                <w:szCs w:val="21"/>
                <w:vertAlign w:val="subscript"/>
                <w:lang w:val="en-US" w:eastAsia="zh-CN"/>
              </w:rPr>
              <w:t>水</w:t>
            </w:r>
            <w:r>
              <w:rPr>
                <w:rFonts w:hint="default" w:ascii="Times New Roman" w:hAnsi="Times New Roman" w:cs="Times New Roman"/>
                <w:color w:val="auto"/>
                <w:sz w:val="21"/>
                <w:szCs w:val="21"/>
                <w:lang w:val="en-US" w:eastAsia="zh-CN"/>
              </w:rPr>
              <w:t>17.50</w:t>
            </w:r>
            <w:r>
              <w:rPr>
                <w:rFonts w:hint="default" w:ascii="Times New Roman" w:hAnsi="Times New Roman" w:eastAsia="仿宋" w:cs="Times New Roman"/>
                <w:color w:val="auto"/>
                <w:sz w:val="21"/>
                <w:szCs w:val="21"/>
                <w:lang w:val="en-US" w:eastAsia="zh-CN"/>
              </w:rPr>
              <w:t>-L-S</w:t>
            </w:r>
            <w:r>
              <w:rPr>
                <w:rFonts w:hint="default" w:ascii="Times New Roman" w:hAnsi="Times New Roman" w:cs="Times New Roman"/>
                <w:color w:val="auto"/>
                <w:sz w:val="21"/>
                <w:szCs w:val="21"/>
                <w:lang w:val="en-US" w:eastAsia="zh-CN"/>
              </w:rPr>
              <w:t>7</w:t>
            </w:r>
            <w:r>
              <w:rPr>
                <w:rFonts w:hint="default" w:ascii="Times New Roman" w:hAnsi="Times New Roman" w:eastAsia="仿宋" w:cs="Times New Roman"/>
                <w:color w:val="auto"/>
                <w:sz w:val="21"/>
                <w:szCs w:val="21"/>
                <w:lang w:val="en-US" w:eastAsia="zh-CN"/>
              </w:rPr>
              <w:t>V</w:t>
            </w:r>
            <w:r>
              <w:rPr>
                <w:rFonts w:hint="default" w:ascii="Times New Roman" w:hAnsi="Times New Roman" w:cs="Times New Roman"/>
                <w:color w:val="auto"/>
                <w:sz w:val="21"/>
                <w:szCs w:val="21"/>
                <w:lang w:val="en-US" w:eastAsia="zh-CN"/>
              </w:rPr>
              <w:t>32</w:t>
            </w:r>
            <w:r>
              <w:rPr>
                <w:rFonts w:hint="default" w:ascii="Times New Roman" w:hAnsi="Times New Roman" w:eastAsia="仿宋" w:cs="Times New Roman"/>
                <w:color w:val="auto"/>
                <w:sz w:val="21"/>
                <w:szCs w:val="21"/>
                <w:lang w:val="en-US" w:eastAsia="zh-CN"/>
              </w:rPr>
              <w:t>M</w:t>
            </w:r>
            <w:r>
              <w:rPr>
                <w:rFonts w:hint="default" w:ascii="Times New Roman" w:hAnsi="Times New Roman" w:cs="Times New Roman"/>
                <w:color w:val="auto"/>
                <w:sz w:val="21"/>
                <w:szCs w:val="21"/>
                <w:lang w:val="en-US" w:eastAsia="zh-CN"/>
              </w:rPr>
              <w:t>24</w:t>
            </w:r>
          </w:p>
        </w:tc>
        <w:tc>
          <w:tcPr>
            <w:tcW w:w="1444" w:type="pct"/>
            <w:tcBorders>
              <w:tl2br w:val="nil"/>
              <w:tr2bl w:val="nil"/>
            </w:tcBorders>
            <w:noWrap w:val="0"/>
            <w:vAlign w:val="center"/>
          </w:tcPr>
          <w:p w14:paraId="4296562D">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both"/>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R</w:t>
            </w:r>
            <w:r>
              <w:rPr>
                <w:rFonts w:hint="default" w:ascii="Times New Roman" w:hAnsi="Times New Roman" w:eastAsia="仿宋" w:cs="Times New Roman"/>
                <w:color w:val="auto"/>
                <w:sz w:val="21"/>
                <w:szCs w:val="21"/>
                <w:vertAlign w:val="subscript"/>
                <w:lang w:val="en-US" w:eastAsia="zh-CN"/>
              </w:rPr>
              <w:t>气</w:t>
            </w:r>
            <w:r>
              <w:rPr>
                <w:rFonts w:hint="default" w:ascii="Times New Roman" w:hAnsi="Times New Roman" w:cs="Times New Roman"/>
                <w:color w:val="auto"/>
                <w:sz w:val="21"/>
                <w:szCs w:val="21"/>
                <w:lang w:val="en-US" w:eastAsia="zh-CN"/>
              </w:rPr>
              <w:t>15.39</w:t>
            </w:r>
            <w:r>
              <w:rPr>
                <w:rFonts w:hint="default" w:ascii="Times New Roman" w:hAnsi="Times New Roman" w:eastAsia="仿宋" w:cs="Times New Roman"/>
                <w:color w:val="auto"/>
                <w:sz w:val="21"/>
                <w:szCs w:val="21"/>
                <w:lang w:val="en-US" w:eastAsia="zh-CN"/>
              </w:rPr>
              <w:t>-L-S</w:t>
            </w:r>
            <w:r>
              <w:rPr>
                <w:rFonts w:hint="default" w:ascii="Times New Roman" w:hAnsi="Times New Roman" w:cs="Times New Roman"/>
                <w:color w:val="auto"/>
                <w:sz w:val="21"/>
                <w:szCs w:val="21"/>
                <w:lang w:val="en-US" w:eastAsia="zh-CN"/>
              </w:rPr>
              <w:t>10</w:t>
            </w:r>
            <w:r>
              <w:rPr>
                <w:rFonts w:hint="default" w:ascii="Times New Roman" w:hAnsi="Times New Roman" w:eastAsia="仿宋" w:cs="Times New Roman"/>
                <w:color w:val="auto"/>
                <w:sz w:val="21"/>
                <w:szCs w:val="21"/>
                <w:lang w:val="en-US" w:eastAsia="zh-CN"/>
              </w:rPr>
              <w:t>V</w:t>
            </w:r>
            <w:r>
              <w:rPr>
                <w:rFonts w:hint="default" w:ascii="Times New Roman" w:hAnsi="Times New Roman" w:cs="Times New Roman"/>
                <w:color w:val="auto"/>
                <w:sz w:val="21"/>
                <w:szCs w:val="21"/>
                <w:lang w:val="en-US" w:eastAsia="zh-CN"/>
              </w:rPr>
              <w:t>13</w:t>
            </w:r>
            <w:r>
              <w:rPr>
                <w:rFonts w:hint="default" w:ascii="Times New Roman" w:hAnsi="Times New Roman" w:eastAsia="仿宋" w:cs="Times New Roman"/>
                <w:color w:val="auto"/>
                <w:sz w:val="21"/>
                <w:szCs w:val="21"/>
                <w:lang w:val="en-US" w:eastAsia="zh-CN"/>
              </w:rPr>
              <w:t>M</w:t>
            </w:r>
            <w:r>
              <w:rPr>
                <w:rFonts w:hint="default" w:ascii="Times New Roman" w:hAnsi="Times New Roman" w:cs="Times New Roman"/>
                <w:color w:val="auto"/>
                <w:sz w:val="21"/>
                <w:szCs w:val="21"/>
                <w:lang w:val="en-US" w:eastAsia="zh-CN"/>
              </w:rPr>
              <w:t>28</w:t>
            </w:r>
          </w:p>
        </w:tc>
        <w:tc>
          <w:tcPr>
            <w:tcW w:w="1444" w:type="pct"/>
            <w:tcBorders>
              <w:tl2br w:val="nil"/>
              <w:tr2bl w:val="nil"/>
            </w:tcBorders>
            <w:noWrap w:val="0"/>
            <w:vAlign w:val="center"/>
          </w:tcPr>
          <w:p w14:paraId="7FA50C9A">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R</w:t>
            </w:r>
            <w:r>
              <w:rPr>
                <w:rFonts w:hint="default" w:ascii="Times New Roman" w:hAnsi="Times New Roman" w:eastAsia="仿宋" w:cs="Times New Roman"/>
                <w:color w:val="auto"/>
                <w:sz w:val="21"/>
                <w:szCs w:val="21"/>
                <w:vertAlign w:val="subscript"/>
                <w:lang w:val="en-US" w:eastAsia="zh-CN"/>
              </w:rPr>
              <w:t>综合</w:t>
            </w:r>
            <w:r>
              <w:rPr>
                <w:rFonts w:hint="default" w:ascii="Times New Roman" w:hAnsi="Times New Roman" w:cs="Times New Roman"/>
                <w:color w:val="auto"/>
                <w:sz w:val="21"/>
                <w:szCs w:val="21"/>
                <w:lang w:val="en-US" w:eastAsia="zh-CN"/>
              </w:rPr>
              <w:t>16.21</w:t>
            </w:r>
            <w:r>
              <w:rPr>
                <w:rFonts w:hint="default" w:ascii="Times New Roman" w:hAnsi="Times New Roman" w:eastAsia="仿宋" w:cs="Times New Roman"/>
                <w:color w:val="auto"/>
                <w:sz w:val="21"/>
                <w:szCs w:val="21"/>
                <w:lang w:val="en-US" w:eastAsia="zh-CN"/>
              </w:rPr>
              <w:t>-</w:t>
            </w:r>
            <w:r>
              <w:rPr>
                <w:rFonts w:hint="default" w:ascii="Times New Roman" w:hAnsi="Times New Roman" w:cs="Times New Roman"/>
                <w:color w:val="auto"/>
                <w:sz w:val="21"/>
                <w:szCs w:val="21"/>
                <w:lang w:val="en-US" w:eastAsia="zh-CN"/>
              </w:rPr>
              <w:t>L</w:t>
            </w:r>
            <w:r>
              <w:rPr>
                <w:rFonts w:hint="default" w:ascii="Times New Roman" w:hAnsi="Times New Roman" w:eastAsia="仿宋" w:cs="Times New Roman"/>
                <w:color w:val="auto"/>
                <w:sz w:val="21"/>
                <w:szCs w:val="21"/>
                <w:lang w:val="en-US" w:eastAsia="zh-CN"/>
              </w:rPr>
              <w:t>-S</w:t>
            </w:r>
            <w:r>
              <w:rPr>
                <w:rFonts w:hint="default" w:ascii="Times New Roman" w:hAnsi="Times New Roman" w:cs="Times New Roman"/>
                <w:color w:val="auto"/>
                <w:sz w:val="21"/>
                <w:szCs w:val="21"/>
                <w:lang w:val="en-US" w:eastAsia="zh-CN"/>
              </w:rPr>
              <w:t>7</w:t>
            </w:r>
            <w:r>
              <w:rPr>
                <w:rFonts w:hint="default" w:ascii="Times New Roman" w:hAnsi="Times New Roman" w:eastAsia="仿宋" w:cs="Times New Roman"/>
                <w:color w:val="auto"/>
                <w:sz w:val="21"/>
                <w:szCs w:val="21"/>
                <w:lang w:val="en-US" w:eastAsia="zh-CN"/>
              </w:rPr>
              <w:t>V</w:t>
            </w:r>
            <w:r>
              <w:rPr>
                <w:rFonts w:hint="default" w:ascii="Times New Roman" w:hAnsi="Times New Roman" w:cs="Times New Roman"/>
                <w:color w:val="auto"/>
                <w:sz w:val="21"/>
                <w:szCs w:val="21"/>
                <w:lang w:val="en-US" w:eastAsia="zh-CN"/>
              </w:rPr>
              <w:t>24</w:t>
            </w:r>
            <w:r>
              <w:rPr>
                <w:rFonts w:hint="default" w:ascii="Times New Roman" w:hAnsi="Times New Roman" w:eastAsia="仿宋" w:cs="Times New Roman"/>
                <w:color w:val="auto"/>
                <w:sz w:val="21"/>
                <w:szCs w:val="21"/>
                <w:lang w:val="en-US" w:eastAsia="zh-CN"/>
              </w:rPr>
              <w:t>M</w:t>
            </w:r>
            <w:r>
              <w:rPr>
                <w:rFonts w:hint="default" w:ascii="Times New Roman" w:hAnsi="Times New Roman" w:cs="Times New Roman"/>
                <w:color w:val="auto"/>
                <w:sz w:val="21"/>
                <w:szCs w:val="21"/>
                <w:lang w:val="en-US" w:eastAsia="zh-CN"/>
              </w:rPr>
              <w:t>19</w:t>
            </w:r>
          </w:p>
        </w:tc>
      </w:tr>
    </w:tbl>
    <w:p w14:paraId="69EDC6F3">
      <w:pPr>
        <w:pStyle w:val="3"/>
        <w:spacing w:line="560" w:lineRule="exact"/>
        <w:ind w:firstLine="0" w:firstLineChars="0"/>
        <w:outlineLvl w:val="9"/>
        <w:rPr>
          <w:rFonts w:hint="default" w:ascii="Times New Roman" w:hAnsi="Times New Roman" w:eastAsia="仿宋" w:cs="Times New Roman"/>
          <w:bCs/>
          <w:color w:val="auto"/>
          <w:kern w:val="0"/>
          <w:sz w:val="28"/>
          <w:szCs w:val="28"/>
          <w:lang w:val="en-US" w:eastAsia="zh-CN" w:bidi="ar-SA"/>
        </w:rPr>
        <w:sectPr>
          <w:pgSz w:w="11906" w:h="16838"/>
          <w:pgMar w:top="1440" w:right="1800" w:bottom="1440" w:left="1800" w:header="851" w:footer="992" w:gutter="0"/>
          <w:pgNumType w:fmt="numberInDash"/>
          <w:cols w:space="425" w:num="1"/>
          <w:docGrid w:type="lines" w:linePitch="312" w:charSpace="0"/>
        </w:sectPr>
      </w:pPr>
    </w:p>
    <w:p w14:paraId="352B6D4A">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19" w:name="_Toc23447"/>
      <w:bookmarkStart w:id="120" w:name="_Toc12381"/>
      <w:r>
        <w:rPr>
          <w:rFonts w:hint="default" w:ascii="Times New Roman" w:hAnsi="Times New Roman" w:eastAsia="仿宋" w:cs="Times New Roman"/>
          <w:b/>
          <w:bCs/>
          <w:color w:val="auto"/>
          <w:kern w:val="0"/>
          <w:sz w:val="44"/>
          <w:lang w:val="en-US" w:eastAsia="zh-CN"/>
        </w:rPr>
        <w:t>7典型突发环境事件情景分析</w:t>
      </w:r>
      <w:bookmarkEnd w:id="119"/>
      <w:bookmarkEnd w:id="120"/>
    </w:p>
    <w:p w14:paraId="2884DBD8">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21" w:name="_Toc3116"/>
      <w:bookmarkStart w:id="122" w:name="_Toc26693"/>
      <w:r>
        <w:rPr>
          <w:rFonts w:hint="default" w:ascii="Times New Roman" w:hAnsi="Times New Roman" w:eastAsia="仿宋" w:cs="Times New Roman"/>
          <w:color w:val="auto"/>
          <w:kern w:val="0"/>
          <w:sz w:val="32"/>
          <w:lang w:val="en-US" w:eastAsia="zh-CN"/>
        </w:rPr>
        <w:t>7.1突发环境事件情景设定</w:t>
      </w:r>
      <w:bookmarkEnd w:id="121"/>
      <w:bookmarkEnd w:id="122"/>
    </w:p>
    <w:p w14:paraId="537F636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23" w:name="_Toc10343"/>
      <w:r>
        <w:rPr>
          <w:rFonts w:hint="default" w:ascii="Times New Roman" w:hAnsi="Times New Roman" w:eastAsia="仿宋" w:cs="Times New Roman"/>
          <w:bCs w:val="0"/>
          <w:color w:val="auto"/>
          <w:kern w:val="0"/>
          <w:sz w:val="30"/>
          <w:szCs w:val="30"/>
          <w:lang w:val="en-US" w:eastAsia="zh-CN"/>
        </w:rPr>
        <w:t>7.1.1收集国内外突发大气环境事件资料</w:t>
      </w:r>
      <w:bookmarkEnd w:id="123"/>
    </w:p>
    <w:p w14:paraId="1B9556C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通过查阅资料和数据，近期国内外工业企业发生的典型事故如下。</w:t>
      </w:r>
    </w:p>
    <w:p w14:paraId="5ABC8CE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lang w:val="en-US" w:eastAsia="zh-CN"/>
        </w:rPr>
      </w:pPr>
      <w:r>
        <w:rPr>
          <w:rFonts w:hint="default" w:ascii="Times New Roman" w:hAnsi="Times New Roman" w:eastAsia="仿宋" w:cs="Times New Roman"/>
          <w:b/>
          <w:bCs/>
          <w:color w:val="000000"/>
          <w:kern w:val="0"/>
          <w:sz w:val="24"/>
          <w:lang w:val="en-US" w:eastAsia="zh-CN"/>
        </w:rPr>
        <w:t>表7</w:t>
      </w:r>
      <w:r>
        <w:rPr>
          <w:rFonts w:hint="eastAsia" w:ascii="Times New Roman" w:hAnsi="Times New Roman" w:cs="Times New Roman"/>
          <w:b/>
          <w:bCs/>
          <w:color w:val="000000"/>
          <w:kern w:val="0"/>
          <w:sz w:val="24"/>
          <w:lang w:val="en-US" w:eastAsia="zh-CN"/>
        </w:rPr>
        <w:t>.1</w:t>
      </w:r>
      <w:r>
        <w:rPr>
          <w:rFonts w:hint="default" w:ascii="Times New Roman" w:hAnsi="Times New Roman" w:eastAsia="仿宋" w:cs="Times New Roman"/>
          <w:b/>
          <w:bCs/>
          <w:color w:val="000000"/>
          <w:kern w:val="0"/>
          <w:sz w:val="24"/>
          <w:lang w:val="en-US" w:eastAsia="zh-CN"/>
        </w:rPr>
        <w:t>-1  国内外典型事故统计</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2188"/>
        <w:gridCol w:w="1714"/>
        <w:gridCol w:w="1947"/>
        <w:gridCol w:w="6784"/>
      </w:tblGrid>
      <w:tr w14:paraId="3C87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41" w:type="pct"/>
            <w:tcBorders>
              <w:tl2br w:val="nil"/>
              <w:tr2bl w:val="nil"/>
            </w:tcBorders>
            <w:noWrap w:val="0"/>
            <w:vAlign w:val="center"/>
          </w:tcPr>
          <w:p w14:paraId="4307C0E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序号</w:t>
            </w:r>
          </w:p>
        </w:tc>
        <w:tc>
          <w:tcPr>
            <w:tcW w:w="772" w:type="pct"/>
            <w:tcBorders>
              <w:tl2br w:val="nil"/>
              <w:tr2bl w:val="nil"/>
            </w:tcBorders>
            <w:noWrap w:val="0"/>
            <w:vAlign w:val="center"/>
          </w:tcPr>
          <w:p w14:paraId="4B0CAF7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事故类型</w:t>
            </w:r>
          </w:p>
        </w:tc>
        <w:tc>
          <w:tcPr>
            <w:tcW w:w="605" w:type="pct"/>
            <w:tcBorders>
              <w:tl2br w:val="nil"/>
              <w:tr2bl w:val="nil"/>
            </w:tcBorders>
            <w:noWrap w:val="0"/>
            <w:vAlign w:val="center"/>
          </w:tcPr>
          <w:p w14:paraId="3EC6A24B">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w:t>
            </w:r>
          </w:p>
        </w:tc>
        <w:tc>
          <w:tcPr>
            <w:tcW w:w="687" w:type="pct"/>
            <w:tcBorders>
              <w:tl2br w:val="nil"/>
              <w:tr2bl w:val="nil"/>
            </w:tcBorders>
            <w:noWrap w:val="0"/>
            <w:vAlign w:val="center"/>
          </w:tcPr>
          <w:p w14:paraId="6A03489E">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时间</w:t>
            </w:r>
          </w:p>
        </w:tc>
        <w:tc>
          <w:tcPr>
            <w:tcW w:w="2394" w:type="pct"/>
            <w:tcBorders>
              <w:tl2br w:val="nil"/>
              <w:tr2bl w:val="nil"/>
            </w:tcBorders>
            <w:noWrap w:val="0"/>
            <w:vAlign w:val="center"/>
          </w:tcPr>
          <w:p w14:paraId="6779225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事件原因及影响后果</w:t>
            </w:r>
          </w:p>
        </w:tc>
      </w:tr>
      <w:tr w14:paraId="01EE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restart"/>
            <w:tcBorders>
              <w:tl2br w:val="nil"/>
              <w:tr2bl w:val="nil"/>
            </w:tcBorders>
            <w:noWrap w:val="0"/>
            <w:vAlign w:val="center"/>
          </w:tcPr>
          <w:p w14:paraId="30F8DD9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772" w:type="pct"/>
            <w:vMerge w:val="restart"/>
            <w:tcBorders>
              <w:tl2br w:val="nil"/>
              <w:tr2bl w:val="nil"/>
            </w:tcBorders>
            <w:noWrap w:val="0"/>
            <w:vAlign w:val="center"/>
          </w:tcPr>
          <w:p w14:paraId="1F7A853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油类泄浦、火灾、爆炸事故</w:t>
            </w:r>
          </w:p>
        </w:tc>
        <w:tc>
          <w:tcPr>
            <w:tcW w:w="605" w:type="pct"/>
            <w:tcBorders>
              <w:tl2br w:val="nil"/>
              <w:tr2bl w:val="nil"/>
            </w:tcBorders>
            <w:noWrap w:val="0"/>
            <w:vAlign w:val="center"/>
          </w:tcPr>
          <w:p w14:paraId="05E9FB2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案例1</w:t>
            </w:r>
          </w:p>
        </w:tc>
        <w:tc>
          <w:tcPr>
            <w:tcW w:w="687" w:type="pct"/>
            <w:tcBorders>
              <w:tl2br w:val="nil"/>
              <w:tr2bl w:val="nil"/>
            </w:tcBorders>
            <w:noWrap w:val="0"/>
            <w:vAlign w:val="center"/>
          </w:tcPr>
          <w:p w14:paraId="60FBA10F">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2006年11月15日</w:t>
            </w:r>
          </w:p>
        </w:tc>
        <w:tc>
          <w:tcPr>
            <w:tcW w:w="2394" w:type="pct"/>
            <w:tcBorders>
              <w:tl2br w:val="nil"/>
              <w:tr2bl w:val="nil"/>
            </w:tcBorders>
            <w:noWrap w:val="0"/>
            <w:vAlign w:val="center"/>
          </w:tcPr>
          <w:p w14:paraId="37F63E7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泸州电厂发生油类泄漏事件，此次泄漏从2006年11月15日上午10时供油泵运行时开始至下午6时切断，历时8小时，核定泄漏油量为16.9吨。部分油流入长江造成泸州市区自来水厂停止取水，并对</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市部分地区造成影响。</w:t>
            </w:r>
          </w:p>
        </w:tc>
      </w:tr>
      <w:tr w14:paraId="322A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373939BB">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1F2FBD53">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1131E46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案例2</w:t>
            </w:r>
          </w:p>
        </w:tc>
        <w:tc>
          <w:tcPr>
            <w:tcW w:w="687" w:type="pct"/>
            <w:tcBorders>
              <w:tl2br w:val="nil"/>
              <w:tr2bl w:val="nil"/>
            </w:tcBorders>
            <w:noWrap w:val="0"/>
            <w:vAlign w:val="center"/>
          </w:tcPr>
          <w:p w14:paraId="417119D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2002年8月</w:t>
            </w:r>
          </w:p>
        </w:tc>
        <w:tc>
          <w:tcPr>
            <w:tcW w:w="2394" w:type="pct"/>
            <w:tcBorders>
              <w:tl2br w:val="nil"/>
              <w:tr2bl w:val="nil"/>
            </w:tcBorders>
            <w:noWrap w:val="0"/>
            <w:vAlign w:val="center"/>
          </w:tcPr>
          <w:p w14:paraId="70D8A96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某机场煤油罐入孔口焊接遮雨盖支架，罐内煤油溢出着火，损失煤油241t，违章操作。结果导致死亡4人，受伤2人</w:t>
            </w:r>
          </w:p>
        </w:tc>
      </w:tr>
      <w:tr w14:paraId="0158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439FDB0E">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558F9338">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3DC3050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案例3</w:t>
            </w:r>
          </w:p>
        </w:tc>
        <w:tc>
          <w:tcPr>
            <w:tcW w:w="687" w:type="pct"/>
            <w:tcBorders>
              <w:tl2br w:val="nil"/>
              <w:tr2bl w:val="nil"/>
            </w:tcBorders>
            <w:noWrap w:val="0"/>
            <w:vAlign w:val="center"/>
          </w:tcPr>
          <w:p w14:paraId="1CED429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2000年7月2日</w:t>
            </w:r>
          </w:p>
        </w:tc>
        <w:tc>
          <w:tcPr>
            <w:tcW w:w="2394" w:type="pct"/>
            <w:tcBorders>
              <w:tl2br w:val="nil"/>
              <w:tr2bl w:val="nil"/>
            </w:tcBorders>
            <w:noWrap w:val="0"/>
            <w:vAlign w:val="center"/>
          </w:tcPr>
          <w:p w14:paraId="04E86F7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山东青州市潍坊弘润石油化工助剂总厂，因未堵盲板，违章动火焊接，造成2个500立方米油罐爆炸起火，10人死亡，部分操作室及管排、管架烧毁，直接经济损失200余万元</w:t>
            </w:r>
          </w:p>
        </w:tc>
      </w:tr>
      <w:tr w14:paraId="3D6F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restart"/>
            <w:tcBorders>
              <w:tl2br w:val="nil"/>
              <w:tr2bl w:val="nil"/>
            </w:tcBorders>
            <w:noWrap w:val="0"/>
            <w:vAlign w:val="center"/>
          </w:tcPr>
          <w:p w14:paraId="4599156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772" w:type="pct"/>
            <w:vMerge w:val="restart"/>
            <w:tcBorders>
              <w:tl2br w:val="nil"/>
              <w:tr2bl w:val="nil"/>
            </w:tcBorders>
            <w:noWrap w:val="0"/>
            <w:vAlign w:val="center"/>
          </w:tcPr>
          <w:p w14:paraId="1B0C239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天然气泄漏事故</w:t>
            </w:r>
          </w:p>
        </w:tc>
        <w:tc>
          <w:tcPr>
            <w:tcW w:w="605" w:type="pct"/>
            <w:tcBorders>
              <w:tl2br w:val="nil"/>
              <w:tr2bl w:val="nil"/>
            </w:tcBorders>
            <w:noWrap w:val="0"/>
            <w:vAlign w:val="center"/>
          </w:tcPr>
          <w:p w14:paraId="74F0A29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案例1</w:t>
            </w:r>
          </w:p>
        </w:tc>
        <w:tc>
          <w:tcPr>
            <w:tcW w:w="687" w:type="pct"/>
            <w:tcBorders>
              <w:tl2br w:val="nil"/>
              <w:tr2bl w:val="nil"/>
            </w:tcBorders>
            <w:noWrap w:val="0"/>
            <w:vAlign w:val="center"/>
          </w:tcPr>
          <w:p w14:paraId="45AEF43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2021年6月13日</w:t>
            </w:r>
          </w:p>
        </w:tc>
        <w:tc>
          <w:tcPr>
            <w:tcW w:w="2394" w:type="pct"/>
            <w:tcBorders>
              <w:tl2br w:val="nil"/>
              <w:tr2bl w:val="nil"/>
            </w:tcBorders>
            <w:noWrap w:val="0"/>
            <w:vAlign w:val="center"/>
          </w:tcPr>
          <w:p w14:paraId="69A5991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十堰市张湾区艳湖社区集贸市场发生燃气爆炸事故，造成26人死亡、138人受伤。事故直接原因是天然气中压钢管严重锈蚀破裂，泄漏的天然气在建筑物下方河道内密闭空间聚集，遇餐饮商户排油烟管道火星发生爆炸。</w:t>
            </w:r>
          </w:p>
        </w:tc>
      </w:tr>
      <w:tr w14:paraId="08B7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20F3FEE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0A457214">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70A9794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案例2</w:t>
            </w:r>
          </w:p>
        </w:tc>
        <w:tc>
          <w:tcPr>
            <w:tcW w:w="687" w:type="pct"/>
            <w:tcBorders>
              <w:tl2br w:val="nil"/>
              <w:tr2bl w:val="nil"/>
            </w:tcBorders>
            <w:noWrap w:val="0"/>
            <w:vAlign w:val="center"/>
          </w:tcPr>
          <w:p w14:paraId="19E0245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2017年7月2日</w:t>
            </w:r>
          </w:p>
        </w:tc>
        <w:tc>
          <w:tcPr>
            <w:tcW w:w="2394" w:type="pct"/>
            <w:tcBorders>
              <w:tl2br w:val="nil"/>
              <w:tr2bl w:val="nil"/>
            </w:tcBorders>
            <w:noWrap w:val="0"/>
            <w:vAlign w:val="center"/>
          </w:tcPr>
          <w:p w14:paraId="2441411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三亚市海虹路路边由于施工队施工不慎将燃气管道顶裂，导致海虹路路边天然气管道泄漏，天然气喷射高度为3到4米。消防人员在现场进行警戒，疏散周边群众，用水炮对泄漏在空气中的天然气进行稀释，燃气公司工作人员经过一刻钟的抢修，将泄漏的天然气管道完全关闭。</w:t>
            </w:r>
          </w:p>
        </w:tc>
      </w:tr>
      <w:tr w14:paraId="53BD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65D8B4DD">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463B44D6">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780B4AD1">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案例3</w:t>
            </w:r>
          </w:p>
        </w:tc>
        <w:tc>
          <w:tcPr>
            <w:tcW w:w="687" w:type="pct"/>
            <w:tcBorders>
              <w:tl2br w:val="nil"/>
              <w:tr2bl w:val="nil"/>
            </w:tcBorders>
            <w:noWrap w:val="0"/>
            <w:vAlign w:val="center"/>
          </w:tcPr>
          <w:p w14:paraId="0E47DE31">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2017年7月5日</w:t>
            </w:r>
          </w:p>
        </w:tc>
        <w:tc>
          <w:tcPr>
            <w:tcW w:w="2394" w:type="pct"/>
            <w:tcBorders>
              <w:tl2br w:val="nil"/>
              <w:tr2bl w:val="nil"/>
            </w:tcBorders>
            <w:noWrap w:val="0"/>
            <w:vAlign w:val="center"/>
          </w:tcPr>
          <w:p w14:paraId="445548BF">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中石油天然气输气管道晴隆沙子段，因近期持续强降雨引发边坡下陷侧滑，挤断输气管道，引发泄漏燃爆。初步查明造成8人死亡，35人受伤。</w:t>
            </w:r>
          </w:p>
        </w:tc>
      </w:tr>
      <w:tr w14:paraId="5F64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0FC4249A">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08D4F75F">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19C2736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案例</w:t>
            </w:r>
            <w:r>
              <w:rPr>
                <w:rFonts w:hint="default" w:ascii="Times New Roman" w:hAnsi="Times New Roman" w:cs="Times New Roman"/>
                <w:sz w:val="21"/>
                <w:szCs w:val="21"/>
                <w:lang w:val="en-US" w:eastAsia="zh-CN"/>
              </w:rPr>
              <w:t>4</w:t>
            </w:r>
          </w:p>
        </w:tc>
        <w:tc>
          <w:tcPr>
            <w:tcW w:w="687" w:type="pct"/>
            <w:tcBorders>
              <w:tl2br w:val="nil"/>
              <w:tr2bl w:val="nil"/>
            </w:tcBorders>
            <w:noWrap w:val="0"/>
            <w:vAlign w:val="center"/>
          </w:tcPr>
          <w:p w14:paraId="4E48A2A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2007年7月30日</w:t>
            </w:r>
          </w:p>
        </w:tc>
        <w:tc>
          <w:tcPr>
            <w:tcW w:w="2394" w:type="pct"/>
            <w:tcBorders>
              <w:tl2br w:val="nil"/>
              <w:tr2bl w:val="nil"/>
            </w:tcBorders>
            <w:noWrap w:val="0"/>
            <w:vAlign w:val="center"/>
          </w:tcPr>
          <w:p w14:paraId="58BEC8CA">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2007年7月30日12时48分，开封市学院门街24号楼4楼一居民家中天然气管道破裂，造成大量天然气泄漏，对周围180多户400多名居民的生命财产造成极大威胁，开封市公安、交巡警、消防、防暴、供电、燃气、网通、移动等部门各司其职，迅速行动，于40分钟后成功排除险情，避免了一起恶性事故的发生，使人民的生命财产安全得到了有效保护。</w:t>
            </w:r>
          </w:p>
        </w:tc>
      </w:tr>
      <w:tr w14:paraId="6891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tcBorders>
              <w:tl2br w:val="nil"/>
              <w:tr2bl w:val="nil"/>
            </w:tcBorders>
            <w:noWrap w:val="0"/>
            <w:vAlign w:val="center"/>
          </w:tcPr>
          <w:p w14:paraId="233B415D">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w:t>
            </w:r>
          </w:p>
        </w:tc>
        <w:tc>
          <w:tcPr>
            <w:tcW w:w="772" w:type="pct"/>
            <w:tcBorders>
              <w:tl2br w:val="nil"/>
              <w:tr2bl w:val="nil"/>
            </w:tcBorders>
            <w:noWrap w:val="0"/>
            <w:vAlign w:val="center"/>
          </w:tcPr>
          <w:p w14:paraId="7C1B725F">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cs="Times New Roman"/>
                <w:sz w:val="21"/>
                <w:szCs w:val="21"/>
                <w:lang w:val="en-US" w:eastAsia="zh-CN"/>
              </w:rPr>
              <w:t>油品泄漏</w:t>
            </w:r>
          </w:p>
        </w:tc>
        <w:tc>
          <w:tcPr>
            <w:tcW w:w="605" w:type="pct"/>
            <w:tcBorders>
              <w:tl2br w:val="nil"/>
              <w:tr2bl w:val="nil"/>
            </w:tcBorders>
            <w:noWrap w:val="0"/>
            <w:vAlign w:val="center"/>
          </w:tcPr>
          <w:p w14:paraId="7F2D37E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案例1</w:t>
            </w:r>
          </w:p>
        </w:tc>
        <w:tc>
          <w:tcPr>
            <w:tcW w:w="687" w:type="pct"/>
            <w:tcBorders>
              <w:tl2br w:val="nil"/>
              <w:tr2bl w:val="nil"/>
            </w:tcBorders>
            <w:noWrap w:val="0"/>
            <w:vAlign w:val="center"/>
          </w:tcPr>
          <w:p w14:paraId="74C5E27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2000年7月2日</w:t>
            </w:r>
          </w:p>
        </w:tc>
        <w:tc>
          <w:tcPr>
            <w:tcW w:w="2394" w:type="pct"/>
            <w:tcBorders>
              <w:tl2br w:val="nil"/>
              <w:tr2bl w:val="nil"/>
            </w:tcBorders>
            <w:noWrap w:val="0"/>
            <w:vAlign w:val="center"/>
          </w:tcPr>
          <w:p w14:paraId="0A05816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both"/>
              <w:textAlignment w:val="auto"/>
              <w:rPr>
                <w:rFonts w:hint="default" w:ascii="Times New Roman" w:hAnsi="Times New Roman" w:eastAsia="仿宋" w:cs="Times New Roman"/>
                <w:spacing w:val="0"/>
                <w:kern w:val="21"/>
                <w:sz w:val="21"/>
                <w:szCs w:val="21"/>
              </w:rPr>
            </w:pPr>
            <w:r>
              <w:rPr>
                <w:rFonts w:hint="default" w:ascii="Times New Roman" w:hAnsi="Times New Roman" w:eastAsia="仿宋" w:cs="Times New Roman"/>
                <w:spacing w:val="0"/>
                <w:kern w:val="21"/>
                <w:sz w:val="21"/>
                <w:szCs w:val="21"/>
                <w:lang w:val="en-US" w:eastAsia="zh-CN"/>
              </w:rPr>
              <w:t>山东青州市潍坊弘润石油化工助剂总厂，因未堵盲板，违章动火焊接，造成2个500立方米油罐爆炸起火，引发原因：在焊接同204#罐底部Dg80闸板阀对接的管道时发生事故。而204#罐盛过柴油，但已长时间没用了，只偶尔当做生产中吹扫管道时的储气罐用。但在阀门以下，有24厘米深，约15平方米放不出来的柴油，而阀门以上无油，从而成为罐内柴油轻质馏分挥发的空间，挥发后的柴油轻组分与罐内的空气混合，形成爆炸性混合气体。经察看，204#柴油罐底部Dg80闸板阀阀瓣靠近罐体一侧，有明显的暗红色铁锈，仅在底部有一弦高10厘米左右的弯月形面，呈现高温后的蓝灰色，而阀瓣面向焊接的一侧，明显活动但留有间隙。因此，调查组认为，7月2日16时45分，维修班在电焊焊接时，204#罐内的爆炸性混合气体泄漏人正在焊接的管道内，电焊明火引起了管内气体的爆炸，从而通过Dg80闸板阀阀瓣底部的缝隙，引起了204#罐内混合气体的爆炸。造成10人死亡，部分操作室及管排、管架烧毁，直接经济损失200余万元。</w:t>
            </w:r>
          </w:p>
        </w:tc>
      </w:tr>
      <w:tr w14:paraId="1535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restart"/>
            <w:tcBorders>
              <w:tl2br w:val="nil"/>
              <w:tr2bl w:val="nil"/>
            </w:tcBorders>
            <w:noWrap w:val="0"/>
            <w:vAlign w:val="center"/>
          </w:tcPr>
          <w:p w14:paraId="2582B57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cs="Times New Roman"/>
                <w:sz w:val="21"/>
                <w:szCs w:val="21"/>
                <w:lang w:val="en-US" w:eastAsia="zh-CN"/>
              </w:rPr>
              <w:t>12</w:t>
            </w:r>
          </w:p>
        </w:tc>
        <w:tc>
          <w:tcPr>
            <w:tcW w:w="772" w:type="pct"/>
            <w:vMerge w:val="restart"/>
            <w:tcBorders>
              <w:tl2br w:val="nil"/>
              <w:tr2bl w:val="nil"/>
            </w:tcBorders>
            <w:noWrap w:val="0"/>
            <w:vAlign w:val="center"/>
          </w:tcPr>
          <w:p w14:paraId="798ADB6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废水污染事故</w:t>
            </w:r>
          </w:p>
        </w:tc>
        <w:tc>
          <w:tcPr>
            <w:tcW w:w="605" w:type="pct"/>
            <w:tcBorders>
              <w:tl2br w:val="nil"/>
              <w:tr2bl w:val="nil"/>
            </w:tcBorders>
            <w:noWrap w:val="0"/>
            <w:vAlign w:val="center"/>
          </w:tcPr>
          <w:p w14:paraId="6C342C3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案例1</w:t>
            </w:r>
          </w:p>
        </w:tc>
        <w:tc>
          <w:tcPr>
            <w:tcW w:w="687" w:type="pct"/>
            <w:tcBorders>
              <w:tl2br w:val="nil"/>
              <w:tr2bl w:val="nil"/>
            </w:tcBorders>
            <w:noWrap w:val="0"/>
            <w:vAlign w:val="center"/>
          </w:tcPr>
          <w:p w14:paraId="24DE63FB">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2016年1月</w:t>
            </w:r>
          </w:p>
        </w:tc>
        <w:tc>
          <w:tcPr>
            <w:tcW w:w="2394" w:type="pct"/>
            <w:tcBorders>
              <w:tl2br w:val="nil"/>
              <w:tr2bl w:val="nil"/>
            </w:tcBorders>
            <w:noWrap w:val="0"/>
            <w:vAlign w:val="center"/>
          </w:tcPr>
          <w:p w14:paraId="77CE20AA">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both"/>
              <w:textAlignment w:val="auto"/>
              <w:rPr>
                <w:rFonts w:hint="default" w:ascii="Times New Roman" w:hAnsi="Times New Roman" w:eastAsia="仿宋" w:cs="Times New Roman"/>
                <w:spacing w:val="0"/>
                <w:kern w:val="21"/>
                <w:sz w:val="21"/>
                <w:szCs w:val="21"/>
                <w:lang w:val="en-US" w:eastAsia="zh-CN"/>
              </w:rPr>
            </w:pPr>
            <w:r>
              <w:rPr>
                <w:rFonts w:hint="default" w:ascii="Times New Roman" w:hAnsi="Times New Roman" w:eastAsia="仿宋" w:cs="Times New Roman"/>
                <w:spacing w:val="0"/>
                <w:kern w:val="21"/>
                <w:sz w:val="21"/>
                <w:szCs w:val="21"/>
                <w:lang w:val="en-US" w:eastAsia="zh-CN"/>
              </w:rPr>
              <w:t>福建省三联化工股份有限公司因抽水泵漏水,生产废水泄漏外排，生产废水属强酸，其中总铅、镉、砷等重金属浓度严重超标，最终流到沙溪河，进入闽江上游。造成严重的水体污染。</w:t>
            </w:r>
          </w:p>
        </w:tc>
      </w:tr>
      <w:tr w14:paraId="5F97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62F65271">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384F5D15">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3754BA8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案例2</w:t>
            </w:r>
          </w:p>
        </w:tc>
        <w:tc>
          <w:tcPr>
            <w:tcW w:w="687" w:type="pct"/>
            <w:tcBorders>
              <w:tl2br w:val="nil"/>
              <w:tr2bl w:val="nil"/>
            </w:tcBorders>
            <w:noWrap w:val="0"/>
            <w:vAlign w:val="center"/>
          </w:tcPr>
          <w:p w14:paraId="58C8358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2014年8月</w:t>
            </w:r>
          </w:p>
        </w:tc>
        <w:tc>
          <w:tcPr>
            <w:tcW w:w="2394" w:type="pct"/>
            <w:tcBorders>
              <w:tl2br w:val="nil"/>
              <w:tr2bl w:val="nil"/>
            </w:tcBorders>
            <w:noWrap w:val="0"/>
            <w:vAlign w:val="center"/>
          </w:tcPr>
          <w:p w14:paraId="5BBD385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(北京)通州区富豪工业园去内的富豪电镀厂排放的污水造成排水沟内土壤铬元素严重超标，污染附近农田土壤，进而导致所产农作物致癌。导致这种结果的原因是该厂建有废水处理设备并未正常运转。</w:t>
            </w:r>
          </w:p>
        </w:tc>
      </w:tr>
      <w:tr w14:paraId="65A8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282CCFAD">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566E00BA">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6E42A65F">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案例3</w:t>
            </w:r>
          </w:p>
        </w:tc>
        <w:tc>
          <w:tcPr>
            <w:tcW w:w="687" w:type="pct"/>
            <w:tcBorders>
              <w:tl2br w:val="nil"/>
              <w:tr2bl w:val="nil"/>
            </w:tcBorders>
            <w:noWrap w:val="0"/>
            <w:vAlign w:val="center"/>
          </w:tcPr>
          <w:p w14:paraId="17B59D6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2008年3月3日</w:t>
            </w:r>
          </w:p>
        </w:tc>
        <w:tc>
          <w:tcPr>
            <w:tcW w:w="2394" w:type="pct"/>
            <w:tcBorders>
              <w:tl2br w:val="nil"/>
              <w:tr2bl w:val="nil"/>
            </w:tcBorders>
            <w:noWrap w:val="0"/>
            <w:vAlign w:val="center"/>
          </w:tcPr>
          <w:p w14:paraId="1C9F807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北京市排水集团高碑店污水处理厂机械故障，初沉池排泥泵站喷泥事故，造成4人死亡，7人中毒。</w:t>
            </w:r>
          </w:p>
        </w:tc>
      </w:tr>
      <w:tr w14:paraId="14B3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3B1C286F">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6A49E1BF">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280465C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w:t>
            </w:r>
            <w:r>
              <w:rPr>
                <w:rFonts w:hint="default" w:ascii="Times New Roman" w:hAnsi="Times New Roman" w:cs="Times New Roman"/>
                <w:sz w:val="21"/>
                <w:szCs w:val="21"/>
                <w:lang w:val="en-US" w:eastAsia="zh-CN"/>
              </w:rPr>
              <w:t>4</w:t>
            </w:r>
          </w:p>
        </w:tc>
        <w:tc>
          <w:tcPr>
            <w:tcW w:w="687" w:type="pct"/>
            <w:tcBorders>
              <w:tl2br w:val="nil"/>
              <w:tr2bl w:val="nil"/>
            </w:tcBorders>
            <w:noWrap w:val="0"/>
            <w:vAlign w:val="center"/>
          </w:tcPr>
          <w:p w14:paraId="6FA6CA9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2006年1月</w:t>
            </w:r>
          </w:p>
        </w:tc>
        <w:tc>
          <w:tcPr>
            <w:tcW w:w="2394" w:type="pct"/>
            <w:tcBorders>
              <w:tl2br w:val="nil"/>
              <w:tr2bl w:val="nil"/>
            </w:tcBorders>
            <w:noWrap w:val="0"/>
            <w:vAlign w:val="center"/>
          </w:tcPr>
          <w:p w14:paraId="065C950D">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石家庄维生药业进行维生素C技术改造的同时，污水处理设施也同时建设，但项目自试运行以来，污水处理设施一直在调试，排放的污水也未能达标。2006年4月，维生药业因出水COD685mg/L，严重超标而被河北省环境保护局通报”，而石家庄高新技术产业开发区污水处理厂对维生药业跟踪检测结果显示，其COD平均值为3300mg/L,最高可达11000mg/L，远高于污水处理厂的接管标准，因此污水处理厂一直处理超负荷运行状态，并出现污水超标排放问题，致汪洋沟河道遭受污水侵害，并威胁附近居民健康。</w:t>
            </w:r>
          </w:p>
        </w:tc>
      </w:tr>
      <w:tr w14:paraId="7595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tcBorders>
              <w:tl2br w:val="nil"/>
              <w:tr2bl w:val="nil"/>
            </w:tcBorders>
            <w:noWrap w:val="0"/>
            <w:vAlign w:val="center"/>
          </w:tcPr>
          <w:p w14:paraId="1D3AA94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cs="Times New Roman"/>
                <w:sz w:val="21"/>
                <w:szCs w:val="21"/>
                <w:lang w:val="en-US" w:eastAsia="zh-CN"/>
              </w:rPr>
              <w:t>13</w:t>
            </w:r>
          </w:p>
        </w:tc>
        <w:tc>
          <w:tcPr>
            <w:tcW w:w="772" w:type="pct"/>
            <w:tcBorders>
              <w:tl2br w:val="nil"/>
              <w:tr2bl w:val="nil"/>
            </w:tcBorders>
            <w:noWrap w:val="0"/>
            <w:vAlign w:val="center"/>
          </w:tcPr>
          <w:p w14:paraId="07ACB27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重金属泄漏事件</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尾矿库</w:t>
            </w:r>
            <w:r>
              <w:rPr>
                <w:rFonts w:hint="default" w:ascii="Times New Roman" w:hAnsi="Times New Roman" w:cs="Times New Roman"/>
                <w:sz w:val="21"/>
                <w:szCs w:val="21"/>
                <w:lang w:val="en-US" w:eastAsia="zh-CN"/>
              </w:rPr>
              <w:t>）</w:t>
            </w:r>
          </w:p>
        </w:tc>
        <w:tc>
          <w:tcPr>
            <w:tcW w:w="605" w:type="pct"/>
            <w:tcBorders>
              <w:tl2br w:val="nil"/>
              <w:tr2bl w:val="nil"/>
            </w:tcBorders>
            <w:noWrap w:val="0"/>
            <w:vAlign w:val="center"/>
          </w:tcPr>
          <w:p w14:paraId="3788554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w:t>
            </w:r>
            <w:r>
              <w:rPr>
                <w:rFonts w:hint="default" w:ascii="Times New Roman" w:hAnsi="Times New Roman" w:cs="Times New Roman"/>
                <w:sz w:val="21"/>
                <w:szCs w:val="21"/>
                <w:lang w:val="en-US" w:eastAsia="zh-CN"/>
              </w:rPr>
              <w:t>1</w:t>
            </w:r>
          </w:p>
        </w:tc>
        <w:tc>
          <w:tcPr>
            <w:tcW w:w="687" w:type="pct"/>
            <w:tcBorders>
              <w:tl2br w:val="nil"/>
              <w:tr2bl w:val="nil"/>
            </w:tcBorders>
            <w:noWrap w:val="0"/>
            <w:vAlign w:val="center"/>
          </w:tcPr>
          <w:p w14:paraId="1A0E519D">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2015年11月23日</w:t>
            </w:r>
          </w:p>
        </w:tc>
        <w:tc>
          <w:tcPr>
            <w:tcW w:w="2394" w:type="pct"/>
            <w:tcBorders>
              <w:tl2br w:val="nil"/>
              <w:tr2bl w:val="nil"/>
            </w:tcBorders>
            <w:noWrap w:val="0"/>
            <w:vAlign w:val="center"/>
          </w:tcPr>
          <w:p w14:paraId="69C0F23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甘肃省陇南市西和县甘肃陇星锑业有限责任公司选矿厂尾矿库溢流井水面下约6米处的拱圈盖板破裂，导致溢流井周围尾矿浆流入太石河，对太石河及下游西汉水造成水体污染，并对西汉水水系的自然生态环境、周边人民群众的生命健康与财产安全及社会公共利益造成严重损害。2015年11月24日，对甘肃省相关流域重金属指标监测结果显示，部分断面铅、砷、锑出现超标，11月25日以后，除锑以外的其他6项重金属浓度都连续达标。此次事件有2.5万立方米的尾矿及尾矿水泄漏，直接经济损失为6120.79万元，造成了甘肃省西和县至四川省广元市境内346公里河道锑浓度超标。本次事件共造成了甘肃、陕西、四川三省10.8万人供水受到影响，造成甘肃部分区域乡镇地下水井锑浓度超标。甘肃省西和县太石河沿岸约257亩农田因被污染水直接淹没受到一定程度污染，0-40cm农田土壤超标率为20%。</w:t>
            </w:r>
          </w:p>
          <w:p w14:paraId="39B8AC3C">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both"/>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事故原因分析：</w:t>
            </w:r>
          </w:p>
          <w:p w14:paraId="4DAFC40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①尾矿库泄漏原因是陇星锑业尾矿库2#排水井井座上第1层井圈、水面下约6米处、东北偏北方向的井架两根立柱间8块拱板破损脱落，形成了高约2.2米、宽约2.4米、面积约5.28平方米的缺口，造成排水井周边、缺口以上约2.5万立方米尾矿及尾矿水从缺口处泄漏。</w:t>
            </w:r>
          </w:p>
          <w:p w14:paraId="3DABD2B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②排水井拱板破损脱落形成缺口的原因有两个：第一个原因是排水井拱板没有按照设计要求进行安装施工，没有形成环形受压状态，在尾矿压力作用下拱板发生强度破坏，断裂脱落。设计文件要求安装时井架和拱板之间的空隙用50#水泥砂浆浇筑形成井壁，但现场检查发现拱板和立柱之间采用铁丝连接，较大的缝隙用石块局部填塞，空隙没有用水泥坐浆。还有一个原因是排水井拱板质量远远没有达到设计要求。设计要求排水井拱板内配6根Φ16的纵筋、Φ8的箍筋。但实地检测发现，事故时安装的拱板只配了4根Φ8的纵筋、Φ6的箍筋，而且部分钢筋外漏、腐蚀严重，钢筋的数量、直径以及混凝土的强度都不满足设计要求。</w:t>
            </w:r>
          </w:p>
        </w:tc>
      </w:tr>
    </w:tbl>
    <w:p w14:paraId="1EF83E6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6838" w:h="11906" w:orient="landscape"/>
          <w:pgMar w:top="1800" w:right="1440" w:bottom="1800" w:left="1440" w:header="851" w:footer="992" w:gutter="0"/>
          <w:pgNumType w:fmt="numberInDash"/>
          <w:cols w:space="425" w:num="1"/>
          <w:docGrid w:type="lines" w:linePitch="312" w:charSpace="0"/>
        </w:sectPr>
      </w:pPr>
    </w:p>
    <w:p w14:paraId="513FE1E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上述事故案例表明，事故根本原因主要集中在以下几点</w:t>
      </w:r>
      <w:r>
        <w:rPr>
          <w:rFonts w:hint="eastAsia" w:eastAsia="仿宋" w:cs="Times New Roman"/>
          <w:bCs/>
          <w:color w:val="auto"/>
          <w:sz w:val="28"/>
          <w:szCs w:val="28"/>
          <w:lang w:val="en-US" w:eastAsia="zh-CN"/>
        </w:rPr>
        <w:t>：</w:t>
      </w:r>
    </w:p>
    <w:p w14:paraId="70E8B72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（1）</w:t>
      </w:r>
      <w:r>
        <w:rPr>
          <w:rFonts w:hint="default" w:ascii="Times New Roman" w:hAnsi="Times New Roman" w:eastAsia="仿宋" w:cs="Times New Roman"/>
          <w:bCs/>
          <w:color w:val="auto"/>
          <w:sz w:val="28"/>
          <w:szCs w:val="28"/>
          <w:lang w:val="en-US" w:eastAsia="zh-CN"/>
        </w:rPr>
        <w:t>管理不严格，危险化学品储存设施日常维护不到位，未能及时发现老化、破碎设备部件</w:t>
      </w:r>
      <w:r>
        <w:rPr>
          <w:rFonts w:hint="eastAsia" w:eastAsia="仿宋" w:cs="Times New Roman"/>
          <w:bCs/>
          <w:color w:val="auto"/>
          <w:sz w:val="28"/>
          <w:szCs w:val="28"/>
          <w:lang w:val="en-US" w:eastAsia="zh-CN"/>
        </w:rPr>
        <w:t>；</w:t>
      </w:r>
    </w:p>
    <w:p w14:paraId="2FAE76C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（2）</w:t>
      </w:r>
      <w:r>
        <w:rPr>
          <w:rFonts w:hint="default" w:ascii="Times New Roman" w:hAnsi="Times New Roman" w:eastAsia="仿宋" w:cs="Times New Roman"/>
          <w:bCs/>
          <w:color w:val="auto"/>
          <w:sz w:val="28"/>
          <w:szCs w:val="28"/>
          <w:lang w:val="en-US" w:eastAsia="zh-CN"/>
        </w:rPr>
        <w:t>运输过程管理不完善，运输驾驶人员预防风险事故意识不强烈</w:t>
      </w:r>
      <w:r>
        <w:rPr>
          <w:rFonts w:hint="eastAsia" w:eastAsia="仿宋" w:cs="Times New Roman"/>
          <w:bCs/>
          <w:color w:val="auto"/>
          <w:sz w:val="28"/>
          <w:szCs w:val="28"/>
          <w:lang w:val="en-US" w:eastAsia="zh-CN"/>
        </w:rPr>
        <w:t>；</w:t>
      </w:r>
    </w:p>
    <w:p w14:paraId="08E2A9A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（3）</w:t>
      </w:r>
      <w:r>
        <w:rPr>
          <w:rFonts w:hint="default" w:ascii="Times New Roman" w:hAnsi="Times New Roman" w:eastAsia="仿宋" w:cs="Times New Roman"/>
          <w:bCs/>
          <w:color w:val="auto"/>
          <w:sz w:val="28"/>
          <w:szCs w:val="28"/>
          <w:lang w:val="en-US" w:eastAsia="zh-CN"/>
        </w:rPr>
        <w:t>发生事故的原因</w:t>
      </w:r>
      <w:bookmarkStart w:id="155" w:name="_GoBack"/>
      <w:bookmarkEnd w:id="155"/>
      <w:r>
        <w:rPr>
          <w:rFonts w:hint="eastAsia" w:eastAsia="仿宋" w:cs="Times New Roman"/>
          <w:bCs/>
          <w:color w:val="auto"/>
          <w:sz w:val="28"/>
          <w:szCs w:val="28"/>
          <w:lang w:val="en-US" w:eastAsia="zh-CN"/>
        </w:rPr>
        <w:t>绝大多数</w:t>
      </w:r>
      <w:r>
        <w:rPr>
          <w:rFonts w:hint="default" w:ascii="Times New Roman" w:hAnsi="Times New Roman" w:eastAsia="仿宋" w:cs="Times New Roman"/>
          <w:bCs/>
          <w:color w:val="auto"/>
          <w:sz w:val="28"/>
          <w:szCs w:val="28"/>
          <w:lang w:val="en-US" w:eastAsia="zh-CN"/>
        </w:rPr>
        <w:t>是由于施工和操作不按规程造成的，同时若发生泄漏事故后不能妥善处理，将导致其他次生事件</w:t>
      </w:r>
      <w:r>
        <w:rPr>
          <w:rFonts w:hint="eastAsia" w:eastAsia="仿宋" w:cs="Times New Roman"/>
          <w:bCs/>
          <w:color w:val="auto"/>
          <w:sz w:val="28"/>
          <w:szCs w:val="28"/>
          <w:lang w:val="en-US" w:eastAsia="zh-CN"/>
        </w:rPr>
        <w:t>；</w:t>
      </w:r>
    </w:p>
    <w:p w14:paraId="3961A22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（4）</w:t>
      </w:r>
      <w:r>
        <w:rPr>
          <w:rFonts w:hint="default" w:ascii="Times New Roman" w:hAnsi="Times New Roman" w:eastAsia="仿宋" w:cs="Times New Roman"/>
          <w:bCs/>
          <w:color w:val="auto"/>
          <w:sz w:val="28"/>
          <w:szCs w:val="28"/>
          <w:lang w:val="en-US" w:eastAsia="zh-CN"/>
        </w:rPr>
        <w:t>应急措施不完备</w:t>
      </w:r>
      <w:r>
        <w:rPr>
          <w:rFonts w:hint="eastAsia" w:eastAsia="仿宋" w:cs="Times New Roman"/>
          <w:bCs/>
          <w:color w:val="auto"/>
          <w:sz w:val="28"/>
          <w:szCs w:val="28"/>
          <w:lang w:val="en-US" w:eastAsia="zh-CN"/>
        </w:rPr>
        <w:t>；</w:t>
      </w:r>
    </w:p>
    <w:p w14:paraId="1D7D164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（5）</w:t>
      </w:r>
      <w:r>
        <w:rPr>
          <w:rFonts w:hint="default" w:ascii="Times New Roman" w:hAnsi="Times New Roman" w:eastAsia="仿宋" w:cs="Times New Roman"/>
          <w:bCs/>
          <w:color w:val="auto"/>
          <w:sz w:val="28"/>
          <w:szCs w:val="28"/>
          <w:lang w:val="en-US" w:eastAsia="zh-CN"/>
        </w:rPr>
        <w:t>应急制度不健全，应急预案执行不到位。</w:t>
      </w:r>
    </w:p>
    <w:p w14:paraId="2DAEB004">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24" w:name="_Toc24994"/>
      <w:r>
        <w:rPr>
          <w:rFonts w:hint="default" w:ascii="Times New Roman" w:hAnsi="Times New Roman" w:eastAsia="仿宋" w:cs="Times New Roman"/>
          <w:bCs w:val="0"/>
          <w:color w:val="auto"/>
          <w:kern w:val="0"/>
          <w:sz w:val="30"/>
          <w:szCs w:val="30"/>
          <w:lang w:val="en-US" w:eastAsia="zh-CN"/>
        </w:rPr>
        <w:t>7.1.2群发或链发的突发环境事件情景</w:t>
      </w:r>
      <w:bookmarkEnd w:id="124"/>
    </w:p>
    <w:p w14:paraId="1D6C5A2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案例一：</w:t>
      </w:r>
    </w:p>
    <w:p w14:paraId="1018781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2005年11月13日13时30分，中国石油天然气股份有限公司吉林石化分公司双苯厂苯胺二车间硝苯精制T-102发生爆炸，随后又引发苯胺装置区连续发生15次爆炸，共导致苯胺二车间、北侧105m的55#储罐区、东侧800m处的乙烯裂解炉、东侧100m吉林农药厂、西侧40m处输料管线5个火场；在55#储罐区下风向由于辐射热又先后引发5个火场，火灾除导致8人死亡，60人受伤，近7千万元损失外，爆炸后流入松花江的苯类物质导致松花江水体严重污染。</w:t>
      </w:r>
    </w:p>
    <w:p w14:paraId="5B264B3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爆炸发生后，被爆炸破坏的生产装置和储罐中的物料流入雨水排污管道，2005年11月14日10时，吉化公司10#线(雨污排水线)入江口水样苯、苯胺、硝基苯、二甲醇等主要污染物指标均超过国家规定标准，下游10km九站断面5项指标全部检出。</w:t>
      </w:r>
    </w:p>
    <w:p w14:paraId="275A14D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案例二：</w:t>
      </w:r>
    </w:p>
    <w:p w14:paraId="22442B3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p>
    <w:p w14:paraId="4E17DAD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2019年1月31日20时，一无名小船在长江岳化锚地（长江中游航道里程221公里）失火后引燃附近锚泊的危化品运输船“湘发号”（船长72米，总吨1256，原装甲苯1490吨，已卸空）。通过巡查和应急监测，截止2月3日中午长江荆州洪湖至武汉段水质均正常，该事件被认定为一般环境事件（Ⅳ级）。</w:t>
      </w:r>
    </w:p>
    <w:p w14:paraId="31873C7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案例三：</w:t>
      </w:r>
    </w:p>
    <w:p w14:paraId="259B359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2019年3月12日13时45分，一辆辽GF7181/辽GQ185挂重型罐式半挂车柴油运输车在武麻高速三里桥段侧翻掉进水渠，罐体坠入路桥下四排渠中，罐内32吨柴油部分泄漏。经现场查看和应急监测，判定对四排渠下游水质没有明显影响，此事件为一般环境事件（Ⅳ级）。</w:t>
      </w:r>
    </w:p>
    <w:p w14:paraId="16AE89D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案例四：</w:t>
      </w:r>
    </w:p>
    <w:p w14:paraId="71C9C2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2017年1月18日9时23分，一辆装载约29吨粗苯的槽罐车，在驶经汾河大桥时与大客车相撞后跌落到汾河中，罐车粗苯发生泄漏。经过一系列应急处置措施，成功避免了一起跨省界重大水突发环境事件的发生。运城市政府于2017年1月22日18时宣布解除应急响应。</w:t>
      </w:r>
    </w:p>
    <w:p w14:paraId="133B908A">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25" w:name="_Toc30080"/>
      <w:r>
        <w:rPr>
          <w:rFonts w:hint="default" w:ascii="Times New Roman" w:hAnsi="Times New Roman" w:eastAsia="仿宋" w:cs="Times New Roman"/>
          <w:bCs w:val="0"/>
          <w:color w:val="auto"/>
          <w:kern w:val="0"/>
          <w:sz w:val="30"/>
          <w:szCs w:val="30"/>
          <w:lang w:val="en-US" w:eastAsia="zh-CN"/>
        </w:rPr>
        <w:t>7.1.3</w:t>
      </w:r>
      <w:r>
        <w:rPr>
          <w:rFonts w:hint="eastAsia" w:cs="Times New Roman"/>
          <w:bCs w:val="0"/>
          <w:color w:val="auto"/>
          <w:kern w:val="0"/>
          <w:sz w:val="30"/>
          <w:szCs w:val="30"/>
          <w:lang w:val="en-US" w:eastAsia="zh-CN"/>
        </w:rPr>
        <w:t>兴</w:t>
      </w:r>
      <w:r>
        <w:rPr>
          <w:rFonts w:hint="default" w:ascii="Times New Roman" w:hAnsi="Times New Roman" w:eastAsia="仿宋" w:cs="Times New Roman"/>
          <w:bCs w:val="0"/>
          <w:color w:val="auto"/>
          <w:kern w:val="0"/>
          <w:sz w:val="30"/>
          <w:szCs w:val="30"/>
          <w:lang w:val="en-US" w:eastAsia="zh-CN"/>
        </w:rPr>
        <w:t>县历史突发环境事件情况</w:t>
      </w:r>
      <w:bookmarkEnd w:id="125"/>
    </w:p>
    <w:p w14:paraId="0EE883F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我县历史上未发生过突发环境污染事件。</w:t>
      </w:r>
    </w:p>
    <w:p w14:paraId="1AF329CB">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26" w:name="_Toc13800"/>
      <w:r>
        <w:rPr>
          <w:rFonts w:hint="default" w:ascii="Times New Roman" w:hAnsi="Times New Roman" w:eastAsia="仿宋" w:cs="Times New Roman"/>
          <w:bCs w:val="0"/>
          <w:color w:val="auto"/>
          <w:kern w:val="0"/>
          <w:sz w:val="30"/>
          <w:szCs w:val="30"/>
          <w:lang w:val="en-US" w:eastAsia="zh-CN"/>
        </w:rPr>
        <w:t>7.1.4复合突发环境事件情景</w:t>
      </w:r>
      <w:bookmarkEnd w:id="126"/>
    </w:p>
    <w:p w14:paraId="3DD1E3E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案例一：</w:t>
      </w:r>
    </w:p>
    <w:p w14:paraId="660D255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1991年3月6日14时50分，安徽省全椒县磷肥厂新建4号500吨硫酸罐发生爆炸事故，导致罐顶盖飞出，砸死3人。次日下午，该厂3名机械维修工人，利用乙炔割炬在硫酸罐底部开孔防水，准备接出第二根硫酸管道，焊割工刚把割炬点着火的瞬间，硫酸罐突然发生爆炸，发出一声巨响，越2吨重的罐顶盖飞出70.4米，磷肥车间3名装运工听到巨响从房内冲出房外场地时，被炸飞的硫酸顶盖从空中落下，当场砸死2人，另1人身负重伤，在送往医院抢救途中死亡。此次事故直接经济损失10万元，30米范围内厂房、电器线路被炸毁，全场被迫停产整顿。</w:t>
      </w:r>
    </w:p>
    <w:p w14:paraId="43EA9FB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案例二：</w:t>
      </w:r>
    </w:p>
    <w:p w14:paraId="1C28F96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2005年11月13日13时30分许，中国石油吉林石化分公司双苯厂发生爆炸事故。</w:t>
      </w:r>
    </w:p>
    <w:p w14:paraId="1DBCEC7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spacing w:val="-2"/>
          <w:sz w:val="28"/>
          <w:szCs w:val="28"/>
          <w:lang w:val="en-US" w:eastAsia="zh-CN"/>
        </w:rPr>
      </w:pPr>
      <w:r>
        <w:rPr>
          <w:rFonts w:hint="default" w:ascii="Times New Roman" w:hAnsi="Times New Roman" w:eastAsia="仿宋" w:cs="Times New Roman"/>
          <w:bCs/>
          <w:color w:val="auto"/>
          <w:sz w:val="28"/>
          <w:szCs w:val="28"/>
          <w:lang w:val="en-US" w:eastAsia="zh-CN"/>
        </w:rPr>
        <w:t>该事故造成8人死亡、60人受伤（其中1人重伤），并引发了松花江重大水污染事件，直接经济损失为6908万元。事故的直接原因是：苯胺二车间硝基苯精制岗位操作人员违反操作规程，在停止粗硝基苯进料后，未关闭预热器蒸汽阀门，导致预热器内物料气化。恢复硝基苯精制单元生产时，再次违反操作规程，先打开了预热器蒸汽阀门加热，后启动粗硝基苯进料泵进料，引起进入预热器的物料突沸，产生剧烈振动，使预热器及管线的法兰失效，空气吸入系统，因摩擦静电，导致精馏塔发生爆炸，并引发其它装置、设施连续爆炸。</w:t>
      </w:r>
    </w:p>
    <w:p w14:paraId="2C3AB868">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27" w:name="_Toc4246"/>
      <w:bookmarkStart w:id="128" w:name="_Toc22590"/>
      <w:r>
        <w:rPr>
          <w:rFonts w:hint="default" w:ascii="Times New Roman" w:hAnsi="Times New Roman" w:eastAsia="仿宋" w:cs="Times New Roman"/>
          <w:color w:val="auto"/>
          <w:kern w:val="0"/>
          <w:sz w:val="32"/>
          <w:lang w:val="en-US" w:eastAsia="zh-CN"/>
        </w:rPr>
        <w:t>7.</w:t>
      </w:r>
      <w:r>
        <w:rPr>
          <w:rFonts w:hint="eastAsia" w:ascii="Times New Roman" w:hAnsi="Times New Roman" w:eastAsia="仿宋" w:cs="Times New Roman"/>
          <w:color w:val="auto"/>
          <w:kern w:val="0"/>
          <w:sz w:val="32"/>
          <w:lang w:val="en-US" w:eastAsia="zh-CN"/>
        </w:rPr>
        <w:t>2兴</w:t>
      </w:r>
      <w:r>
        <w:rPr>
          <w:rFonts w:hint="default" w:ascii="Times New Roman" w:hAnsi="Times New Roman" w:eastAsia="仿宋" w:cs="Times New Roman"/>
          <w:color w:val="auto"/>
          <w:kern w:val="0"/>
          <w:sz w:val="32"/>
          <w:lang w:val="en-US" w:eastAsia="zh-CN"/>
        </w:rPr>
        <w:t>县典型突发环境事件情景</w:t>
      </w:r>
      <w:bookmarkEnd w:id="127"/>
      <w:bookmarkEnd w:id="128"/>
    </w:p>
    <w:p w14:paraId="3E496C1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en-US" w:eastAsia="zh-CN"/>
        </w:rPr>
        <w:t>企业可能发生各类型的突发环境事件。结合前述的国内外同类型企业已发生的突发环境事件情景，根据前节</w:t>
      </w:r>
      <w:r>
        <w:rPr>
          <w:rFonts w:hint="eastAsia"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en-US" w:eastAsia="zh-CN"/>
        </w:rPr>
        <w:t>内企业涉及的环境风险单元，参照《化工区突发环境事件风险评估推荐方法（征求意见稿)》中对</w:t>
      </w:r>
      <w:r>
        <w:rPr>
          <w:rFonts w:hint="eastAsia"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en-US" w:eastAsia="zh-CN"/>
        </w:rPr>
        <w:t>典型突发环境事件情景进行筛选，筛选后</w:t>
      </w:r>
      <w:r>
        <w:rPr>
          <w:rFonts w:hint="eastAsia"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en-US" w:eastAsia="zh-CN"/>
        </w:rPr>
        <w:t>内典型的可能发生的突发环境事件如下。</w:t>
      </w:r>
    </w:p>
    <w:p w14:paraId="111D7A1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1、道路运输过程中，车辆发生事故，危化品或危废泄漏</w:t>
      </w:r>
      <w:r>
        <w:rPr>
          <w:rFonts w:hint="eastAsia" w:eastAsia="仿宋" w:cs="Times New Roman"/>
          <w:bCs/>
          <w:color w:val="auto"/>
          <w:sz w:val="28"/>
          <w:szCs w:val="28"/>
          <w:lang w:val="en-US" w:eastAsia="zh-CN"/>
        </w:rPr>
        <w:t>；</w:t>
      </w:r>
    </w:p>
    <w:p w14:paraId="52668E4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2、企业治理设备不正常运行，污水、废气超标排放</w:t>
      </w:r>
      <w:r>
        <w:rPr>
          <w:rFonts w:hint="eastAsia" w:eastAsia="仿宋" w:cs="Times New Roman"/>
          <w:bCs/>
          <w:color w:val="auto"/>
          <w:sz w:val="28"/>
          <w:szCs w:val="28"/>
          <w:lang w:val="en-US" w:eastAsia="zh-CN"/>
        </w:rPr>
        <w:t>；</w:t>
      </w:r>
    </w:p>
    <w:p w14:paraId="48FBB92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3、企业发生火灾或爆炸事故，产生有毒有害气体扩散。</w:t>
      </w:r>
    </w:p>
    <w:p w14:paraId="46602FC0">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29" w:name="_Toc6794"/>
      <w:r>
        <w:rPr>
          <w:rFonts w:hint="default" w:ascii="Times New Roman" w:hAnsi="Times New Roman" w:eastAsia="仿宋" w:cs="Times New Roman"/>
          <w:b/>
          <w:bCs/>
          <w:color w:val="auto"/>
          <w:kern w:val="0"/>
          <w:sz w:val="44"/>
          <w:lang w:val="en-US" w:eastAsia="zh-CN"/>
        </w:rPr>
        <w:t>8环境风险防控与应急措施差距分析</w:t>
      </w:r>
      <w:bookmarkEnd w:id="129"/>
    </w:p>
    <w:p w14:paraId="629BE32D">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30" w:name="_Toc21111"/>
      <w:bookmarkStart w:id="131" w:name="_Toc24656"/>
      <w:r>
        <w:rPr>
          <w:rFonts w:hint="default" w:ascii="Times New Roman" w:hAnsi="Times New Roman" w:eastAsia="仿宋" w:cs="Times New Roman"/>
          <w:color w:val="auto"/>
          <w:kern w:val="0"/>
          <w:sz w:val="32"/>
          <w:lang w:val="en-US" w:eastAsia="zh-CN"/>
        </w:rPr>
        <w:t>8.1环境风险受体管理差距分析</w:t>
      </w:r>
      <w:bookmarkEnd w:id="130"/>
      <w:bookmarkEnd w:id="131"/>
    </w:p>
    <w:p w14:paraId="6CB0C519">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32" w:name="_Toc27897"/>
      <w:r>
        <w:rPr>
          <w:rFonts w:hint="default" w:ascii="Times New Roman" w:hAnsi="Times New Roman" w:eastAsia="仿宋" w:cs="Times New Roman"/>
          <w:bCs w:val="0"/>
          <w:color w:val="auto"/>
          <w:kern w:val="0"/>
          <w:sz w:val="30"/>
          <w:szCs w:val="30"/>
          <w:lang w:val="en-US" w:eastAsia="zh-CN"/>
        </w:rPr>
        <w:t>8.1.1饮用水源保护区</w:t>
      </w:r>
      <w:bookmarkEnd w:id="132"/>
    </w:p>
    <w:p w14:paraId="09672D9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随着近年来，</w:t>
      </w: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河流治理工作的开展，县城污水处理厂的建设以及饮用水源保护区管理力度的不断加强，全县水环境质量得到大幅提高，水生态环境得到较大改善，但局部饮用水源保护区仍存在一定的水污染问题，主要体现在以下几个方面</w:t>
      </w:r>
      <w:r>
        <w:rPr>
          <w:rFonts w:hint="eastAsia" w:eastAsia="仿宋" w:cs="Times New Roman"/>
          <w:color w:val="000000" w:themeColor="text1"/>
          <w:kern w:val="0"/>
          <w:sz w:val="28"/>
          <w:szCs w:val="28"/>
          <w:lang w:val="en-US" w:eastAsia="zh-CN" w:bidi="ar"/>
          <w14:textFill>
            <w14:solidFill>
              <w14:schemeClr w14:val="tx1"/>
            </w14:solidFill>
          </w14:textFill>
        </w:rPr>
        <w:t>：</w:t>
      </w:r>
    </w:p>
    <w:p w14:paraId="2361B9B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（1）部分饮用水源保护区水质受季节性影响较大，枯水季节水体质量下降，丰水期水体质量好转。</w:t>
      </w:r>
    </w:p>
    <w:p w14:paraId="2EF59E7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（2）近年来城镇化进程加快、工业快速发展，城镇人口和工业规模急剧增加，部分乡镇污水处理及相应配套设施建设滞后，造成部分生活、工业污水未经处理直排入河道中，对饮用水源造成一定影响。</w:t>
      </w:r>
    </w:p>
    <w:p w14:paraId="374CA6D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（3）随着国家加大对基础设施的投入，各项建设工程全面展开，水土保持措施出现滞后、不到位现象，工程弃渣、污染物直接排入河道中，影响水源地水质。</w:t>
      </w:r>
    </w:p>
    <w:p w14:paraId="0555463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（4）农村经济发展迅速，农业面源污染量大且面广，成为了河流的重要污染来源，对水源地造成影响。</w:t>
      </w:r>
    </w:p>
    <w:p w14:paraId="04DE8A63">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33" w:name="_Toc16238"/>
      <w:r>
        <w:rPr>
          <w:rFonts w:hint="default" w:ascii="Times New Roman" w:hAnsi="Times New Roman" w:eastAsia="仿宋" w:cs="Times New Roman"/>
          <w:bCs w:val="0"/>
          <w:color w:val="auto"/>
          <w:kern w:val="0"/>
          <w:sz w:val="30"/>
          <w:szCs w:val="30"/>
          <w:lang w:val="en-US" w:eastAsia="zh-CN"/>
        </w:rPr>
        <w:t>8.1.2大气环境风险受体</w:t>
      </w:r>
      <w:bookmarkEnd w:id="133"/>
    </w:p>
    <w:p w14:paraId="5B23034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eastAsia" w:eastAsia="仿宋" w:cs="Times New Roman"/>
          <w:color w:val="000000"/>
          <w:kern w:val="0"/>
          <w:sz w:val="28"/>
          <w:szCs w:val="28"/>
          <w:lang w:val="en-US" w:eastAsia="zh-CN" w:bidi="ar"/>
        </w:rPr>
        <w:t>兴县</w:t>
      </w:r>
      <w:r>
        <w:rPr>
          <w:rFonts w:hint="default" w:ascii="Times New Roman" w:hAnsi="Times New Roman" w:eastAsia="仿宋" w:cs="Times New Roman"/>
          <w:color w:val="000000"/>
          <w:kern w:val="0"/>
          <w:sz w:val="28"/>
          <w:szCs w:val="28"/>
          <w:lang w:val="en-US" w:eastAsia="zh-CN" w:bidi="ar"/>
        </w:rPr>
        <w:t>内科研、学校、医院、居民区等重要环境风险受体与环境风险源的各类防护距离基本符合环境影响评价文件及批复要求。各部门应对临近环境风险源的环境风险受体进行安全教育，应急逃生等相关知识的普及，方便事故发生时采取正确的措施保护生命财产安全。</w:t>
      </w:r>
    </w:p>
    <w:p w14:paraId="567FB60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可要求企业完善以下环境风险</w:t>
      </w:r>
      <w:r>
        <w:rPr>
          <w:rFonts w:hint="eastAsia" w:eastAsia="仿宋" w:cs="Times New Roman"/>
          <w:color w:val="000000"/>
          <w:kern w:val="0"/>
          <w:sz w:val="28"/>
          <w:szCs w:val="28"/>
          <w:lang w:val="en-US" w:eastAsia="zh-CN" w:bidi="ar"/>
        </w:rPr>
        <w:t>防范措施：</w:t>
      </w:r>
    </w:p>
    <w:p w14:paraId="33680B8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①按求设置可燃、有毒气体监测和报警系统；</w:t>
      </w:r>
    </w:p>
    <w:p w14:paraId="491590E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②设置火灾自动报警系统；</w:t>
      </w:r>
    </w:p>
    <w:p w14:paraId="2C220C1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③对储罐区设置罐体液位、压力和温度在线监控系统；</w:t>
      </w:r>
    </w:p>
    <w:p w14:paraId="66A3D8A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④设置静电消除设施</w:t>
      </w:r>
      <w:r>
        <w:rPr>
          <w:rFonts w:hint="eastAsia" w:eastAsia="仿宋" w:cs="Times New Roman"/>
          <w:color w:val="000000"/>
          <w:kern w:val="0"/>
          <w:sz w:val="28"/>
          <w:szCs w:val="28"/>
          <w:lang w:val="en-US" w:eastAsia="zh-CN" w:bidi="ar"/>
        </w:rPr>
        <w:t>；</w:t>
      </w:r>
    </w:p>
    <w:p w14:paraId="6B54E3FB">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34" w:name="_Toc14990"/>
      <w:r>
        <w:rPr>
          <w:rFonts w:hint="default" w:ascii="Times New Roman" w:hAnsi="Times New Roman" w:eastAsia="仿宋" w:cs="Times New Roman"/>
          <w:bCs w:val="0"/>
          <w:color w:val="auto"/>
          <w:kern w:val="0"/>
          <w:sz w:val="30"/>
          <w:szCs w:val="30"/>
          <w:lang w:val="en-US" w:eastAsia="zh-CN"/>
        </w:rPr>
        <w:t>8.1.3生态红线</w:t>
      </w:r>
      <w:bookmarkEnd w:id="134"/>
    </w:p>
    <w:p w14:paraId="5B82A2C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bCs/>
          <w:color w:val="auto"/>
          <w:sz w:val="28"/>
          <w:szCs w:val="28"/>
          <w:highlight w:val="none"/>
          <w:lang w:val="en-US" w:eastAsia="zh-CN"/>
        </w:rPr>
        <w:t>全区划定永久基本农田保护红线323.87平方公里，划定生态保护红线1115.57平方公里，划定城镇开发边界20.57平方公里。</w:t>
      </w:r>
    </w:p>
    <w:p w14:paraId="2014A1D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区域内的各企业距离保护区较远。</w:t>
      </w:r>
    </w:p>
    <w:p w14:paraId="3365E3F5">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35" w:name="_Toc10353"/>
      <w:bookmarkStart w:id="136" w:name="_Toc10341"/>
      <w:r>
        <w:rPr>
          <w:rFonts w:hint="default" w:ascii="Times New Roman" w:hAnsi="Times New Roman" w:eastAsia="仿宋" w:cs="Times New Roman"/>
          <w:color w:val="auto"/>
          <w:kern w:val="0"/>
          <w:sz w:val="32"/>
          <w:lang w:val="en-US" w:eastAsia="zh-CN"/>
        </w:rPr>
        <w:t>8.2环境风险源管理差距分析</w:t>
      </w:r>
      <w:bookmarkEnd w:id="135"/>
      <w:bookmarkEnd w:id="136"/>
    </w:p>
    <w:p w14:paraId="7EAE2E1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内企业较多，危险源较多，发生环境事故的可能性是存在的，事故出现几率大的主要是危险化学品泄漏，主要是储罐和管道以及日常操作，但其污染影响的范围和程度较大，因此泄漏事故重点放在储罐和管道上，加强日常操作培训。</w:t>
      </w:r>
    </w:p>
    <w:p w14:paraId="06FA596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已有企业自投产后，各企业在生产装置区等存在有毒有害气体泄漏处设置了有毒有害气体自动报警仪器、可燃气体探测报警仪等，对废气污染源进行在线监控和预警</w:t>
      </w:r>
      <w:r>
        <w:rPr>
          <w:rFonts w:hint="eastAsia" w:eastAsia="仿宋" w:cs="Times New Roman"/>
          <w:color w:val="000000" w:themeColor="text1"/>
          <w:kern w:val="0"/>
          <w:sz w:val="28"/>
          <w:szCs w:val="28"/>
          <w:lang w:val="en-US" w:eastAsia="zh-CN" w:bidi="ar"/>
          <w14:textFill>
            <w14:solidFill>
              <w14:schemeClr w14:val="tx1"/>
            </w14:solidFill>
          </w14:textFill>
        </w:rPr>
        <w:t>；</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储罐周围设置围堰，收集事故泄漏废液</w:t>
      </w:r>
      <w:r>
        <w:rPr>
          <w:rFonts w:hint="eastAsia" w:eastAsia="仿宋" w:cs="Times New Roman"/>
          <w:color w:val="000000" w:themeColor="text1"/>
          <w:kern w:val="0"/>
          <w:sz w:val="28"/>
          <w:szCs w:val="28"/>
          <w:lang w:val="en-US" w:eastAsia="zh-CN" w:bidi="ar"/>
          <w14:textFill>
            <w14:solidFill>
              <w14:schemeClr w14:val="tx1"/>
            </w14:solidFill>
          </w14:textFill>
        </w:rPr>
        <w:t>；</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消防废水</w:t>
      </w:r>
      <w:r>
        <w:rPr>
          <w:rFonts w:hint="eastAsia" w:eastAsia="仿宋" w:cs="Times New Roman"/>
          <w:color w:val="000000" w:themeColor="text1"/>
          <w:kern w:val="0"/>
          <w:sz w:val="28"/>
          <w:szCs w:val="28"/>
          <w:lang w:val="en-US" w:eastAsia="zh-CN" w:bidi="ar"/>
          <w14:textFill>
            <w14:solidFill>
              <w14:schemeClr w14:val="tx1"/>
            </w14:solidFill>
          </w14:textFill>
        </w:rPr>
        <w:t>等</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能够进入事故污水拦截工程，保证</w:t>
      </w: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河</w:t>
      </w:r>
      <w:r>
        <w:rPr>
          <w:rFonts w:hint="eastAsia" w:eastAsia="仿宋" w:cs="Times New Roman"/>
          <w:color w:val="000000" w:themeColor="text1"/>
          <w:kern w:val="0"/>
          <w:sz w:val="28"/>
          <w:szCs w:val="28"/>
          <w:lang w:val="en-US" w:eastAsia="zh-CN" w:bidi="ar"/>
          <w14:textFill>
            <w14:solidFill>
              <w14:schemeClr w14:val="tx1"/>
            </w14:solidFill>
          </w14:textFill>
        </w:rPr>
        <w:t>流</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的水环境安全。报警器的设置，确保突发事故下，厂区工作人员能够按正确路线及时疏散和撤离。</w:t>
      </w:r>
    </w:p>
    <w:p w14:paraId="29169DA6">
      <w:pPr>
        <w:pStyle w:val="3"/>
        <w:spacing w:line="560" w:lineRule="exact"/>
        <w:ind w:firstLine="0" w:firstLineChars="0"/>
        <w:rPr>
          <w:rFonts w:hint="default" w:ascii="Times New Roman" w:hAnsi="Times New Roman" w:eastAsia="仿宋" w:cs="Times New Roman"/>
          <w:color w:val="000000" w:themeColor="text1"/>
          <w:kern w:val="0"/>
          <w:sz w:val="32"/>
          <w:lang w:val="en-US" w:eastAsia="zh-CN"/>
          <w14:textFill>
            <w14:solidFill>
              <w14:schemeClr w14:val="tx1"/>
            </w14:solidFill>
          </w14:textFill>
        </w:rPr>
      </w:pPr>
      <w:bookmarkStart w:id="137" w:name="_Toc1376"/>
      <w:bookmarkStart w:id="138" w:name="_Toc24280"/>
      <w:r>
        <w:rPr>
          <w:rFonts w:hint="default" w:ascii="Times New Roman" w:hAnsi="Times New Roman" w:eastAsia="仿宋" w:cs="Times New Roman"/>
          <w:color w:val="000000" w:themeColor="text1"/>
          <w:kern w:val="0"/>
          <w:sz w:val="32"/>
          <w:lang w:val="en-US" w:eastAsia="zh-CN"/>
          <w14:textFill>
            <w14:solidFill>
              <w14:schemeClr w14:val="tx1"/>
            </w14:solidFill>
          </w14:textFill>
        </w:rPr>
        <w:t>8.3区域环境风险管理及应急能力差距分析</w:t>
      </w:r>
      <w:bookmarkEnd w:id="137"/>
      <w:bookmarkEnd w:id="138"/>
    </w:p>
    <w:p w14:paraId="4A60CE32">
      <w:pPr>
        <w:pStyle w:val="4"/>
        <w:numPr>
          <w:ilvl w:val="2"/>
          <w:numId w:val="0"/>
        </w:numPr>
        <w:spacing w:before="20" w:after="20" w:line="560" w:lineRule="exact"/>
        <w:ind w:leftChars="0"/>
        <w:jc w:val="both"/>
        <w:rPr>
          <w:rFonts w:hint="default" w:ascii="Times New Roman" w:hAnsi="Times New Roman" w:eastAsia="仿宋" w:cs="Times New Roman"/>
          <w:bCs w:val="0"/>
          <w:color w:val="000000" w:themeColor="text1"/>
          <w:kern w:val="0"/>
          <w:sz w:val="30"/>
          <w:szCs w:val="30"/>
          <w:lang w:val="en-US" w:eastAsia="zh-CN"/>
          <w14:textFill>
            <w14:solidFill>
              <w14:schemeClr w14:val="tx1"/>
            </w14:solidFill>
          </w14:textFill>
        </w:rPr>
      </w:pPr>
      <w:bookmarkStart w:id="139" w:name="_Toc10654"/>
      <w:r>
        <w:rPr>
          <w:rFonts w:hint="default" w:ascii="Times New Roman" w:hAnsi="Times New Roman" w:eastAsia="仿宋" w:cs="Times New Roman"/>
          <w:bCs w:val="0"/>
          <w:color w:val="000000" w:themeColor="text1"/>
          <w:kern w:val="0"/>
          <w:sz w:val="30"/>
          <w:szCs w:val="30"/>
          <w:lang w:val="en-US" w:eastAsia="zh-CN"/>
          <w14:textFill>
            <w14:solidFill>
              <w14:schemeClr w14:val="tx1"/>
            </w14:solidFill>
          </w14:textFill>
        </w:rPr>
        <w:t>8.3.1环境风险源布局与管理</w:t>
      </w:r>
      <w:bookmarkEnd w:id="139"/>
    </w:p>
    <w:p w14:paraId="703E19B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在</w:t>
      </w: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内，</w:t>
      </w:r>
      <w:r>
        <w:rPr>
          <w:rFonts w:hint="eastAsia" w:eastAsia="仿宋" w:cs="Times New Roman"/>
          <w:color w:val="000000" w:themeColor="text1"/>
          <w:kern w:val="0"/>
          <w:sz w:val="28"/>
          <w:szCs w:val="28"/>
          <w:lang w:val="en-US" w:eastAsia="zh-CN" w:bidi="ar"/>
          <w14:textFill>
            <w14:solidFill>
              <w14:schemeClr w14:val="tx1"/>
            </w14:solidFill>
          </w14:textFill>
        </w:rPr>
        <w:t>瓦塘</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镇环境风险企业分布比较集中，根据</w:t>
      </w: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企业所编制的风险评估报告可知，</w:t>
      </w: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内学校、医院、居民区等重要环境风险受体与环境风险源的各类防护距离基本符合环境影响评价文件及批复要求。</w:t>
      </w:r>
    </w:p>
    <w:p w14:paraId="5458F27F">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40" w:name="_Toc7041"/>
      <w:r>
        <w:rPr>
          <w:rFonts w:hint="default" w:ascii="Times New Roman" w:hAnsi="Times New Roman" w:eastAsia="仿宋" w:cs="Times New Roman"/>
          <w:bCs w:val="0"/>
          <w:color w:val="auto"/>
          <w:kern w:val="0"/>
          <w:sz w:val="30"/>
          <w:szCs w:val="30"/>
          <w:lang w:val="en-US" w:eastAsia="zh-CN"/>
        </w:rPr>
        <w:t>8.3.2区域环境风险管理与应急能力</w:t>
      </w:r>
      <w:bookmarkEnd w:id="140"/>
    </w:p>
    <w:p w14:paraId="040FFBD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根据调查情况并结合企业提供的技术资料，从案例管理、专家管理、信息报告、应急调查、管理培训、应急演练、应急物资调用、应急库房以及应急物资、设备联动等方面对</w:t>
      </w:r>
      <w:r>
        <w:rPr>
          <w:rFonts w:hint="eastAsia" w:eastAsia="仿宋" w:cs="Times New Roman"/>
          <w:color w:val="000000"/>
          <w:kern w:val="0"/>
          <w:sz w:val="28"/>
          <w:szCs w:val="28"/>
          <w:lang w:val="en-US" w:eastAsia="zh-CN" w:bidi="ar"/>
        </w:rPr>
        <w:t>兴县</w:t>
      </w:r>
      <w:r>
        <w:rPr>
          <w:rFonts w:hint="default" w:ascii="Times New Roman" w:hAnsi="Times New Roman" w:eastAsia="仿宋" w:cs="Times New Roman"/>
          <w:color w:val="000000"/>
          <w:kern w:val="0"/>
          <w:sz w:val="28"/>
          <w:szCs w:val="28"/>
          <w:lang w:val="en-US" w:eastAsia="zh-CN" w:bidi="ar"/>
        </w:rPr>
        <w:t>现有应急能力进行评估，见表8</w:t>
      </w:r>
      <w:r>
        <w:rPr>
          <w:rFonts w:hint="eastAsia" w:ascii="Times New Roman" w:hAnsi="Times New Roman" w:eastAsia="仿宋" w:cs="Times New Roman"/>
          <w:color w:val="000000"/>
          <w:kern w:val="0"/>
          <w:sz w:val="28"/>
          <w:szCs w:val="28"/>
          <w:lang w:val="en-US" w:eastAsia="zh-CN" w:bidi="ar"/>
        </w:rPr>
        <w:t>.3</w:t>
      </w:r>
      <w:r>
        <w:rPr>
          <w:rFonts w:hint="default" w:ascii="Times New Roman" w:hAnsi="Times New Roman" w:eastAsia="仿宋" w:cs="Times New Roman"/>
          <w:color w:val="000000"/>
          <w:kern w:val="0"/>
          <w:sz w:val="28"/>
          <w:szCs w:val="28"/>
          <w:lang w:val="en-US" w:eastAsia="zh-CN" w:bidi="ar"/>
        </w:rPr>
        <w:t>-1。</w:t>
      </w:r>
    </w:p>
    <w:p w14:paraId="523C8CA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lang w:val="en-US" w:eastAsia="zh-CN"/>
        </w:rPr>
      </w:pPr>
      <w:r>
        <w:rPr>
          <w:rFonts w:hint="default" w:ascii="Times New Roman" w:hAnsi="Times New Roman" w:eastAsia="仿宋" w:cs="Times New Roman"/>
          <w:b/>
          <w:bCs/>
          <w:color w:val="000000"/>
          <w:kern w:val="0"/>
          <w:sz w:val="24"/>
          <w:lang w:val="en-US" w:eastAsia="zh-CN"/>
        </w:rPr>
        <w:t>表8</w:t>
      </w:r>
      <w:r>
        <w:rPr>
          <w:rFonts w:hint="eastAsia" w:ascii="Times New Roman" w:hAnsi="Times New Roman" w:cs="Times New Roman"/>
          <w:b/>
          <w:bCs/>
          <w:color w:val="000000"/>
          <w:kern w:val="0"/>
          <w:sz w:val="24"/>
          <w:lang w:val="en-US" w:eastAsia="zh-CN"/>
        </w:rPr>
        <w:t>.3</w:t>
      </w:r>
      <w:r>
        <w:rPr>
          <w:rFonts w:hint="default" w:ascii="Times New Roman" w:hAnsi="Times New Roman" w:eastAsia="仿宋" w:cs="Times New Roman"/>
          <w:b/>
          <w:bCs/>
          <w:color w:val="000000"/>
          <w:kern w:val="0"/>
          <w:sz w:val="24"/>
          <w:lang w:val="en-US" w:eastAsia="zh-CN"/>
        </w:rPr>
        <w:t xml:space="preserve">-1  </w:t>
      </w:r>
      <w:r>
        <w:rPr>
          <w:rFonts w:hint="eastAsia" w:cs="Times New Roman"/>
          <w:b/>
          <w:bCs/>
          <w:color w:val="000000"/>
          <w:kern w:val="0"/>
          <w:sz w:val="24"/>
          <w:lang w:val="en-US" w:eastAsia="zh-CN"/>
        </w:rPr>
        <w:t>兴县</w:t>
      </w:r>
      <w:r>
        <w:rPr>
          <w:rFonts w:hint="default" w:ascii="Times New Roman" w:hAnsi="Times New Roman" w:eastAsia="仿宋" w:cs="Times New Roman"/>
          <w:b/>
          <w:bCs/>
          <w:color w:val="000000"/>
          <w:kern w:val="0"/>
          <w:sz w:val="24"/>
          <w:lang w:val="en-US" w:eastAsia="zh-CN"/>
        </w:rPr>
        <w:t>现有应急能力评估表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781"/>
        <w:gridCol w:w="5283"/>
        <w:gridCol w:w="667"/>
      </w:tblGrid>
      <w:tr w14:paraId="677A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03B4406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类别</w:t>
            </w:r>
          </w:p>
          <w:p w14:paraId="3AB39BE8">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项目</w:t>
            </w:r>
          </w:p>
        </w:tc>
        <w:tc>
          <w:tcPr>
            <w:tcW w:w="1784" w:type="dxa"/>
            <w:tcBorders>
              <w:tl2br w:val="nil"/>
              <w:tr2bl w:val="nil"/>
            </w:tcBorders>
            <w:noWrap w:val="0"/>
            <w:vAlign w:val="center"/>
          </w:tcPr>
          <w:p w14:paraId="4D3DFFEC">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评估依据</w:t>
            </w:r>
          </w:p>
        </w:tc>
        <w:tc>
          <w:tcPr>
            <w:tcW w:w="5294" w:type="dxa"/>
            <w:tcBorders>
              <w:tl2br w:val="nil"/>
              <w:tr2bl w:val="nil"/>
            </w:tcBorders>
            <w:noWrap w:val="0"/>
            <w:vAlign w:val="center"/>
          </w:tcPr>
          <w:p w14:paraId="45F53D4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内容</w:t>
            </w:r>
          </w:p>
        </w:tc>
        <w:tc>
          <w:tcPr>
            <w:tcW w:w="667" w:type="dxa"/>
            <w:tcBorders>
              <w:tl2br w:val="nil"/>
              <w:tr2bl w:val="nil"/>
            </w:tcBorders>
            <w:noWrap w:val="0"/>
            <w:vAlign w:val="center"/>
          </w:tcPr>
          <w:p w14:paraId="0D313ACD">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结论</w:t>
            </w:r>
          </w:p>
        </w:tc>
      </w:tr>
      <w:tr w14:paraId="1BEB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4E9684E8">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案例管理</w:t>
            </w:r>
          </w:p>
        </w:tc>
        <w:tc>
          <w:tcPr>
            <w:tcW w:w="1784" w:type="dxa"/>
            <w:tcBorders>
              <w:tl2br w:val="nil"/>
              <w:tr2bl w:val="nil"/>
            </w:tcBorders>
            <w:noWrap w:val="0"/>
            <w:vAlign w:val="center"/>
          </w:tcPr>
          <w:p w14:paraId="6324135E">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突</w:t>
            </w:r>
            <w:r>
              <w:rPr>
                <w:rFonts w:hint="default" w:ascii="Times New Roman" w:hAnsi="Times New Roman" w:cs="Times New Roman"/>
                <w:sz w:val="21"/>
                <w:szCs w:val="21"/>
                <w:lang w:val="en-US" w:eastAsia="zh-CN"/>
              </w:rPr>
              <w:t>发</w:t>
            </w:r>
            <w:r>
              <w:rPr>
                <w:rFonts w:hint="default" w:ascii="Times New Roman" w:hAnsi="Times New Roman" w:eastAsia="仿宋" w:cs="Times New Roman"/>
                <w:sz w:val="21"/>
                <w:szCs w:val="21"/>
                <w:lang w:val="en-US" w:eastAsia="zh-CN"/>
              </w:rPr>
              <w:t>环境事</w:t>
            </w:r>
            <w:r>
              <w:rPr>
                <w:rFonts w:hint="default" w:ascii="Times New Roman" w:hAnsi="Times New Roman" w:cs="Times New Roman"/>
                <w:sz w:val="21"/>
                <w:szCs w:val="21"/>
                <w:lang w:val="en-US" w:eastAsia="zh-CN"/>
              </w:rPr>
              <w:t>件</w:t>
            </w:r>
            <w:r>
              <w:rPr>
                <w:rFonts w:hint="default" w:ascii="Times New Roman" w:hAnsi="Times New Roman" w:eastAsia="仿宋" w:cs="Times New Roman"/>
                <w:sz w:val="21"/>
                <w:szCs w:val="21"/>
                <w:lang w:val="en-US" w:eastAsia="zh-CN"/>
              </w:rPr>
              <w:t>案例管理制度》</w:t>
            </w:r>
          </w:p>
        </w:tc>
        <w:tc>
          <w:tcPr>
            <w:tcW w:w="5294" w:type="dxa"/>
            <w:tcBorders>
              <w:tl2br w:val="nil"/>
              <w:tr2bl w:val="nil"/>
            </w:tcBorders>
            <w:noWrap w:val="0"/>
            <w:vAlign w:val="center"/>
          </w:tcPr>
          <w:p w14:paraId="07B2E20C">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由</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w:t>
            </w:r>
            <w:r>
              <w:rPr>
                <w:rFonts w:hint="default" w:ascii="Times New Roman" w:hAnsi="Times New Roman" w:cs="Times New Roman"/>
                <w:sz w:val="21"/>
                <w:szCs w:val="21"/>
                <w:lang w:val="en-US" w:eastAsia="zh-CN"/>
              </w:rPr>
              <w:t>管理局</w:t>
            </w:r>
            <w:r>
              <w:rPr>
                <w:rFonts w:hint="default" w:ascii="Times New Roman" w:hAnsi="Times New Roman" w:eastAsia="仿宋" w:cs="Times New Roman"/>
                <w:sz w:val="21"/>
                <w:szCs w:val="21"/>
                <w:lang w:val="en-US" w:eastAsia="zh-CN"/>
              </w:rPr>
              <w:t>牵头突发环境事件案例管理工作</w:t>
            </w:r>
            <w:r>
              <w:rPr>
                <w:rFonts w:hint="default" w:ascii="Times New Roman" w:hAnsi="Times New Roman" w:cs="Times New Roman"/>
                <w:sz w:val="21"/>
                <w:szCs w:val="21"/>
                <w:lang w:val="en-US" w:eastAsia="zh-CN"/>
              </w:rPr>
              <w:t>，</w:t>
            </w:r>
            <w:r>
              <w:rPr>
                <w:rFonts w:hint="default" w:ascii="Times New Roman" w:hAnsi="Times New Roman" w:eastAsia="仿宋" w:cs="Times New Roman"/>
                <w:color w:val="auto"/>
                <w:sz w:val="21"/>
                <w:szCs w:val="21"/>
                <w:lang w:val="en-US" w:eastAsia="zh-CN"/>
              </w:rPr>
              <w:t>各乡镇</w:t>
            </w:r>
            <w:r>
              <w:rPr>
                <w:rFonts w:hint="default" w:ascii="Times New Roman" w:hAnsi="Times New Roman" w:cs="Times New Roman"/>
                <w:color w:val="auto"/>
                <w:sz w:val="21"/>
                <w:szCs w:val="21"/>
                <w:lang w:val="en-US" w:eastAsia="zh-CN"/>
              </w:rPr>
              <w:t>环保</w:t>
            </w:r>
            <w:r>
              <w:rPr>
                <w:rFonts w:hint="default" w:ascii="Times New Roman" w:hAnsi="Times New Roman" w:eastAsia="仿宋" w:cs="Times New Roman"/>
                <w:color w:val="auto"/>
                <w:sz w:val="21"/>
                <w:szCs w:val="21"/>
                <w:lang w:val="en-US" w:eastAsia="zh-CN"/>
              </w:rPr>
              <w:t>部门开展工作</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向</w:t>
            </w:r>
            <w:r>
              <w:rPr>
                <w:rFonts w:hint="default" w:ascii="Times New Roman" w:hAnsi="Times New Roman" w:eastAsia="仿宋" w:cs="Times New Roman"/>
                <w:sz w:val="21"/>
                <w:szCs w:val="21"/>
                <w:lang w:val="en-US" w:eastAsia="zh-CN"/>
              </w:rPr>
              <w:t>肇事企业、个人或有关</w:t>
            </w:r>
            <w:r>
              <w:rPr>
                <w:rFonts w:hint="default" w:ascii="Times New Roman" w:hAnsi="Times New Roman" w:cs="Times New Roman"/>
                <w:sz w:val="21"/>
                <w:szCs w:val="21"/>
                <w:lang w:val="en-US" w:eastAsia="zh-CN"/>
              </w:rPr>
              <w:t>单位</w:t>
            </w:r>
            <w:r>
              <w:rPr>
                <w:rFonts w:hint="default" w:ascii="Times New Roman" w:hAnsi="Times New Roman" w:eastAsia="仿宋" w:cs="Times New Roman"/>
                <w:sz w:val="21"/>
                <w:szCs w:val="21"/>
                <w:lang w:val="en-US" w:eastAsia="zh-CN"/>
              </w:rPr>
              <w:t>收集相关资料</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并将掌握的资料及时移交给区应急中心。</w:t>
            </w:r>
          </w:p>
        </w:tc>
        <w:tc>
          <w:tcPr>
            <w:tcW w:w="667" w:type="dxa"/>
            <w:tcBorders>
              <w:tl2br w:val="nil"/>
              <w:tr2bl w:val="nil"/>
            </w:tcBorders>
            <w:noWrap w:val="0"/>
            <w:vAlign w:val="center"/>
          </w:tcPr>
          <w:p w14:paraId="4A922786">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00BC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5542DFA5">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专家管理</w:t>
            </w:r>
          </w:p>
        </w:tc>
        <w:tc>
          <w:tcPr>
            <w:tcW w:w="1784" w:type="dxa"/>
            <w:tcBorders>
              <w:tl2br w:val="nil"/>
              <w:tr2bl w:val="nil"/>
            </w:tcBorders>
            <w:noWrap w:val="0"/>
            <w:vAlign w:val="center"/>
          </w:tcPr>
          <w:p w14:paraId="5C32D9BB">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环境应急专家</w:t>
            </w:r>
            <w:r>
              <w:rPr>
                <w:rFonts w:hint="default" w:ascii="Times New Roman" w:hAnsi="Times New Roman" w:cs="Times New Roman"/>
                <w:sz w:val="21"/>
                <w:szCs w:val="21"/>
                <w:lang w:val="en-US" w:eastAsia="zh-CN"/>
              </w:rPr>
              <w:t>管</w:t>
            </w:r>
            <w:r>
              <w:rPr>
                <w:rFonts w:hint="default" w:ascii="Times New Roman" w:hAnsi="Times New Roman" w:eastAsia="仿宋" w:cs="Times New Roman"/>
                <w:sz w:val="21"/>
                <w:szCs w:val="21"/>
                <w:lang w:val="en-US" w:eastAsia="zh-CN"/>
              </w:rPr>
              <w:t>理办法》</w:t>
            </w:r>
          </w:p>
        </w:tc>
        <w:tc>
          <w:tcPr>
            <w:tcW w:w="5294" w:type="dxa"/>
            <w:tcBorders>
              <w:tl2br w:val="nil"/>
              <w:tr2bl w:val="nil"/>
            </w:tcBorders>
            <w:noWrap w:val="0"/>
            <w:vAlign w:val="center"/>
          </w:tcPr>
          <w:p w14:paraId="475EA817">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环境应急专家认真履行工作职责，按</w:t>
            </w:r>
            <w:r>
              <w:rPr>
                <w:rFonts w:hint="default" w:ascii="Times New Roman" w:hAnsi="Times New Roman" w:cs="Times New Roman"/>
                <w:sz w:val="21"/>
                <w:szCs w:val="21"/>
                <w:lang w:val="en-US" w:eastAsia="zh-CN"/>
              </w:rPr>
              <w:t>照</w:t>
            </w:r>
            <w:r>
              <w:rPr>
                <w:rFonts w:hint="default" w:ascii="Times New Roman" w:hAnsi="Times New Roman" w:eastAsia="仿宋" w:cs="Times New Roman"/>
                <w:sz w:val="21"/>
                <w:szCs w:val="21"/>
                <w:lang w:val="en-US" w:eastAsia="zh-CN"/>
              </w:rPr>
              <w:t>此办法</w:t>
            </w:r>
            <w:r>
              <w:rPr>
                <w:rFonts w:hint="default" w:ascii="Times New Roman" w:hAnsi="Times New Roman" w:cs="Times New Roman"/>
                <w:sz w:val="21"/>
                <w:szCs w:val="21"/>
                <w:lang w:val="en-US" w:eastAsia="zh-CN"/>
              </w:rPr>
              <w:t>进行</w:t>
            </w:r>
            <w:r>
              <w:rPr>
                <w:rFonts w:hint="default" w:ascii="Times New Roman" w:hAnsi="Times New Roman" w:eastAsia="仿宋" w:cs="Times New Roman"/>
                <w:sz w:val="21"/>
                <w:szCs w:val="21"/>
                <w:lang w:val="en-US" w:eastAsia="zh-CN"/>
              </w:rPr>
              <w:t>各类环境应急咨询工作</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为全县环境应急管理工作提供切实可行的决策建议专业</w:t>
            </w:r>
            <w:r>
              <w:rPr>
                <w:rFonts w:hint="default" w:ascii="Times New Roman" w:hAnsi="Times New Roman" w:cs="Times New Roman"/>
                <w:sz w:val="21"/>
                <w:szCs w:val="21"/>
                <w:lang w:val="en-US" w:eastAsia="zh-CN"/>
              </w:rPr>
              <w:t>咨询</w:t>
            </w:r>
            <w:r>
              <w:rPr>
                <w:rFonts w:hint="default" w:ascii="Times New Roman" w:hAnsi="Times New Roman" w:eastAsia="仿宋" w:cs="Times New Roman"/>
                <w:sz w:val="21"/>
                <w:szCs w:val="21"/>
                <w:lang w:val="en-US" w:eastAsia="zh-CN"/>
              </w:rPr>
              <w:t>、理论指导和技术支持。</w:t>
            </w:r>
          </w:p>
        </w:tc>
        <w:tc>
          <w:tcPr>
            <w:tcW w:w="667" w:type="dxa"/>
            <w:tcBorders>
              <w:tl2br w:val="nil"/>
              <w:tr2bl w:val="nil"/>
            </w:tcBorders>
            <w:noWrap w:val="0"/>
            <w:vAlign w:val="center"/>
          </w:tcPr>
          <w:p w14:paraId="0E297226">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1EE7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1E433F78">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信息报告</w:t>
            </w:r>
          </w:p>
        </w:tc>
        <w:tc>
          <w:tcPr>
            <w:tcW w:w="1784" w:type="dxa"/>
            <w:tcBorders>
              <w:tl2br w:val="nil"/>
              <w:tr2bl w:val="nil"/>
            </w:tcBorders>
            <w:noWrap w:val="0"/>
            <w:vAlign w:val="center"/>
          </w:tcPr>
          <w:p w14:paraId="2682E50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突发环境事</w:t>
            </w:r>
            <w:r>
              <w:rPr>
                <w:rFonts w:hint="default" w:ascii="Times New Roman" w:hAnsi="Times New Roman" w:cs="Times New Roman"/>
                <w:sz w:val="21"/>
                <w:szCs w:val="21"/>
                <w:lang w:val="en-US" w:eastAsia="zh-CN"/>
              </w:rPr>
              <w:t>件</w:t>
            </w:r>
            <w:r>
              <w:rPr>
                <w:rFonts w:hint="default" w:ascii="Times New Roman" w:hAnsi="Times New Roman" w:eastAsia="仿宋" w:cs="Times New Roman"/>
                <w:sz w:val="21"/>
                <w:szCs w:val="21"/>
                <w:lang w:val="en-US" w:eastAsia="zh-CN"/>
              </w:rPr>
              <w:t>信息报告办法》</w:t>
            </w:r>
          </w:p>
        </w:tc>
        <w:tc>
          <w:tcPr>
            <w:tcW w:w="5294" w:type="dxa"/>
            <w:tcBorders>
              <w:tl2br w:val="nil"/>
              <w:tr2bl w:val="nil"/>
            </w:tcBorders>
            <w:noWrap w:val="0"/>
            <w:vAlign w:val="center"/>
          </w:tcPr>
          <w:p w14:paraId="71B0F392">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发生突发环境事件的</w:t>
            </w:r>
            <w:r>
              <w:rPr>
                <w:rFonts w:hint="default" w:ascii="Times New Roman" w:hAnsi="Times New Roman" w:cs="Times New Roman"/>
                <w:sz w:val="21"/>
                <w:szCs w:val="21"/>
                <w:lang w:val="en-US" w:eastAsia="zh-CN"/>
              </w:rPr>
              <w:t>，各乡镇环保部门</w:t>
            </w:r>
            <w:r>
              <w:rPr>
                <w:rFonts w:hint="default" w:ascii="Times New Roman" w:hAnsi="Times New Roman" w:eastAsia="仿宋" w:cs="Times New Roman"/>
                <w:sz w:val="21"/>
                <w:szCs w:val="21"/>
                <w:lang w:val="en-US" w:eastAsia="zh-CN"/>
              </w:rPr>
              <w:t>在发现和得知环境事</w:t>
            </w:r>
            <w:r>
              <w:rPr>
                <w:rFonts w:hint="default" w:ascii="Times New Roman" w:hAnsi="Times New Roman" w:cs="Times New Roman"/>
                <w:sz w:val="21"/>
                <w:szCs w:val="21"/>
                <w:lang w:val="en-US" w:eastAsia="zh-CN"/>
              </w:rPr>
              <w:t>件</w:t>
            </w:r>
            <w:r>
              <w:rPr>
                <w:rFonts w:hint="default" w:ascii="Times New Roman" w:hAnsi="Times New Roman" w:eastAsia="仿宋" w:cs="Times New Roman"/>
                <w:sz w:val="21"/>
                <w:szCs w:val="21"/>
                <w:lang w:val="en-US" w:eastAsia="zh-CN"/>
              </w:rPr>
              <w:t>信息后</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立即赶赴现场进行核实。同时报</w:t>
            </w:r>
            <w:r>
              <w:rPr>
                <w:rFonts w:hint="default" w:ascii="Times New Roman" w:hAnsi="Times New Roman" w:cs="Times New Roman"/>
                <w:sz w:val="21"/>
                <w:szCs w:val="21"/>
                <w:lang w:val="en-US" w:eastAsia="zh-CN"/>
              </w:rPr>
              <w:t>市县</w:t>
            </w:r>
            <w:r>
              <w:rPr>
                <w:rFonts w:hint="eastAsia" w:cs="Times New Roman"/>
                <w:sz w:val="21"/>
                <w:szCs w:val="21"/>
                <w:lang w:val="en-US" w:eastAsia="zh-CN"/>
              </w:rPr>
              <w:t>生</w:t>
            </w:r>
            <w:r>
              <w:rPr>
                <w:rFonts w:hint="default" w:ascii="Times New Roman" w:hAnsi="Times New Roman" w:cs="Times New Roman"/>
                <w:sz w:val="21"/>
                <w:szCs w:val="21"/>
                <w:lang w:val="en-US" w:eastAsia="zh-CN"/>
              </w:rPr>
              <w:t>态环境</w:t>
            </w:r>
            <w:r>
              <w:rPr>
                <w:rFonts w:hint="default" w:ascii="Times New Roman" w:hAnsi="Times New Roman" w:eastAsia="仿宋" w:cs="Times New Roman"/>
                <w:sz w:val="21"/>
                <w:szCs w:val="21"/>
                <w:lang w:val="en-US" w:eastAsia="zh-CN"/>
              </w:rPr>
              <w:t>局</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积极配合</w:t>
            </w:r>
            <w:r>
              <w:rPr>
                <w:rFonts w:hint="eastAsia" w:cs="Times New Roman"/>
                <w:sz w:val="21"/>
                <w:szCs w:val="21"/>
                <w:lang w:val="en-US" w:eastAsia="zh-CN"/>
              </w:rPr>
              <w:t>县生态环境局</w:t>
            </w:r>
            <w:r>
              <w:rPr>
                <w:rFonts w:hint="default" w:ascii="Times New Roman" w:hAnsi="Times New Roman" w:eastAsia="仿宋" w:cs="Times New Roman"/>
                <w:sz w:val="21"/>
                <w:szCs w:val="21"/>
                <w:lang w:val="en-US" w:eastAsia="zh-CN"/>
              </w:rPr>
              <w:t>开展现场调查工作。</w:t>
            </w:r>
          </w:p>
        </w:tc>
        <w:tc>
          <w:tcPr>
            <w:tcW w:w="667" w:type="dxa"/>
            <w:tcBorders>
              <w:tl2br w:val="nil"/>
              <w:tr2bl w:val="nil"/>
            </w:tcBorders>
            <w:noWrap w:val="0"/>
            <w:vAlign w:val="center"/>
          </w:tcPr>
          <w:p w14:paraId="48BD0BD4">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7842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0B5E871F">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应急调查</w:t>
            </w:r>
          </w:p>
        </w:tc>
        <w:tc>
          <w:tcPr>
            <w:tcW w:w="1784" w:type="dxa"/>
            <w:tcBorders>
              <w:tl2br w:val="nil"/>
              <w:tr2bl w:val="nil"/>
            </w:tcBorders>
            <w:noWrap w:val="0"/>
            <w:vAlign w:val="center"/>
          </w:tcPr>
          <w:p w14:paraId="1D443007">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突</w:t>
            </w:r>
            <w:r>
              <w:rPr>
                <w:rFonts w:hint="default" w:ascii="Times New Roman" w:hAnsi="Times New Roman" w:cs="Times New Roman"/>
                <w:sz w:val="21"/>
                <w:szCs w:val="21"/>
                <w:lang w:val="en-US" w:eastAsia="zh-CN"/>
              </w:rPr>
              <w:t>发</w:t>
            </w:r>
            <w:r>
              <w:rPr>
                <w:rFonts w:hint="default" w:ascii="Times New Roman" w:hAnsi="Times New Roman" w:eastAsia="仿宋" w:cs="Times New Roman"/>
                <w:sz w:val="21"/>
                <w:szCs w:val="21"/>
                <w:lang w:val="en-US" w:eastAsia="zh-CN"/>
              </w:rPr>
              <w:t>环境事件应急调查制度》</w:t>
            </w:r>
          </w:p>
        </w:tc>
        <w:tc>
          <w:tcPr>
            <w:tcW w:w="5294" w:type="dxa"/>
            <w:tcBorders>
              <w:tl2br w:val="nil"/>
              <w:tr2bl w:val="nil"/>
            </w:tcBorders>
            <w:noWrap w:val="0"/>
            <w:vAlign w:val="center"/>
          </w:tcPr>
          <w:p w14:paraId="0706462F">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各应急人员严格遵守“五个第一。即</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第一时间</w:t>
            </w:r>
            <w:r>
              <w:rPr>
                <w:rFonts w:hint="default" w:ascii="Times New Roman" w:hAnsi="Times New Roman" w:cs="Times New Roman"/>
                <w:sz w:val="21"/>
                <w:szCs w:val="21"/>
                <w:lang w:val="en-US" w:eastAsia="zh-CN"/>
              </w:rPr>
              <w:t>准确判断</w:t>
            </w:r>
            <w:r>
              <w:rPr>
                <w:rFonts w:hint="default" w:ascii="Times New Roman" w:hAnsi="Times New Roman" w:eastAsia="仿宋" w:cs="Times New Roman"/>
                <w:sz w:val="21"/>
                <w:szCs w:val="21"/>
                <w:lang w:val="en-US" w:eastAsia="zh-CN"/>
              </w:rPr>
              <w:t>。第一时间赶赴现场、</w:t>
            </w:r>
            <w:r>
              <w:rPr>
                <w:rFonts w:hint="eastAsia" w:cs="Times New Roman"/>
                <w:sz w:val="21"/>
                <w:szCs w:val="21"/>
                <w:lang w:val="en-US" w:eastAsia="zh-CN"/>
              </w:rPr>
              <w:t>第一时间</w:t>
            </w:r>
            <w:r>
              <w:rPr>
                <w:rFonts w:hint="default" w:ascii="Times New Roman" w:hAnsi="Times New Roman" w:eastAsia="仿宋" w:cs="Times New Roman"/>
                <w:sz w:val="21"/>
                <w:szCs w:val="21"/>
                <w:lang w:val="en-US" w:eastAsia="zh-CN"/>
              </w:rPr>
              <w:t>开展监测</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第一时间组织开展调查</w:t>
            </w:r>
            <w:r>
              <w:rPr>
                <w:rFonts w:hint="default" w:ascii="Times New Roman" w:hAnsi="Times New Roman" w:cs="Times New Roman"/>
                <w:sz w:val="21"/>
                <w:szCs w:val="21"/>
                <w:lang w:val="en-US" w:eastAsia="zh-CN"/>
              </w:rPr>
              <w:t>、</w:t>
            </w:r>
            <w:r>
              <w:rPr>
                <w:rFonts w:hint="eastAsia" w:cs="Times New Roman"/>
                <w:sz w:val="21"/>
                <w:szCs w:val="21"/>
                <w:lang w:val="en-US" w:eastAsia="zh-CN"/>
              </w:rPr>
              <w:t>第一时间</w:t>
            </w:r>
            <w:r>
              <w:rPr>
                <w:rFonts w:hint="default" w:ascii="Times New Roman" w:hAnsi="Times New Roman" w:eastAsia="仿宋" w:cs="Times New Roman"/>
                <w:sz w:val="21"/>
                <w:szCs w:val="21"/>
                <w:lang w:val="en-US" w:eastAsia="zh-CN"/>
              </w:rPr>
              <w:t>向社会发布信息。</w:t>
            </w:r>
          </w:p>
        </w:tc>
        <w:tc>
          <w:tcPr>
            <w:tcW w:w="667" w:type="dxa"/>
            <w:tcBorders>
              <w:tl2br w:val="nil"/>
              <w:tr2bl w:val="nil"/>
            </w:tcBorders>
            <w:noWrap w:val="0"/>
            <w:vAlign w:val="center"/>
          </w:tcPr>
          <w:p w14:paraId="14BD4094">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3EB3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1FBA011F">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管理培训</w:t>
            </w:r>
          </w:p>
        </w:tc>
        <w:tc>
          <w:tcPr>
            <w:tcW w:w="1784" w:type="dxa"/>
            <w:tcBorders>
              <w:tl2br w:val="nil"/>
              <w:tr2bl w:val="nil"/>
            </w:tcBorders>
            <w:noWrap w:val="0"/>
            <w:vAlign w:val="center"/>
          </w:tcPr>
          <w:p w14:paraId="596F7BCB">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环境应急管理办法》</w:t>
            </w:r>
          </w:p>
        </w:tc>
        <w:tc>
          <w:tcPr>
            <w:tcW w:w="5294" w:type="dxa"/>
            <w:tcBorders>
              <w:tl2br w:val="nil"/>
              <w:tr2bl w:val="nil"/>
            </w:tcBorders>
            <w:noWrap w:val="0"/>
            <w:vAlign w:val="center"/>
          </w:tcPr>
          <w:p w14:paraId="49F4309B">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为遵守“属地为主，分级负责、以人为本，分类培训”的原则</w:t>
            </w:r>
            <w:r>
              <w:rPr>
                <w:rFonts w:hint="default" w:ascii="Times New Roman" w:hAnsi="Times New Roman"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环境应急管理人员均应接受岗位培训。</w:t>
            </w:r>
          </w:p>
        </w:tc>
        <w:tc>
          <w:tcPr>
            <w:tcW w:w="667" w:type="dxa"/>
            <w:tcBorders>
              <w:tl2br w:val="nil"/>
              <w:tr2bl w:val="nil"/>
            </w:tcBorders>
            <w:noWrap w:val="0"/>
            <w:vAlign w:val="center"/>
          </w:tcPr>
          <w:p w14:paraId="43579947">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42DF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6EF813C8">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应急演练</w:t>
            </w:r>
          </w:p>
        </w:tc>
        <w:tc>
          <w:tcPr>
            <w:tcW w:w="1784" w:type="dxa"/>
            <w:tcBorders>
              <w:tl2br w:val="nil"/>
              <w:tr2bl w:val="nil"/>
            </w:tcBorders>
            <w:noWrap w:val="0"/>
            <w:vAlign w:val="center"/>
          </w:tcPr>
          <w:p w14:paraId="42132577">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突发环境事件应急演练管理办法》</w:t>
            </w:r>
          </w:p>
        </w:tc>
        <w:tc>
          <w:tcPr>
            <w:tcW w:w="5294" w:type="dxa"/>
            <w:tcBorders>
              <w:tl2br w:val="nil"/>
              <w:tr2bl w:val="nil"/>
            </w:tcBorders>
            <w:noWrap w:val="0"/>
            <w:vAlign w:val="center"/>
          </w:tcPr>
          <w:p w14:paraId="32C6AD51">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各乡镇（街道)人民政府、企事业单位、社会</w:t>
            </w:r>
            <w:r>
              <w:rPr>
                <w:rFonts w:hint="default" w:ascii="Times New Roman" w:hAnsi="Times New Roman" w:cs="Times New Roman"/>
                <w:sz w:val="21"/>
                <w:szCs w:val="21"/>
                <w:lang w:val="en-US" w:eastAsia="zh-CN"/>
              </w:rPr>
              <w:t>人员</w:t>
            </w:r>
            <w:r>
              <w:rPr>
                <w:rFonts w:hint="default" w:ascii="Times New Roman" w:hAnsi="Times New Roman" w:eastAsia="仿宋" w:cs="Times New Roman"/>
                <w:sz w:val="21"/>
                <w:szCs w:val="21"/>
                <w:lang w:val="en-US" w:eastAsia="zh-CN"/>
              </w:rPr>
              <w:t>每年至少组织一次预案培训工作，县环境应急中心应每年至少组织一次综合性环境应急演练和饮用水源环境安全应急演练。</w:t>
            </w:r>
          </w:p>
        </w:tc>
        <w:tc>
          <w:tcPr>
            <w:tcW w:w="667" w:type="dxa"/>
            <w:tcBorders>
              <w:tl2br w:val="nil"/>
              <w:tr2bl w:val="nil"/>
            </w:tcBorders>
            <w:noWrap w:val="0"/>
            <w:vAlign w:val="center"/>
          </w:tcPr>
          <w:p w14:paraId="41F9B1C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4D05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046D5E09">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应急物资调用</w:t>
            </w:r>
          </w:p>
        </w:tc>
        <w:tc>
          <w:tcPr>
            <w:tcW w:w="1784" w:type="dxa"/>
            <w:tcBorders>
              <w:tl2br w:val="nil"/>
              <w:tr2bl w:val="nil"/>
            </w:tcBorders>
            <w:noWrap w:val="0"/>
            <w:vAlign w:val="center"/>
          </w:tcPr>
          <w:p w14:paraId="5C6EF2FC">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环境应急中心应急物资调用制度》</w:t>
            </w:r>
          </w:p>
        </w:tc>
        <w:tc>
          <w:tcPr>
            <w:tcW w:w="5294" w:type="dxa"/>
            <w:tcBorders>
              <w:tl2br w:val="nil"/>
              <w:tr2bl w:val="nil"/>
            </w:tcBorders>
            <w:noWrap w:val="0"/>
            <w:vAlign w:val="center"/>
          </w:tcPr>
          <w:p w14:paraId="35F9DE76">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环境应急中心依托自身力量建设环境应急物资储备库房，并负责物资储备库房的日常管理。</w:t>
            </w:r>
          </w:p>
        </w:tc>
        <w:tc>
          <w:tcPr>
            <w:tcW w:w="667" w:type="dxa"/>
            <w:tcBorders>
              <w:tl2br w:val="nil"/>
              <w:tr2bl w:val="nil"/>
            </w:tcBorders>
            <w:noWrap w:val="0"/>
            <w:vAlign w:val="center"/>
          </w:tcPr>
          <w:p w14:paraId="0ED77BE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6828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29AA1BE5">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应急物资、设备联动</w:t>
            </w:r>
          </w:p>
        </w:tc>
        <w:tc>
          <w:tcPr>
            <w:tcW w:w="1784" w:type="dxa"/>
            <w:tcBorders>
              <w:tl2br w:val="nil"/>
              <w:tr2bl w:val="nil"/>
            </w:tcBorders>
            <w:noWrap w:val="0"/>
            <w:vAlign w:val="center"/>
          </w:tcPr>
          <w:p w14:paraId="67576CC1">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《关于建立环境应急物资、设备联动保障机制》</w:t>
            </w:r>
          </w:p>
        </w:tc>
        <w:tc>
          <w:tcPr>
            <w:tcW w:w="5294" w:type="dxa"/>
            <w:tcBorders>
              <w:tl2br w:val="nil"/>
              <w:tr2bl w:val="nil"/>
            </w:tcBorders>
            <w:noWrap w:val="0"/>
            <w:vAlign w:val="center"/>
          </w:tcPr>
          <w:p w14:paraId="0C4CF701">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与</w:t>
            </w:r>
            <w:r>
              <w:rPr>
                <w:rFonts w:hint="default" w:ascii="Times New Roman" w:hAnsi="Times New Roman" w:cs="Times New Roman"/>
                <w:sz w:val="21"/>
                <w:szCs w:val="21"/>
                <w:lang w:val="en-US" w:eastAsia="zh-CN"/>
              </w:rPr>
              <w:t>各乡镇</w:t>
            </w:r>
            <w:r>
              <w:rPr>
                <w:rFonts w:hint="default" w:ascii="Times New Roman" w:hAnsi="Times New Roman" w:eastAsia="仿宋" w:cs="Times New Roman"/>
                <w:sz w:val="21"/>
                <w:szCs w:val="21"/>
                <w:lang w:val="en-US" w:eastAsia="zh-CN"/>
              </w:rPr>
              <w:t>建立了环境风险防范应急联动机制，并且在</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生态环境部门与安全生产监督管理部门、公安消防大队等建立了应急联动工作机制</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同时对</w:t>
            </w:r>
            <w:r>
              <w:rPr>
                <w:rFonts w:hint="default" w:ascii="Times New Roman" w:hAnsi="Times New Roman" w:cs="Times New Roman"/>
                <w:sz w:val="21"/>
                <w:szCs w:val="21"/>
                <w:lang w:val="en-US" w:eastAsia="zh-CN"/>
              </w:rPr>
              <w:t>亳清河</w:t>
            </w:r>
            <w:r>
              <w:rPr>
                <w:rFonts w:hint="default" w:ascii="Times New Roman" w:hAnsi="Times New Roman" w:eastAsia="仿宋" w:cs="Times New Roman"/>
                <w:sz w:val="21"/>
                <w:szCs w:val="21"/>
                <w:lang w:val="en-US" w:eastAsia="zh-CN"/>
              </w:rPr>
              <w:t>流域水、大气实施联防联控。</w:t>
            </w:r>
          </w:p>
        </w:tc>
        <w:tc>
          <w:tcPr>
            <w:tcW w:w="667" w:type="dxa"/>
            <w:tcBorders>
              <w:tl2br w:val="nil"/>
              <w:tr2bl w:val="nil"/>
            </w:tcBorders>
            <w:noWrap w:val="0"/>
            <w:vAlign w:val="center"/>
          </w:tcPr>
          <w:p w14:paraId="5C25CB0A">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576D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1C63C9B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应急库房</w:t>
            </w:r>
          </w:p>
        </w:tc>
        <w:tc>
          <w:tcPr>
            <w:tcW w:w="1784" w:type="dxa"/>
            <w:tcBorders>
              <w:tl2br w:val="nil"/>
              <w:tr2bl w:val="nil"/>
            </w:tcBorders>
            <w:noWrap w:val="0"/>
            <w:vAlign w:val="center"/>
          </w:tcPr>
          <w:p w14:paraId="5BA6A2DC">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环境应急库房管理制度》</w:t>
            </w:r>
          </w:p>
        </w:tc>
        <w:tc>
          <w:tcPr>
            <w:tcW w:w="5294" w:type="dxa"/>
            <w:tcBorders>
              <w:tl2br w:val="nil"/>
              <w:tr2bl w:val="nil"/>
            </w:tcBorders>
            <w:noWrap w:val="0"/>
            <w:vAlign w:val="center"/>
          </w:tcPr>
          <w:p w14:paraId="5962B332">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库房管理员要有责任感，安全意识。库房内设置防潮、通风、防盗、防鼠、防虫等安全设施。</w:t>
            </w:r>
          </w:p>
        </w:tc>
        <w:tc>
          <w:tcPr>
            <w:tcW w:w="667" w:type="dxa"/>
            <w:tcBorders>
              <w:tl2br w:val="nil"/>
              <w:tr2bl w:val="nil"/>
            </w:tcBorders>
            <w:noWrap w:val="0"/>
            <w:vAlign w:val="center"/>
          </w:tcPr>
          <w:p w14:paraId="0748F8E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bl>
    <w:p w14:paraId="1FC69B3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根据上表和文中对</w:t>
      </w:r>
      <w:r>
        <w:rPr>
          <w:rFonts w:hint="eastAsia" w:eastAsia="仿宋" w:cs="Times New Roman"/>
          <w:color w:val="000000"/>
          <w:kern w:val="0"/>
          <w:sz w:val="28"/>
          <w:szCs w:val="28"/>
          <w:lang w:val="en-US" w:eastAsia="zh-CN" w:bidi="ar"/>
        </w:rPr>
        <w:t>兴县</w:t>
      </w:r>
      <w:r>
        <w:rPr>
          <w:rFonts w:hint="default" w:ascii="Times New Roman" w:hAnsi="Times New Roman" w:eastAsia="仿宋" w:cs="Times New Roman"/>
          <w:color w:val="000000"/>
          <w:kern w:val="0"/>
          <w:sz w:val="28"/>
          <w:szCs w:val="28"/>
          <w:lang w:val="en-US" w:eastAsia="zh-CN" w:bidi="ar"/>
        </w:rPr>
        <w:t>应急能力的评估可知，该区域在环境应急物资、设备联动等方面相对比较完善，建议</w:t>
      </w:r>
      <w:r>
        <w:rPr>
          <w:rFonts w:hint="eastAsia" w:eastAsia="仿宋" w:cs="Times New Roman"/>
          <w:color w:val="000000"/>
          <w:kern w:val="0"/>
          <w:sz w:val="28"/>
          <w:szCs w:val="28"/>
          <w:lang w:val="en-US" w:eastAsia="zh-CN" w:bidi="ar"/>
        </w:rPr>
        <w:t>兴县</w:t>
      </w:r>
      <w:r>
        <w:rPr>
          <w:rFonts w:hint="default" w:ascii="Times New Roman" w:hAnsi="Times New Roman" w:eastAsia="仿宋" w:cs="Times New Roman"/>
          <w:color w:val="000000"/>
          <w:kern w:val="0"/>
          <w:sz w:val="28"/>
          <w:szCs w:val="28"/>
          <w:lang w:val="en-US" w:eastAsia="zh-CN" w:bidi="ar"/>
        </w:rPr>
        <w:t>加强日常管理，强化应急调查，以进一步提升企业突发环境事件应急能力。</w:t>
      </w:r>
    </w:p>
    <w:p w14:paraId="34DE2781">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pPr>
    </w:p>
    <w:p w14:paraId="0718758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p>
    <w:p w14:paraId="2A58C426">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41" w:name="_Toc2444"/>
      <w:bookmarkStart w:id="142" w:name="_Toc2665"/>
      <w:r>
        <w:rPr>
          <w:rFonts w:hint="default" w:ascii="Times New Roman" w:hAnsi="Times New Roman" w:eastAsia="仿宋" w:cs="Times New Roman"/>
          <w:b/>
          <w:bCs/>
          <w:color w:val="auto"/>
          <w:kern w:val="0"/>
          <w:sz w:val="44"/>
          <w:lang w:val="en-US" w:eastAsia="zh-CN"/>
        </w:rPr>
        <w:t>9整改措施及计划</w:t>
      </w:r>
      <w:bookmarkEnd w:id="141"/>
      <w:bookmarkEnd w:id="142"/>
    </w:p>
    <w:p w14:paraId="1560887B">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43" w:name="_Toc15179"/>
      <w:bookmarkStart w:id="144" w:name="_Toc32365"/>
      <w:r>
        <w:rPr>
          <w:rFonts w:hint="default" w:ascii="Times New Roman" w:hAnsi="Times New Roman" w:eastAsia="仿宋" w:cs="Times New Roman"/>
          <w:color w:val="auto"/>
          <w:kern w:val="0"/>
          <w:sz w:val="32"/>
          <w:lang w:val="en-US" w:eastAsia="zh-CN"/>
        </w:rPr>
        <w:t>9.1整改措施</w:t>
      </w:r>
      <w:bookmarkEnd w:id="143"/>
      <w:bookmarkEnd w:id="144"/>
    </w:p>
    <w:p w14:paraId="02F1482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（1）应强化兴县环境风险系统信息收集，建立环境风险系统信息档案，了解和掌握区域内环境风险源、初级控制机制、次级控制机制及风险受体的分布及状况。</w:t>
      </w:r>
    </w:p>
    <w:p w14:paraId="2A07080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（2）逐步建设兴县风险监控及预警平台，实现对兴县企业环境风险监督和管理的信息化、标准化管理。</w:t>
      </w:r>
    </w:p>
    <w:p w14:paraId="710CCC0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（3）对企业危险源进行实时监控，一旦危险源出现跑、冒、滴、漏等异常，及时通知企业采取相应措施，进行整改，杜绝演变成泄漏事故、火灾爆炸事故，酿成重大后果。</w:t>
      </w:r>
    </w:p>
    <w:p w14:paraId="2471B8B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（4）兴县根据应急预案要求，加强对职工开展环境风险和环境应急管理宣传、培训，定期组织应急演练。</w:t>
      </w:r>
    </w:p>
    <w:p w14:paraId="6AD7CA2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在兴县设置危险化学品运输专用路线，尽量避免穿越居住区，必须从居住区穿行的，应尽量减少穿行的线路长度和频次，并安装视频进行实时监控，监控兴县危化品运输路线危化品车辆有无超速、抛洒情况及非法运输情况，在环境风险事故发生时指挥人员疏散、进行道路封闭和整合救援资源等。</w:t>
      </w:r>
    </w:p>
    <w:p w14:paraId="0662619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（6）在兴县危险化学品专用路线确定前，在河段设置拦截沙袋；在兴县危险化学品专用路线确定后，在路段设置导流槽、应急事故池等风险防范措施。</w:t>
      </w:r>
    </w:p>
    <w:p w14:paraId="68351B3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（7）提高兴县环境风险企业应急预案与风险评估的备案率，并且建议更新突发环境事件风险评估及应急预案平台上现有已超过三年期限的企业应急预案与风险评估。</w:t>
      </w:r>
    </w:p>
    <w:p w14:paraId="38A3DC87">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45" w:name="_Toc32184"/>
      <w:bookmarkStart w:id="146" w:name="_Toc29912"/>
      <w:r>
        <w:rPr>
          <w:rFonts w:hint="default" w:ascii="Times New Roman" w:hAnsi="Times New Roman" w:eastAsia="仿宋" w:cs="Times New Roman"/>
          <w:color w:val="auto"/>
          <w:kern w:val="0"/>
          <w:sz w:val="32"/>
          <w:lang w:val="en-US" w:eastAsia="zh-CN"/>
        </w:rPr>
        <w:t>9.2整改计划</w:t>
      </w:r>
      <w:bookmarkEnd w:id="145"/>
      <w:bookmarkEnd w:id="146"/>
    </w:p>
    <w:p w14:paraId="1A196D3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考虑兴县开发具有一定的时序，同时兴县对于基础设施建设资金投入有限，本方案建议对于兴县内环境风险防范体系的建设可结合实际分期实施，确保在资金有限的情况下切实尽快满足相关环保管理要求，达到实际效果。具体分期实施计划详见下表。</w:t>
      </w:r>
    </w:p>
    <w:p w14:paraId="625644A8">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表9</w:t>
      </w:r>
      <w:r>
        <w:rPr>
          <w:rFonts w:hint="eastAsia"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 xml:space="preserve">-1  </w:t>
      </w:r>
      <w:r>
        <w:rPr>
          <w:rFonts w:hint="default" w:ascii="Times New Roman" w:hAnsi="Times New Roman" w:cs="Times New Roman"/>
          <w:b/>
          <w:bCs/>
          <w:color w:val="auto"/>
          <w:kern w:val="0"/>
          <w:sz w:val="24"/>
          <w:lang w:val="en-US" w:eastAsia="zh-CN"/>
        </w:rPr>
        <w:t>兴县</w:t>
      </w:r>
      <w:r>
        <w:rPr>
          <w:rFonts w:hint="default" w:ascii="Times New Roman" w:hAnsi="Times New Roman" w:eastAsia="仿宋" w:cs="Times New Roman"/>
          <w:b/>
          <w:bCs/>
          <w:color w:val="auto"/>
          <w:kern w:val="0"/>
          <w:sz w:val="24"/>
          <w:lang w:val="en-US" w:eastAsia="zh-CN"/>
        </w:rPr>
        <w:t>环境风险防范基础设施分期计划表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6150"/>
        <w:gridCol w:w="1472"/>
      </w:tblGrid>
      <w:tr w14:paraId="2C6F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l2br w:val="nil"/>
              <w:tr2bl w:val="nil"/>
            </w:tcBorders>
            <w:noWrap w:val="0"/>
            <w:vAlign w:val="center"/>
          </w:tcPr>
          <w:p w14:paraId="293DF94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序号</w:t>
            </w:r>
          </w:p>
        </w:tc>
        <w:tc>
          <w:tcPr>
            <w:tcW w:w="6150" w:type="dxa"/>
            <w:tcBorders>
              <w:tl2br w:val="nil"/>
              <w:tr2bl w:val="nil"/>
            </w:tcBorders>
            <w:noWrap w:val="0"/>
            <w:vAlign w:val="center"/>
          </w:tcPr>
          <w:p w14:paraId="3AF94BD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建设内容</w:t>
            </w:r>
          </w:p>
        </w:tc>
        <w:tc>
          <w:tcPr>
            <w:tcW w:w="1472" w:type="dxa"/>
            <w:tcBorders>
              <w:tl2br w:val="nil"/>
              <w:tr2bl w:val="nil"/>
            </w:tcBorders>
            <w:noWrap w:val="0"/>
            <w:vAlign w:val="center"/>
          </w:tcPr>
          <w:p w14:paraId="1888A82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实施年限</w:t>
            </w:r>
          </w:p>
        </w:tc>
      </w:tr>
      <w:tr w14:paraId="43BD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l2br w:val="nil"/>
              <w:tr2bl w:val="nil"/>
            </w:tcBorders>
            <w:noWrap w:val="0"/>
            <w:vAlign w:val="center"/>
          </w:tcPr>
          <w:p w14:paraId="5A7E50A6">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w:t>
            </w:r>
          </w:p>
        </w:tc>
        <w:tc>
          <w:tcPr>
            <w:tcW w:w="6150" w:type="dxa"/>
            <w:tcBorders>
              <w:tl2br w:val="nil"/>
              <w:tr2bl w:val="nil"/>
            </w:tcBorders>
            <w:noWrap w:val="0"/>
            <w:vAlign w:val="center"/>
          </w:tcPr>
          <w:p w14:paraId="445714C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收集相应的环境风险系统信息，并建立环境风险系统信息档案</w:t>
            </w:r>
          </w:p>
        </w:tc>
        <w:tc>
          <w:tcPr>
            <w:tcW w:w="1472" w:type="dxa"/>
            <w:tcBorders>
              <w:tl2br w:val="nil"/>
              <w:tr2bl w:val="nil"/>
            </w:tcBorders>
            <w:noWrap w:val="0"/>
            <w:vAlign w:val="center"/>
          </w:tcPr>
          <w:p w14:paraId="6DA7D27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2024</w:t>
            </w:r>
          </w:p>
        </w:tc>
      </w:tr>
      <w:tr w14:paraId="61FE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00" w:type="dxa"/>
            <w:tcBorders>
              <w:tl2br w:val="nil"/>
              <w:tr2bl w:val="nil"/>
            </w:tcBorders>
            <w:noWrap w:val="0"/>
            <w:vAlign w:val="center"/>
          </w:tcPr>
          <w:p w14:paraId="6AD37A1B">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w:t>
            </w:r>
          </w:p>
        </w:tc>
        <w:tc>
          <w:tcPr>
            <w:tcW w:w="6150" w:type="dxa"/>
            <w:tcBorders>
              <w:tl2br w:val="nil"/>
              <w:tr2bl w:val="nil"/>
            </w:tcBorders>
            <w:noWrap w:val="0"/>
            <w:vAlign w:val="center"/>
          </w:tcPr>
          <w:p w14:paraId="4BFB446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设置危险化学品运输专用通道</w:t>
            </w:r>
          </w:p>
        </w:tc>
        <w:tc>
          <w:tcPr>
            <w:tcW w:w="1472" w:type="dxa"/>
            <w:tcBorders>
              <w:tl2br w:val="nil"/>
              <w:tr2bl w:val="nil"/>
            </w:tcBorders>
            <w:noWrap w:val="0"/>
            <w:vAlign w:val="center"/>
          </w:tcPr>
          <w:p w14:paraId="5DACE2C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2025</w:t>
            </w:r>
          </w:p>
        </w:tc>
      </w:tr>
      <w:tr w14:paraId="564E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00" w:type="dxa"/>
            <w:tcBorders>
              <w:tl2br w:val="nil"/>
              <w:tr2bl w:val="nil"/>
            </w:tcBorders>
            <w:noWrap w:val="0"/>
            <w:vAlign w:val="center"/>
          </w:tcPr>
          <w:p w14:paraId="7B1C177E">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w:t>
            </w:r>
          </w:p>
        </w:tc>
        <w:tc>
          <w:tcPr>
            <w:tcW w:w="6150" w:type="dxa"/>
            <w:tcBorders>
              <w:tl2br w:val="nil"/>
              <w:tr2bl w:val="nil"/>
            </w:tcBorders>
            <w:noWrap w:val="0"/>
            <w:vAlign w:val="center"/>
          </w:tcPr>
          <w:p w14:paraId="673B6678">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设置拦截沙袋、导流槽、应急事故池</w:t>
            </w:r>
          </w:p>
        </w:tc>
        <w:tc>
          <w:tcPr>
            <w:tcW w:w="1472" w:type="dxa"/>
            <w:tcBorders>
              <w:tl2br w:val="nil"/>
              <w:tr2bl w:val="nil"/>
            </w:tcBorders>
            <w:noWrap w:val="0"/>
            <w:vAlign w:val="center"/>
          </w:tcPr>
          <w:p w14:paraId="4637FD6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2024-2025</w:t>
            </w:r>
          </w:p>
        </w:tc>
      </w:tr>
      <w:tr w14:paraId="3865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00" w:type="dxa"/>
            <w:tcBorders>
              <w:tl2br w:val="nil"/>
              <w:tr2bl w:val="nil"/>
            </w:tcBorders>
            <w:noWrap w:val="0"/>
            <w:vAlign w:val="center"/>
          </w:tcPr>
          <w:p w14:paraId="7298AD8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w:t>
            </w:r>
          </w:p>
        </w:tc>
        <w:tc>
          <w:tcPr>
            <w:tcW w:w="6150" w:type="dxa"/>
            <w:tcBorders>
              <w:tl2br w:val="nil"/>
              <w:tr2bl w:val="nil"/>
            </w:tcBorders>
            <w:noWrap w:val="0"/>
            <w:vAlign w:val="center"/>
          </w:tcPr>
          <w:p w14:paraId="3BBFD0E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更新</w:t>
            </w:r>
            <w:r>
              <w:rPr>
                <w:rFonts w:hint="default" w:ascii="Times New Roman" w:hAnsi="Times New Roman" w:cs="Times New Roman"/>
                <w:color w:val="auto"/>
                <w:kern w:val="0"/>
                <w:sz w:val="21"/>
                <w:szCs w:val="21"/>
                <w:lang w:val="en-US" w:eastAsia="zh-CN"/>
              </w:rPr>
              <w:t>兴县</w:t>
            </w:r>
            <w:r>
              <w:rPr>
                <w:rFonts w:hint="default" w:ascii="Times New Roman" w:hAnsi="Times New Roman" w:eastAsia="仿宋" w:cs="Times New Roman"/>
                <w:color w:val="auto"/>
                <w:kern w:val="0"/>
                <w:sz w:val="21"/>
                <w:szCs w:val="21"/>
                <w:lang w:val="en-US" w:eastAsia="zh-CN"/>
              </w:rPr>
              <w:t>突发环境事件风险评估与应急预案平台上企业风险评估与应急预案</w:t>
            </w:r>
          </w:p>
        </w:tc>
        <w:tc>
          <w:tcPr>
            <w:tcW w:w="1472" w:type="dxa"/>
            <w:tcBorders>
              <w:tl2br w:val="nil"/>
              <w:tr2bl w:val="nil"/>
            </w:tcBorders>
            <w:noWrap w:val="0"/>
            <w:vAlign w:val="center"/>
          </w:tcPr>
          <w:p w14:paraId="34CE4538">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2024-2025</w:t>
            </w:r>
          </w:p>
        </w:tc>
      </w:tr>
    </w:tbl>
    <w:p w14:paraId="19BE2876">
      <w:pPr>
        <w:pStyle w:val="17"/>
        <w:rPr>
          <w:rFonts w:hint="default" w:ascii="Times New Roman" w:hAnsi="Times New Roman" w:cs="Times New Roman"/>
          <w:lang w:val="en-US" w:eastAsia="zh-CN"/>
        </w:rPr>
        <w:sectPr>
          <w:pgSz w:w="11906" w:h="16838"/>
          <w:pgMar w:top="1440" w:right="1800" w:bottom="1440" w:left="1800" w:header="851" w:footer="992" w:gutter="0"/>
          <w:pgNumType w:fmt="numberInDash"/>
          <w:cols w:space="425" w:num="1"/>
          <w:docGrid w:type="lines" w:linePitch="312" w:charSpace="0"/>
        </w:sectPr>
      </w:pPr>
    </w:p>
    <w:p w14:paraId="606570DB">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47" w:name="_Toc7201"/>
      <w:bookmarkStart w:id="148" w:name="_Toc14370"/>
      <w:r>
        <w:rPr>
          <w:rFonts w:hint="default" w:ascii="Times New Roman" w:hAnsi="Times New Roman" w:eastAsia="仿宋" w:cs="Times New Roman"/>
          <w:b/>
          <w:bCs/>
          <w:color w:val="auto"/>
          <w:kern w:val="0"/>
          <w:sz w:val="44"/>
          <w:lang w:val="en-US" w:eastAsia="zh-CN"/>
        </w:rPr>
        <w:t>10结论</w:t>
      </w:r>
      <w:bookmarkEnd w:id="147"/>
      <w:bookmarkEnd w:id="148"/>
    </w:p>
    <w:p w14:paraId="365F9AF0">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49" w:name="_Toc10690"/>
      <w:bookmarkStart w:id="150" w:name="_Toc16603"/>
      <w:r>
        <w:rPr>
          <w:rFonts w:hint="default" w:ascii="Times New Roman" w:hAnsi="Times New Roman" w:eastAsia="仿宋" w:cs="Times New Roman"/>
          <w:color w:val="auto"/>
          <w:kern w:val="0"/>
          <w:sz w:val="32"/>
          <w:lang w:val="en-US" w:eastAsia="zh-CN"/>
        </w:rPr>
        <w:t>10.1综合评估报告结论</w:t>
      </w:r>
      <w:bookmarkEnd w:id="149"/>
      <w:bookmarkEnd w:id="150"/>
    </w:p>
    <w:p w14:paraId="3B2F77B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兴县风险源包括固定风险源和移动风险源。企业生产过程中涉及的危险化学品主要为天然气、盐酸、硫酸、硝酸、汽油、柴油、氢氧化钠等。</w:t>
      </w:r>
    </w:p>
    <w:p w14:paraId="389CE6A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在兴县，有16处饮用水源地保护区，各饮用水源地保护区内未涉及环境风险企业，在整个保护区范围内，未设置排污口。兴县内科研、学校、医院、居民区等重要环境风险受体与环境风险源的各类防护距离基本符合环境影响评价文件及批复要求。</w:t>
      </w:r>
    </w:p>
    <w:p w14:paraId="2AF291F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w:t>
      </w:r>
      <w:r>
        <w:rPr>
          <w:rFonts w:hint="default" w:ascii="Times New Roman" w:hAnsi="Times New Roman" w:eastAsia="仿宋" w:cs="Times New Roman"/>
          <w:bCs/>
          <w:color w:val="000000" w:themeColor="text1"/>
          <w:sz w:val="28"/>
          <w:szCs w:val="28"/>
          <w:lang w:val="en-US" w:eastAsia="zh-CN"/>
          <w14:textFill>
            <w14:solidFill>
              <w14:schemeClr w14:val="tx1"/>
            </w14:solidFill>
          </w14:textFill>
        </w:rPr>
        <w:t>县有27家企</w:t>
      </w:r>
      <w:r>
        <w:rPr>
          <w:rFonts w:hint="default" w:ascii="Times New Roman" w:hAnsi="Times New Roman" w:eastAsia="仿宋" w:cs="Times New Roman"/>
          <w:bCs/>
          <w:color w:val="auto"/>
          <w:sz w:val="28"/>
          <w:szCs w:val="28"/>
          <w:lang w:val="en-US" w:eastAsia="zh-CN"/>
        </w:rPr>
        <w:t>业已经编制风险评估报告，并确定环境风险等级，各企业均储备有必要的环境应急装备和物资。在环境污染事件的发生时，保证兴县各水源地环境安全的同时，实现规划区社会经济和环境保护的和谐发展。</w:t>
      </w:r>
    </w:p>
    <w:p w14:paraId="7377BAD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成立了突发环境事件应急救援队伍，应急救援体系以兴县突发环境事件应急指挥中心为核心，依托兴县各部门和工业园区企业的各类应急救援队伍，形成地方政府（上级）和企业（或事业）单位（下级）应急指挥中心的三级联动应急救援机制。兴县应急组织机构由指挥机构和工作机构组成，满足本区域环境应急管理需要。</w:t>
      </w:r>
    </w:p>
    <w:p w14:paraId="60B8D78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bCs/>
          <w:color w:val="auto"/>
          <w:sz w:val="28"/>
          <w:szCs w:val="28"/>
          <w:lang w:val="en-US" w:eastAsia="zh-CN"/>
        </w:rPr>
        <w:t>兴县环境风险在可防、可控、可接受范围内，对于还需进一步完善的风险防范措施拟定了整改计划。</w:t>
      </w:r>
    </w:p>
    <w:p w14:paraId="338262D9">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51" w:name="_Toc16506"/>
      <w:bookmarkStart w:id="152" w:name="_Toc5211"/>
      <w:r>
        <w:rPr>
          <w:rFonts w:hint="default" w:ascii="Times New Roman" w:hAnsi="Times New Roman" w:eastAsia="仿宋" w:cs="Times New Roman"/>
          <w:color w:val="auto"/>
          <w:kern w:val="0"/>
          <w:sz w:val="32"/>
          <w:lang w:val="en-US" w:eastAsia="zh-CN"/>
        </w:rPr>
        <w:t>10.2建议</w:t>
      </w:r>
      <w:bookmarkEnd w:id="151"/>
      <w:bookmarkEnd w:id="152"/>
    </w:p>
    <w:p w14:paraId="12FE0E6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（1）建议各企业应急物资应当建立管理制度，包括出物资检查制度、更新记录、保养管理制度等。</w:t>
      </w:r>
    </w:p>
    <w:p w14:paraId="69C9184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（2）建议完善兴县环境应急数据库，包括兴县重点风险源企业、移动风险源等动态管理信息，需做到熟知兴县内危险化学品和环境风险物质的种类、数量、存放点以及相应的应急处置方法。</w:t>
      </w:r>
    </w:p>
    <w:p w14:paraId="3E4EB83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（3）严格控制各污染物达标排放，保持环保设施良好运行，并培训职工环保意识，落实环境管理规章制度，认真执行环境监测计划，尽量避免事故排污事件的发生，并将污染影响减至最小。</w:t>
      </w:r>
    </w:p>
    <w:p w14:paraId="1FCF4F3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（4）建议不引入重大风险企业，新入驻企业根据环境风险分区进行合理布局。</w:t>
      </w:r>
    </w:p>
    <w:p w14:paraId="434A795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（5）建议兴县多加强与当地居民之间的互访，及时了解居民意见和要求，让公众监督兴县的环保治理工作。</w:t>
      </w:r>
    </w:p>
    <w:p w14:paraId="21ED45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（6）建议兴县按照本报告的整改措施及计划落实相关工作。</w:t>
      </w:r>
    </w:p>
    <w:p w14:paraId="33680AD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（7）由环保部门牵头，完善区域环境应急预案，及时对区域内重大风险源进行应急预案的更新。</w:t>
      </w:r>
    </w:p>
    <w:p w14:paraId="636E0C54">
      <w:pPr>
        <w:keepNext w:val="0"/>
        <w:keepLines w:val="0"/>
        <w:pageBreakBefore w:val="0"/>
        <w:widowControl w:val="0"/>
        <w:kinsoku/>
        <w:wordWrap/>
        <w:overflowPunct/>
        <w:topLinePunct w:val="0"/>
        <w:autoSpaceDE/>
        <w:autoSpaceDN/>
        <w:bidi w:val="0"/>
        <w:adjustRightInd/>
        <w:snapToGrid/>
        <w:spacing w:before="10" w:after="292" w:afterLines="50"/>
        <w:ind w:left="0" w:leftChars="0" w:firstLine="0" w:firstLineChars="0"/>
        <w:jc w:val="center"/>
        <w:textAlignment w:val="auto"/>
        <w:rPr>
          <w:rFonts w:hint="default" w:ascii="Times New Roman" w:hAnsi="Times New Roman" w:eastAsia="仿宋_GB2312" w:cs="Times New Roman"/>
          <w:color w:val="000000" w:themeColor="text1"/>
          <w:spacing w:val="-20"/>
          <w:sz w:val="30"/>
          <w:szCs w:val="30"/>
          <w14:textFill>
            <w14:solidFill>
              <w14:schemeClr w14:val="tx1"/>
            </w14:solidFill>
          </w14:textFill>
        </w:rPr>
      </w:pPr>
      <w:r>
        <w:rPr>
          <w:rFonts w:hint="default" w:ascii="Times New Roman" w:hAnsi="Times New Roman" w:eastAsia="仿宋" w:cs="Times New Roman"/>
          <w:color w:val="000000" w:themeColor="text1"/>
          <w:spacing w:val="-20"/>
          <w:sz w:val="30"/>
          <w:szCs w:val="30"/>
          <w14:textFill>
            <w14:solidFill>
              <w14:schemeClr w14:val="tx1"/>
            </w14:solidFill>
          </w14:textFill>
        </w:rPr>
        <w:t>《</w:t>
      </w:r>
      <w:r>
        <w:rPr>
          <w:rFonts w:hint="default" w:ascii="Times New Roman" w:hAnsi="Times New Roman" w:eastAsia="仿宋" w:cs="Times New Roman"/>
          <w:color w:val="000000" w:themeColor="text1"/>
          <w:spacing w:val="-20"/>
          <w:sz w:val="30"/>
          <w:szCs w:val="30"/>
          <w:lang w:val="en-US" w:eastAsia="zh-CN"/>
          <w14:textFill>
            <w14:solidFill>
              <w14:schemeClr w14:val="tx1"/>
            </w14:solidFill>
          </w14:textFill>
        </w:rPr>
        <w:t>兴县</w:t>
      </w:r>
      <w:r>
        <w:rPr>
          <w:rFonts w:hint="eastAsia" w:ascii="Times New Roman" w:hAnsi="Times New Roman" w:cs="Times New Roman"/>
          <w:color w:val="000000" w:themeColor="text1"/>
          <w:spacing w:val="-20"/>
          <w:sz w:val="30"/>
          <w:szCs w:val="30"/>
          <w:lang w:val="en-US" w:eastAsia="zh-CN"/>
          <w14:textFill>
            <w14:solidFill>
              <w14:schemeClr w14:val="tx1"/>
            </w14:solidFill>
          </w14:textFill>
        </w:rPr>
        <w:t>突发环境事件风险评估</w:t>
      </w:r>
      <w:r>
        <w:rPr>
          <w:rFonts w:hint="default" w:ascii="Times New Roman" w:hAnsi="Times New Roman" w:eastAsia="仿宋" w:cs="Times New Roman"/>
          <w:color w:val="000000" w:themeColor="text1"/>
          <w:spacing w:val="-20"/>
          <w:sz w:val="30"/>
          <w:szCs w:val="30"/>
          <w14:textFill>
            <w14:solidFill>
              <w14:schemeClr w14:val="tx1"/>
            </w14:solidFill>
          </w14:textFill>
        </w:rPr>
        <w:t>》修改说明</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4001"/>
        <w:gridCol w:w="3905"/>
      </w:tblGrid>
      <w:tr w14:paraId="45C5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59" w:type="pct"/>
            <w:vAlign w:val="center"/>
          </w:tcPr>
          <w:p w14:paraId="615B82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序号</w:t>
            </w:r>
          </w:p>
        </w:tc>
        <w:tc>
          <w:tcPr>
            <w:tcW w:w="2348" w:type="pct"/>
            <w:vAlign w:val="center"/>
          </w:tcPr>
          <w:p w14:paraId="414516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审查意见</w:t>
            </w:r>
          </w:p>
        </w:tc>
        <w:tc>
          <w:tcPr>
            <w:tcW w:w="2292" w:type="pct"/>
            <w:vAlign w:val="center"/>
          </w:tcPr>
          <w:p w14:paraId="12404A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修改说明</w:t>
            </w:r>
          </w:p>
        </w:tc>
      </w:tr>
      <w:tr w14:paraId="3CD3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59" w:type="pct"/>
            <w:vAlign w:val="center"/>
          </w:tcPr>
          <w:p w14:paraId="0F74A3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1</w:t>
            </w:r>
          </w:p>
        </w:tc>
        <w:tc>
          <w:tcPr>
            <w:tcW w:w="2348" w:type="pct"/>
            <w:vAlign w:val="center"/>
          </w:tcPr>
          <w:p w14:paraId="61CC62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cs="Times New Roman"/>
                <w:sz w:val="21"/>
                <w:szCs w:val="21"/>
              </w:rPr>
              <w:t>按照《山西省突发环境事件应急预案》《吕梁市突发环境事件应急预案》的设置原则与内容，进一步完善《预案》相关内容。细化《预案》编制过程中意见征询情况，明确意见采纳及修改情况</w:t>
            </w:r>
          </w:p>
        </w:tc>
        <w:tc>
          <w:tcPr>
            <w:tcW w:w="2292" w:type="pct"/>
            <w:shd w:val="clear" w:color="auto" w:fill="auto"/>
            <w:vAlign w:val="center"/>
          </w:tcPr>
          <w:p w14:paraId="7AE02D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sz w:val="21"/>
                <w:szCs w:val="21"/>
                <w:lang w:val="en-US" w:eastAsia="zh-CN"/>
              </w:rPr>
              <w:t>已</w:t>
            </w:r>
            <w:r>
              <w:rPr>
                <w:rFonts w:hint="default" w:ascii="Times New Roman" w:hAnsi="Times New Roman" w:cs="Times New Roman"/>
                <w:sz w:val="21"/>
                <w:szCs w:val="21"/>
              </w:rPr>
              <w:t>按照《山西省突发环境事件应急预案》《吕梁市突发环境事件应急预案》的设置原则与内容，进一步完善</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《预案》相关内容</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详见应急预案P1-P17</w:t>
            </w:r>
            <w:r>
              <w:rPr>
                <w:rFonts w:hint="default" w:ascii="Times New Roman" w:hAnsi="Times New Roman" w:cs="Times New Roman"/>
                <w:sz w:val="21"/>
                <w:szCs w:val="21"/>
              </w:rPr>
              <w:t>。细化</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《预案》编制过程中意见征询情况，明确</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意见采纳及修改情况</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详见编制说明P1-P2</w:t>
            </w:r>
          </w:p>
        </w:tc>
      </w:tr>
      <w:tr w14:paraId="0242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59" w:type="pct"/>
            <w:vAlign w:val="center"/>
          </w:tcPr>
          <w:p w14:paraId="1E77C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2</w:t>
            </w:r>
          </w:p>
        </w:tc>
        <w:tc>
          <w:tcPr>
            <w:tcW w:w="2348" w:type="pct"/>
            <w:vAlign w:val="center"/>
          </w:tcPr>
          <w:p w14:paraId="6F5121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cs="Times New Roman"/>
                <w:sz w:val="21"/>
                <w:szCs w:val="21"/>
              </w:rPr>
              <w:t>核实兴县突发环境事件应急指挥部各成员单位组成，结合各单位职能，完善其在应急组织机构内的职责、分工。完善监测预警、信息报送，应急响应、处置及保障等应急工作流程相关内容，规范应急通讯联络方式</w:t>
            </w:r>
          </w:p>
        </w:tc>
        <w:tc>
          <w:tcPr>
            <w:tcW w:w="2292" w:type="pct"/>
            <w:shd w:val="clear" w:color="auto" w:fill="auto"/>
            <w:vAlign w:val="center"/>
          </w:tcPr>
          <w:p w14:paraId="7854FA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z w:val="21"/>
                <w:szCs w:val="21"/>
              </w:rPr>
              <w:t>核实</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兴县突发环境事件应急指挥部各成员单位组成，结合各单位职能，完善</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其在应急组织机构内的职责、分工</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详见应急预案附件3</w:t>
            </w:r>
            <w:r>
              <w:rPr>
                <w:rFonts w:hint="default" w:ascii="Times New Roman" w:hAnsi="Times New Roman" w:cs="Times New Roman"/>
                <w:sz w:val="21"/>
                <w:szCs w:val="21"/>
              </w:rPr>
              <w:t>。完善</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监测预警、信息报送，应急响应、处置及保障等应急工作流程相关内容，规范</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应急通讯联络方式</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详见应急预案P6-P8</w:t>
            </w:r>
          </w:p>
        </w:tc>
      </w:tr>
      <w:tr w14:paraId="5D1C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59" w:type="pct"/>
            <w:vAlign w:val="center"/>
          </w:tcPr>
          <w:p w14:paraId="50BADF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3</w:t>
            </w:r>
          </w:p>
        </w:tc>
        <w:tc>
          <w:tcPr>
            <w:tcW w:w="2348" w:type="pct"/>
            <w:vAlign w:val="center"/>
          </w:tcPr>
          <w:p w14:paraId="2480F6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cs="Times New Roman"/>
                <w:sz w:val="21"/>
                <w:szCs w:val="21"/>
                <w:lang w:val="en-US" w:eastAsia="zh-CN"/>
              </w:rPr>
              <w:t>完善</w:t>
            </w:r>
            <w:r>
              <w:rPr>
                <w:rFonts w:hint="default" w:ascii="Times New Roman" w:hAnsi="Times New Roman" w:cs="Times New Roman"/>
                <w:sz w:val="21"/>
                <w:szCs w:val="21"/>
              </w:rPr>
              <w:t>全县行政区域内</w:t>
            </w:r>
            <w:bookmarkStart w:id="153" w:name="OLE_LINK4"/>
            <w:bookmarkStart w:id="154" w:name="OLE_LINK3"/>
            <w:r>
              <w:rPr>
                <w:rFonts w:hint="default" w:ascii="Times New Roman" w:hAnsi="Times New Roman" w:cs="Times New Roman"/>
                <w:sz w:val="21"/>
                <w:szCs w:val="21"/>
              </w:rPr>
              <w:t>环境风险源</w:t>
            </w:r>
            <w:bookmarkEnd w:id="153"/>
            <w:bookmarkEnd w:id="154"/>
            <w:r>
              <w:rPr>
                <w:rFonts w:hint="default" w:ascii="Times New Roman" w:hAnsi="Times New Roman" w:cs="Times New Roman"/>
                <w:sz w:val="21"/>
                <w:szCs w:val="21"/>
              </w:rPr>
              <w:t>及环境受体分布情况调查，</w:t>
            </w:r>
            <w:r>
              <w:rPr>
                <w:rFonts w:hint="default" w:ascii="Times New Roman" w:hAnsi="Times New Roman" w:cs="Times New Roman"/>
                <w:sz w:val="21"/>
                <w:szCs w:val="21"/>
                <w:lang w:val="en-US" w:eastAsia="zh-CN"/>
              </w:rPr>
              <w:t>核实环境风险指数计算；细化突发环境事件情景分析</w:t>
            </w:r>
          </w:p>
        </w:tc>
        <w:tc>
          <w:tcPr>
            <w:tcW w:w="2292" w:type="pct"/>
            <w:shd w:val="clear" w:color="auto" w:fill="auto"/>
            <w:vAlign w:val="center"/>
          </w:tcPr>
          <w:p w14:paraId="70D150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z w:val="21"/>
                <w:szCs w:val="21"/>
                <w:lang w:val="en-US" w:eastAsia="zh-CN"/>
              </w:rPr>
              <w:t>完善</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全县行政区域内环境风险源及环境受体分布情况调查，</w:t>
            </w:r>
            <w:r>
              <w:rPr>
                <w:rFonts w:hint="default" w:ascii="Times New Roman" w:hAnsi="Times New Roman" w:cs="Times New Roman"/>
                <w:sz w:val="21"/>
                <w:szCs w:val="21"/>
                <w:lang w:val="en-US" w:eastAsia="zh-CN"/>
              </w:rPr>
              <w:t>核实</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lang w:val="en-US" w:eastAsia="zh-CN"/>
              </w:rPr>
              <w:t>环境风险指数计算；细化</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lang w:val="en-US" w:eastAsia="zh-CN"/>
              </w:rPr>
              <w:t>突发环境事件情景分析</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详见风险评估P64-P65、P67-P91、P92-P97</w:t>
            </w:r>
          </w:p>
        </w:tc>
      </w:tr>
      <w:tr w14:paraId="6B0A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59" w:type="pct"/>
            <w:vAlign w:val="center"/>
          </w:tcPr>
          <w:p w14:paraId="2085A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4</w:t>
            </w:r>
          </w:p>
        </w:tc>
        <w:tc>
          <w:tcPr>
            <w:tcW w:w="2348" w:type="pct"/>
            <w:vAlign w:val="center"/>
          </w:tcPr>
          <w:p w14:paraId="7C45CC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cs="Times New Roman"/>
                <w:sz w:val="21"/>
                <w:szCs w:val="21"/>
              </w:rPr>
              <w:t>核实环境应急能力和应急资源现状，细化存在的差距分析，进一步完善改进措施</w:t>
            </w:r>
          </w:p>
        </w:tc>
        <w:tc>
          <w:tcPr>
            <w:tcW w:w="2292" w:type="pct"/>
            <w:shd w:val="clear" w:color="auto" w:fill="auto"/>
            <w:vAlign w:val="center"/>
          </w:tcPr>
          <w:p w14:paraId="333AD9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z w:val="21"/>
                <w:szCs w:val="21"/>
              </w:rPr>
              <w:t>核实</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环境应急能力和应急资源现状，细化存在的差距分析，进一步完善</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改进措施</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详见风险评估P98-P100</w:t>
            </w:r>
          </w:p>
        </w:tc>
      </w:tr>
    </w:tbl>
    <w:p w14:paraId="2E511C67">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pPr>
    </w:p>
    <w:p w14:paraId="2CD372D4">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5183E">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7E58B">
    <w:pPr>
      <w:pStyle w:val="13"/>
      <w:widowControl w:val="0"/>
      <w:pBdr>
        <w:top w:val="none" w:color="auto" w:sz="0" w:space="7"/>
        <w:left w:val="none" w:color="auto" w:sz="0" w:space="4"/>
        <w:bottom w:val="none" w:color="auto" w:sz="0" w:space="1"/>
        <w:right w:val="none" w:color="auto" w:sz="0" w:space="4"/>
        <w:between w:val="none" w:color="auto" w:sz="0" w:space="0"/>
      </w:pBdr>
      <w:adjustRightInd/>
      <w:snapToGrid w:val="0"/>
      <w:spacing w:line="360" w:lineRule="auto"/>
      <w:ind w:firstLine="0" w:firstLineChars="0"/>
      <w:jc w:val="both"/>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63030A">
                          <w:pPr>
                            <w:pStyle w:val="1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663030A">
                    <w:pPr>
                      <w:pStyle w:val="1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2237E">
    <w:pPr>
      <w:pStyle w:val="13"/>
      <w:widowControl w:val="0"/>
      <w:pBdr>
        <w:top w:val="none" w:color="auto" w:sz="0" w:space="7"/>
        <w:left w:val="none" w:color="auto" w:sz="0" w:space="4"/>
        <w:bottom w:val="none" w:color="auto" w:sz="0" w:space="1"/>
        <w:right w:val="none" w:color="auto" w:sz="0" w:space="4"/>
        <w:between w:val="none" w:color="auto" w:sz="0" w:space="0"/>
      </w:pBdr>
      <w:adjustRightInd/>
      <w:snapToGrid w:val="0"/>
      <w:spacing w:line="360" w:lineRule="auto"/>
      <w:ind w:firstLine="0" w:firstLineChars="0"/>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126D7B">
                          <w:pPr>
                            <w:pStyle w:val="13"/>
                          </w:pPr>
                          <w:r>
                            <w:fldChar w:fldCharType="begin"/>
                          </w:r>
                          <w:r>
                            <w:instrText xml:space="preserve"> PAGE  \* MERGEFORMAT </w:instrText>
                          </w:r>
                          <w:r>
                            <w:fldChar w:fldCharType="separate"/>
                          </w:r>
                          <w:r>
                            <w:t>XII</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08126D7B">
                    <w:pPr>
                      <w:pStyle w:val="13"/>
                    </w:pPr>
                    <w:r>
                      <w:fldChar w:fldCharType="begin"/>
                    </w:r>
                    <w:r>
                      <w:instrText xml:space="preserve"> PAGE  \* MERGEFORMAT </w:instrText>
                    </w:r>
                    <w:r>
                      <w:fldChar w:fldCharType="separate"/>
                    </w:r>
                    <w:r>
                      <w:t>XII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D01A2">
    <w:pPr>
      <w:pStyle w:val="13"/>
      <w:widowControl w:val="0"/>
      <w:pBdr>
        <w:top w:val="none" w:color="000000" w:sz="0" w:space="0"/>
        <w:left w:val="none" w:color="auto" w:sz="0" w:space="4"/>
        <w:bottom w:val="none" w:color="auto" w:sz="0" w:space="1"/>
        <w:right w:val="none" w:color="auto" w:sz="0" w:space="4"/>
        <w:between w:val="none" w:color="auto" w:sz="0" w:space="0"/>
      </w:pBdr>
      <w:adjustRightInd/>
      <w:snapToGrid w:val="0"/>
      <w:spacing w:line="360" w:lineRule="auto"/>
      <w:ind w:firstLine="360" w:firstLineChars="20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8256D7">
                          <w:pPr>
                            <w:pStyle w:val="1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3B8256D7">
                    <w:pPr>
                      <w:pStyle w:val="1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04BFE">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F47AD">
    <w:pPr>
      <w:widowControl w:val="0"/>
      <w:pBdr>
        <w:top w:val="none" w:color="auto" w:sz="0" w:space="1"/>
        <w:left w:val="none" w:color="auto" w:sz="0" w:space="4"/>
        <w:bottom w:val="single" w:color="000000" w:sz="6" w:space="0"/>
        <w:right w:val="none" w:color="auto" w:sz="0" w:space="4"/>
        <w:between w:val="none" w:color="auto" w:sz="0" w:space="0"/>
      </w:pBdr>
      <w:adjustRightInd w:val="0"/>
      <w:snapToGrid w:val="0"/>
      <w:spacing w:line="240" w:lineRule="auto"/>
      <w:ind w:firstLine="0" w:firstLineChars="0"/>
      <w:jc w:val="center"/>
      <w:rPr>
        <w:b w:val="0"/>
        <w:bCs/>
        <w:sz w:val="21"/>
        <w:szCs w:val="21"/>
      </w:rPr>
    </w:pPr>
    <w:r>
      <w:rPr>
        <w:rFonts w:hint="eastAsia"/>
        <w:b w:val="0"/>
        <w:bCs/>
        <w:sz w:val="21"/>
        <w:szCs w:val="21"/>
        <w:lang w:val="en-US" w:eastAsia="zh-CN"/>
      </w:rPr>
      <w:t>兴县区域突发环境事件</w:t>
    </w:r>
    <w:r>
      <w:rPr>
        <w:b w:val="0"/>
        <w:bCs/>
        <w:sz w:val="21"/>
        <w:szCs w:val="21"/>
      </w:rPr>
      <w:t>风险评估报告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89E9A">
    <w:pPr>
      <w:widowControl w:val="0"/>
      <w:pBdr>
        <w:top w:val="none" w:color="auto" w:sz="0" w:space="1"/>
        <w:left w:val="none" w:color="auto" w:sz="0" w:space="4"/>
        <w:bottom w:val="thinThickSmallGap" w:color="000000" w:sz="12" w:space="0"/>
        <w:right w:val="none" w:color="auto" w:sz="0" w:space="4"/>
        <w:between w:val="none" w:color="auto" w:sz="0" w:space="0"/>
      </w:pBdr>
      <w:adjustRightInd w:val="0"/>
      <w:snapToGrid w:val="0"/>
      <w:spacing w:line="240" w:lineRule="auto"/>
      <w:ind w:firstLine="0" w:firstLineChars="0"/>
      <w:jc w:val="center"/>
      <w:rPr>
        <w:b w:val="0"/>
        <w:bCs/>
        <w:sz w:val="21"/>
        <w:szCs w:val="21"/>
      </w:rPr>
    </w:pPr>
    <w:r>
      <w:rPr>
        <w:rFonts w:hint="eastAsia"/>
        <w:b w:val="0"/>
        <w:bCs/>
        <w:sz w:val="21"/>
        <w:szCs w:val="21"/>
        <w:lang w:val="en-US" w:eastAsia="zh-CN"/>
      </w:rPr>
      <w:t>兴县突发环境事件</w:t>
    </w:r>
    <w:r>
      <w:rPr>
        <w:b w:val="0"/>
        <w:bCs/>
        <w:sz w:val="21"/>
        <w:szCs w:val="21"/>
      </w:rPr>
      <w:t>风险评估报告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6562F5"/>
    <w:multiLevelType w:val="multilevel"/>
    <w:tmpl w:val="4C6562F5"/>
    <w:lvl w:ilvl="0" w:tentative="0">
      <w:start w:val="1"/>
      <w:numFmt w:val="decimal"/>
      <w:suff w:val="space"/>
      <w:lvlText w:val="%1"/>
      <w:lvlJc w:val="left"/>
      <w:pPr>
        <w:ind w:left="0" w:firstLine="0"/>
      </w:pPr>
      <w:rPr>
        <w:rFonts w:hint="default" w:ascii="Times New Roman" w:hAnsi="Times New Roman"/>
        <w:b/>
        <w:i w:val="0"/>
        <w:sz w:val="32"/>
      </w:rPr>
    </w:lvl>
    <w:lvl w:ilvl="1" w:tentative="0">
      <w:start w:val="1"/>
      <w:numFmt w:val="decimal"/>
      <w:suff w:val="space"/>
      <w:lvlText w:val="%1.%2"/>
      <w:lvlJc w:val="left"/>
      <w:pPr>
        <w:ind w:left="567" w:hanging="567"/>
      </w:pPr>
      <w:rPr>
        <w:rFonts w:hint="default" w:ascii="Times New Roman" w:hAnsi="Times New Roman"/>
        <w:b/>
        <w:i w:val="0"/>
        <w:sz w:val="30"/>
      </w:rPr>
    </w:lvl>
    <w:lvl w:ilvl="2" w:tentative="0">
      <w:start w:val="1"/>
      <w:numFmt w:val="decimal"/>
      <w:suff w:val="space"/>
      <w:lvlText w:val="%1.%2.%3"/>
      <w:lvlJc w:val="left"/>
      <w:pPr>
        <w:ind w:left="0" w:firstLine="0"/>
      </w:pPr>
      <w:rPr>
        <w:rFonts w:hint="default" w:ascii="Times New Roman" w:hAnsi="Times New Roman"/>
        <w:b/>
        <w:i w:val="0"/>
        <w:sz w:val="28"/>
      </w:rPr>
    </w:lvl>
    <w:lvl w:ilvl="3" w:tentative="0">
      <w:start w:val="1"/>
      <w:numFmt w:val="decimal"/>
      <w:suff w:val="space"/>
      <w:lvlText w:val="%1.%2.%3.%4"/>
      <w:lvlJc w:val="left"/>
      <w:pPr>
        <w:ind w:left="284" w:firstLine="0"/>
      </w:pPr>
      <w:rPr>
        <w:rFonts w:hint="eastAsia"/>
      </w:rPr>
    </w:lvl>
    <w:lvl w:ilvl="4" w:tentative="0">
      <w:start w:val="1"/>
      <w:numFmt w:val="decimal"/>
      <w:lvlRestart w:val="2"/>
      <w:pStyle w:val="29"/>
      <w:suff w:val="space"/>
      <w:lvlText w:val="表%1.%2-%5  "/>
      <w:lvlJc w:val="left"/>
      <w:pPr>
        <w:tabs>
          <w:tab w:val="left" w:pos="0"/>
        </w:tabs>
        <w:ind w:left="0" w:leftChars="0" w:firstLine="0" w:firstLineChars="0"/>
      </w:pPr>
      <w:rPr>
        <w:rFonts w:hint="default"/>
        <w:sz w:val="21"/>
        <w:szCs w:val="21"/>
      </w:rPr>
    </w:lvl>
    <w:lvl w:ilvl="5" w:tentative="0">
      <w:start w:val="1"/>
      <w:numFmt w:val="decimal"/>
      <w:lvlRestart w:val="2"/>
      <w:suff w:val="space"/>
      <w:lvlText w:val="图%1.%2-%6 "/>
      <w:lvlJc w:val="left"/>
      <w:pPr>
        <w:tabs>
          <w:tab w:val="left" w:pos="0"/>
        </w:tabs>
        <w:ind w:left="0" w:firstLine="0"/>
      </w:pPr>
      <w:rPr>
        <w:rFonts w:hint="default"/>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74AA7202"/>
    <w:multiLevelType w:val="multilevel"/>
    <w:tmpl w:val="74AA7202"/>
    <w:lvl w:ilvl="0" w:tentative="0">
      <w:start w:val="1"/>
      <w:numFmt w:val="decimal"/>
      <w:pStyle w:val="2"/>
      <w:suff w:val="space"/>
      <w:lvlText w:val="%1"/>
      <w:lvlJc w:val="center"/>
      <w:pPr>
        <w:ind w:left="4080" w:firstLine="288"/>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4"/>
      <w:suff w:val="space"/>
      <w:lvlText w:val="%1.%2.%3"/>
      <w:lvlJc w:val="left"/>
      <w:pPr>
        <w:ind w:left="0" w:firstLine="0"/>
      </w:pPr>
      <w:rPr>
        <w:rFonts w:hint="eastAsia"/>
      </w:rPr>
    </w:lvl>
    <w:lvl w:ilvl="3" w:tentative="0">
      <w:start w:val="1"/>
      <w:numFmt w:val="decimal"/>
      <w:suff w:val="space"/>
      <w:lvlText w:val="%1.%2.%3.%4"/>
      <w:lvlJc w:val="left"/>
      <w:pPr>
        <w:ind w:left="71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95955"/>
    <w:rsid w:val="041A3DD9"/>
    <w:rsid w:val="058A70EA"/>
    <w:rsid w:val="075501EC"/>
    <w:rsid w:val="07E01DA1"/>
    <w:rsid w:val="083B4E60"/>
    <w:rsid w:val="0A53598C"/>
    <w:rsid w:val="0C572EE1"/>
    <w:rsid w:val="0CDF7CED"/>
    <w:rsid w:val="0D4B4FAB"/>
    <w:rsid w:val="0DD71C25"/>
    <w:rsid w:val="0DE23585"/>
    <w:rsid w:val="111D4066"/>
    <w:rsid w:val="12176D07"/>
    <w:rsid w:val="1472426D"/>
    <w:rsid w:val="1573694A"/>
    <w:rsid w:val="17194764"/>
    <w:rsid w:val="1B530478"/>
    <w:rsid w:val="1C183162"/>
    <w:rsid w:val="1EAD1969"/>
    <w:rsid w:val="1EEA73DE"/>
    <w:rsid w:val="228F59ED"/>
    <w:rsid w:val="23CB1519"/>
    <w:rsid w:val="254C4AC2"/>
    <w:rsid w:val="267C4F33"/>
    <w:rsid w:val="27EE4625"/>
    <w:rsid w:val="28C07676"/>
    <w:rsid w:val="293C0D41"/>
    <w:rsid w:val="2DFB0E33"/>
    <w:rsid w:val="2E0A1DB4"/>
    <w:rsid w:val="2EDA313F"/>
    <w:rsid w:val="2F67197A"/>
    <w:rsid w:val="306E5502"/>
    <w:rsid w:val="30744ECD"/>
    <w:rsid w:val="32EC1ACD"/>
    <w:rsid w:val="343402A2"/>
    <w:rsid w:val="34DB19BE"/>
    <w:rsid w:val="34E645EB"/>
    <w:rsid w:val="350D00B1"/>
    <w:rsid w:val="3C5F6A31"/>
    <w:rsid w:val="3EC767D5"/>
    <w:rsid w:val="42125BA7"/>
    <w:rsid w:val="42C57F36"/>
    <w:rsid w:val="45E62DA7"/>
    <w:rsid w:val="469D4D26"/>
    <w:rsid w:val="474B0621"/>
    <w:rsid w:val="491778C4"/>
    <w:rsid w:val="49222534"/>
    <w:rsid w:val="493F3E72"/>
    <w:rsid w:val="497B44CA"/>
    <w:rsid w:val="49AA1621"/>
    <w:rsid w:val="49E55F83"/>
    <w:rsid w:val="4B1418CD"/>
    <w:rsid w:val="4B531E57"/>
    <w:rsid w:val="4BE17463"/>
    <w:rsid w:val="4C7E4CB1"/>
    <w:rsid w:val="4D6F5C57"/>
    <w:rsid w:val="5039786D"/>
    <w:rsid w:val="50954286"/>
    <w:rsid w:val="51C27D36"/>
    <w:rsid w:val="52045C59"/>
    <w:rsid w:val="543D1818"/>
    <w:rsid w:val="549332C4"/>
    <w:rsid w:val="54DC5AB1"/>
    <w:rsid w:val="56CF0F2B"/>
    <w:rsid w:val="5897026A"/>
    <w:rsid w:val="595A2602"/>
    <w:rsid w:val="59F27755"/>
    <w:rsid w:val="5A9145F7"/>
    <w:rsid w:val="5BC16969"/>
    <w:rsid w:val="5C441A74"/>
    <w:rsid w:val="5CB2409D"/>
    <w:rsid w:val="61207377"/>
    <w:rsid w:val="61E20F86"/>
    <w:rsid w:val="633A3BD0"/>
    <w:rsid w:val="63D74F7B"/>
    <w:rsid w:val="65F91B21"/>
    <w:rsid w:val="66A51361"/>
    <w:rsid w:val="66F916AD"/>
    <w:rsid w:val="6739419F"/>
    <w:rsid w:val="694766FF"/>
    <w:rsid w:val="6B431148"/>
    <w:rsid w:val="6B4341BB"/>
    <w:rsid w:val="6D072A1C"/>
    <w:rsid w:val="6E99525C"/>
    <w:rsid w:val="70535290"/>
    <w:rsid w:val="707D408B"/>
    <w:rsid w:val="73915642"/>
    <w:rsid w:val="75016588"/>
    <w:rsid w:val="75647288"/>
    <w:rsid w:val="76171B4F"/>
    <w:rsid w:val="77AF2C76"/>
    <w:rsid w:val="792277B0"/>
    <w:rsid w:val="7A802CD3"/>
    <w:rsid w:val="7B607AF4"/>
    <w:rsid w:val="7B780AEF"/>
    <w:rsid w:val="7BC566B5"/>
    <w:rsid w:val="7D0F0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6" w:semiHidden="0" w:name="heading 2"/>
    <w:lsdException w:qFormat="1" w:unhideWhenUsed="0" w:uiPriority="0" w:semiHidden="0" w:name="heading 3"/>
    <w:lsdException w:qFormat="1" w:unhideWhenUsed="0" w:uiPriority="6"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仿宋" w:cs="Times New Roman"/>
      <w:kern w:val="2"/>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120" w:after="120"/>
      <w:ind w:firstLine="0" w:firstLineChars="0"/>
      <w:jc w:val="center"/>
      <w:outlineLvl w:val="0"/>
    </w:pPr>
    <w:rPr>
      <w:rFonts w:ascii="Times New Roman" w:hAnsi="Times New Roman"/>
      <w:bCs/>
      <w:kern w:val="44"/>
      <w:sz w:val="32"/>
      <w:szCs w:val="44"/>
    </w:rPr>
  </w:style>
  <w:style w:type="paragraph" w:styleId="3">
    <w:name w:val="heading 2"/>
    <w:basedOn w:val="1"/>
    <w:next w:val="1"/>
    <w:qFormat/>
    <w:uiPriority w:val="6"/>
    <w:pPr>
      <w:keepNext/>
      <w:keepLines/>
      <w:adjustRightInd w:val="0"/>
      <w:snapToGrid w:val="0"/>
      <w:spacing w:line="360" w:lineRule="auto"/>
      <w:outlineLvl w:val="1"/>
    </w:pPr>
    <w:rPr>
      <w:rFonts w:ascii="Arial" w:hAnsi="Arial" w:eastAsia="黑体" w:cs="Arial"/>
      <w:b/>
      <w:sz w:val="30"/>
      <w:szCs w:val="32"/>
    </w:rPr>
  </w:style>
  <w:style w:type="paragraph" w:styleId="4">
    <w:name w:val="heading 3"/>
    <w:basedOn w:val="1"/>
    <w:next w:val="1"/>
    <w:qFormat/>
    <w:uiPriority w:val="0"/>
    <w:pPr>
      <w:keepNext/>
      <w:keepLines/>
      <w:numPr>
        <w:ilvl w:val="2"/>
        <w:numId w:val="1"/>
      </w:numPr>
      <w:adjustRightInd w:val="0"/>
      <w:snapToGrid w:val="0"/>
      <w:ind w:firstLineChars="0"/>
      <w:jc w:val="left"/>
      <w:outlineLvl w:val="2"/>
    </w:pPr>
    <w:rPr>
      <w:rFonts w:ascii="Times New Roman" w:hAnsi="Times New Roman"/>
      <w:b/>
      <w:bCs/>
      <w:sz w:val="28"/>
      <w:szCs w:val="32"/>
    </w:rPr>
  </w:style>
  <w:style w:type="paragraph" w:styleId="5">
    <w:name w:val="heading 4"/>
    <w:basedOn w:val="1"/>
    <w:next w:val="1"/>
    <w:qFormat/>
    <w:uiPriority w:val="6"/>
    <w:pPr>
      <w:keepNext/>
      <w:keepLines/>
      <w:adjustRightInd w:val="0"/>
      <w:snapToGrid w:val="0"/>
      <w:spacing w:line="360" w:lineRule="auto"/>
      <w:ind w:firstLine="560" w:firstLineChars="200"/>
      <w:outlineLvl w:val="3"/>
    </w:pPr>
    <w:rPr>
      <w:rFonts w:ascii="Arial" w:hAnsi="Arial" w:eastAsia="黑体" w:cs="Arial"/>
      <w:b/>
      <w:sz w:val="28"/>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adjustRightInd/>
      <w:snapToGrid/>
      <w:ind w:firstLine="420"/>
    </w:pPr>
  </w:style>
  <w:style w:type="paragraph" w:styleId="7">
    <w:name w:val="Body Text"/>
    <w:basedOn w:val="1"/>
    <w:next w:val="1"/>
    <w:qFormat/>
    <w:uiPriority w:val="0"/>
    <w:pPr>
      <w:spacing w:after="120"/>
    </w:pPr>
  </w:style>
  <w:style w:type="paragraph" w:styleId="8">
    <w:name w:val="Body Text Indent"/>
    <w:basedOn w:val="1"/>
    <w:qFormat/>
    <w:uiPriority w:val="0"/>
    <w:pPr>
      <w:ind w:left="420" w:leftChars="200"/>
    </w:pPr>
    <w:rPr>
      <w:rFonts w:cs="宋体"/>
      <w:szCs w:val="28"/>
    </w:rPr>
  </w:style>
  <w:style w:type="paragraph" w:styleId="9">
    <w:name w:val="Block Text"/>
    <w:basedOn w:val="1"/>
    <w:next w:val="1"/>
    <w:qFormat/>
    <w:uiPriority w:val="0"/>
    <w:pPr>
      <w:adjustRightInd/>
      <w:snapToGrid/>
      <w:ind w:left="1440" w:leftChars="700" w:right="700" w:rightChars="700" w:firstLine="883"/>
    </w:pPr>
  </w:style>
  <w:style w:type="paragraph" w:styleId="10">
    <w:name w:val="Plain Text"/>
    <w:basedOn w:val="1"/>
    <w:next w:val="1"/>
    <w:qFormat/>
    <w:uiPriority w:val="0"/>
    <w:pPr>
      <w:adjustRightInd/>
      <w:snapToGrid/>
      <w:ind w:firstLine="883"/>
    </w:pPr>
    <w:rPr>
      <w:rFonts w:ascii="宋体" w:hAnsi="Courier New"/>
    </w:rPr>
  </w:style>
  <w:style w:type="paragraph" w:styleId="11">
    <w:name w:val="Body Text Indent 2"/>
    <w:basedOn w:val="1"/>
    <w:qFormat/>
    <w:uiPriority w:val="0"/>
    <w:rPr>
      <w:rFonts w:cs="宋体"/>
      <w:szCs w:val="28"/>
    </w:rPr>
  </w:style>
  <w:style w:type="paragraph" w:styleId="12">
    <w:name w:val="Balloon Text"/>
    <w:basedOn w:val="1"/>
    <w:qFormat/>
    <w:uiPriority w:val="99"/>
    <w:rPr>
      <w:sz w:val="18"/>
      <w:szCs w:val="18"/>
    </w:rPr>
  </w:style>
  <w:style w:type="paragraph" w:styleId="13">
    <w:name w:val="footer"/>
    <w:basedOn w:val="1"/>
    <w:qFormat/>
    <w:uiPriority w:val="99"/>
    <w:pPr>
      <w:tabs>
        <w:tab w:val="center" w:pos="4153"/>
        <w:tab w:val="right" w:pos="8306"/>
      </w:tabs>
      <w:adjustRightInd/>
      <w:ind w:firstLine="883"/>
      <w:jc w:val="left"/>
    </w:pPr>
    <w:rPr>
      <w:sz w:val="18"/>
      <w:szCs w:val="18"/>
    </w:rPr>
  </w:style>
  <w:style w:type="paragraph" w:styleId="14">
    <w:name w:val="header"/>
    <w:basedOn w:val="1"/>
    <w:qFormat/>
    <w:uiPriority w:val="99"/>
    <w:pPr>
      <w:pBdr>
        <w:bottom w:val="single" w:color="auto" w:sz="6" w:space="1"/>
      </w:pBdr>
      <w:tabs>
        <w:tab w:val="center" w:pos="8295"/>
      </w:tabs>
      <w:snapToGrid w:val="0"/>
      <w:spacing w:line="300" w:lineRule="auto"/>
      <w:ind w:firstLine="200" w:firstLineChars="200"/>
      <w:jc w:val="right"/>
    </w:pPr>
    <w:rPr>
      <w:rFonts w:ascii="Times New Roman" w:hAnsi="Times New Roman"/>
      <w:i/>
      <w:sz w:val="18"/>
      <w:szCs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unhideWhenUsed/>
    <w:qFormat/>
    <w:uiPriority w:val="99"/>
    <w:pPr>
      <w:widowControl/>
      <w:adjustRightInd/>
      <w:snapToGrid/>
      <w:spacing w:before="100" w:beforeAutospacing="1" w:after="100" w:afterAutospacing="1"/>
      <w:ind w:firstLine="883"/>
      <w:jc w:val="left"/>
    </w:pPr>
    <w:rPr>
      <w:rFonts w:ascii="宋体" w:hAnsi="宋体" w:cs="宋体"/>
      <w:kern w:val="0"/>
      <w:sz w:val="24"/>
    </w:rPr>
  </w:style>
  <w:style w:type="paragraph" w:styleId="18">
    <w:name w:val="Body Text First Indent 2"/>
    <w:basedOn w:val="8"/>
    <w:unhideWhenUsed/>
    <w:qFormat/>
    <w:uiPriority w:val="99"/>
    <w:pPr>
      <w:ind w:firstLine="420" w:firstLineChars="200"/>
    </w:pPr>
    <w:rPr>
      <w:rFonts w:ascii="Times New Roman" w:hAnsi="Times New Roman" w:eastAsia="宋体"/>
    </w:rPr>
  </w:style>
  <w:style w:type="table" w:styleId="20">
    <w:name w:val="Table Grid"/>
    <w:basedOn w:val="19"/>
    <w:unhideWhenUsed/>
    <w:qFormat/>
    <w:uiPriority w:val="0"/>
    <w:pPr>
      <w:widowControl w:val="0"/>
      <w:jc w:val="center"/>
    </w:pPr>
    <w:rPr>
      <w:rFonts w:eastAsia="Times New Roman"/>
      <w:szCs w:val="21"/>
    </w:rPr>
    <w:tblPr>
      <w:tblBorders>
        <w:top w:val="single" w:color="auto" w:sz="12" w:space="0"/>
        <w:bottom w:val="single" w:color="auto" w:sz="12" w:space="0"/>
        <w:insideH w:val="single" w:color="auto" w:sz="4" w:space="0"/>
        <w:insideV w:val="single" w:color="auto" w:sz="4" w:space="0"/>
      </w:tblBorders>
    </w:tblPr>
    <w:tcPr>
      <w:vAlign w:val="center"/>
    </w:tcPr>
  </w:style>
  <w:style w:type="character" w:styleId="22">
    <w:name w:val="Emphasis"/>
    <w:basedOn w:val="21"/>
    <w:qFormat/>
    <w:uiPriority w:val="0"/>
    <w:rPr>
      <w:i/>
    </w:rPr>
  </w:style>
  <w:style w:type="paragraph" w:customStyle="1" w:styleId="23">
    <w:name w:val="Default"/>
    <w:basedOn w:val="24"/>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5">
    <w:name w:val="正文首行缩进 21"/>
    <w:basedOn w:val="26"/>
    <w:next w:val="17"/>
    <w:qFormat/>
    <w:uiPriority w:val="0"/>
    <w:pPr>
      <w:widowControl/>
      <w:ind w:firstLine="200" w:firstLineChars="200"/>
      <w:jc w:val="left"/>
    </w:pPr>
    <w:rPr>
      <w:rFonts w:ascii="Calibri" w:hAnsi="Calibri" w:eastAsia="仿宋_GB2312" w:cs="Calibri"/>
      <w:kern w:val="0"/>
      <w:sz w:val="24"/>
      <w:szCs w:val="24"/>
    </w:rPr>
  </w:style>
  <w:style w:type="paragraph" w:customStyle="1" w:styleId="26">
    <w:name w:val="正文文本缩进1"/>
    <w:basedOn w:val="1"/>
    <w:qFormat/>
    <w:uiPriority w:val="0"/>
    <w:pPr>
      <w:ind w:left="200" w:leftChars="200"/>
    </w:pPr>
    <w:rPr>
      <w:rFonts w:ascii="Calibri" w:hAnsi="Calibri" w:eastAsia="宋体" w:cs="Times New Roman"/>
    </w:rPr>
  </w:style>
  <w:style w:type="paragraph" w:customStyle="1" w:styleId="27">
    <w:name w:val="p0"/>
    <w:basedOn w:val="1"/>
    <w:qFormat/>
    <w:uiPriority w:val="0"/>
    <w:pPr>
      <w:keepNext w:val="0"/>
      <w:keepLines w:val="0"/>
      <w:widowControl/>
      <w:suppressLineNumbers w:val="0"/>
      <w:spacing w:before="0" w:beforeAutospacing="0" w:after="0" w:afterAutospacing="0"/>
      <w:ind w:left="0" w:right="0"/>
      <w:jc w:val="both"/>
    </w:pPr>
    <w:rPr>
      <w:rFonts w:hint="default" w:ascii="Times New Roman" w:hAnsi="Times New Roman" w:eastAsia="宋体" w:cs="Times New Roman"/>
      <w:kern w:val="0"/>
      <w:sz w:val="21"/>
      <w:szCs w:val="21"/>
      <w:lang w:val="en-US" w:eastAsia="zh-CN" w:bidi="ar-SA"/>
    </w:rPr>
  </w:style>
  <w:style w:type="paragraph" w:customStyle="1" w:styleId="28">
    <w:name w:val="a正文"/>
    <w:basedOn w:val="1"/>
    <w:autoRedefine/>
    <w:qFormat/>
    <w:uiPriority w:val="0"/>
    <w:pPr>
      <w:spacing w:line="360" w:lineRule="auto"/>
      <w:contextualSpacing/>
    </w:pPr>
  </w:style>
  <w:style w:type="paragraph" w:customStyle="1" w:styleId="29">
    <w:name w:val="a表名"/>
    <w:basedOn w:val="1"/>
    <w:autoRedefine/>
    <w:qFormat/>
    <w:uiPriority w:val="0"/>
    <w:pPr>
      <w:widowControl/>
      <w:numPr>
        <w:ilvl w:val="4"/>
        <w:numId w:val="2"/>
      </w:numPr>
      <w:spacing w:line="240" w:lineRule="auto"/>
      <w:ind w:left="0" w:firstLine="0" w:firstLineChars="0"/>
      <w:jc w:val="center"/>
      <w:outlineLvl w:val="4"/>
    </w:pPr>
    <w:rPr>
      <w:b/>
      <w:kern w:val="0"/>
      <w:sz w:val="21"/>
      <w:szCs w:val="11"/>
    </w:rPr>
  </w:style>
  <w:style w:type="paragraph" w:customStyle="1" w:styleId="30">
    <w:name w:val="表中文字"/>
    <w:basedOn w:val="1"/>
    <w:autoRedefine/>
    <w:qFormat/>
    <w:uiPriority w:val="0"/>
    <w:pPr>
      <w:spacing w:line="240" w:lineRule="auto"/>
      <w:ind w:firstLine="0" w:firstLineChars="0"/>
      <w:jc w:val="center"/>
    </w:pPr>
    <w:rPr>
      <w:rFonts w:ascii="宋体" w:hAnsi="宋体" w:cs="宋体"/>
      <w:b/>
      <w:sz w:val="21"/>
      <w:szCs w:val="20"/>
    </w:rPr>
  </w:style>
  <w:style w:type="paragraph" w:customStyle="1" w:styleId="31">
    <w:name w:val="纯文本1"/>
    <w:basedOn w:val="1"/>
    <w:qFormat/>
    <w:uiPriority w:val="0"/>
    <w:pPr>
      <w:adjustRightInd w:val="0"/>
    </w:pPr>
    <w:rPr>
      <w:rFonts w:hAnsi="Courier New"/>
      <w:szCs w:val="20"/>
    </w:rPr>
  </w:style>
  <w:style w:type="paragraph" w:customStyle="1" w:styleId="32">
    <w:name w:val="Char Char Char Char Char Char1 Char Char Char Char"/>
    <w:basedOn w:val="1"/>
    <w:next w:val="1"/>
    <w:qFormat/>
    <w:uiPriority w:val="0"/>
    <w:pPr>
      <w:widowControl/>
      <w:spacing w:after="160" w:line="240" w:lineRule="exact"/>
      <w:ind w:firstLine="872" w:firstLineChars="200"/>
      <w:jc w:val="left"/>
    </w:pPr>
    <w:rPr>
      <w:rFonts w:ascii="华文中宋" w:hAnsi="华文中宋" w:cs="Garamond"/>
      <w:kern w:val="0"/>
      <w:sz w:val="20"/>
      <w:lang w:eastAsia="en-US"/>
    </w:rPr>
  </w:style>
  <w:style w:type="paragraph" w:customStyle="1" w:styleId="33">
    <w:name w:val="a正文排版格式"/>
    <w:basedOn w:val="34"/>
    <w:qFormat/>
    <w:uiPriority w:val="0"/>
    <w:pPr>
      <w:tabs>
        <w:tab w:val="left" w:pos="2520"/>
      </w:tabs>
    </w:pPr>
    <w:rPr>
      <w:rFonts w:ascii="仿宋_GB2312" w:cs="宋体"/>
      <w:szCs w:val="28"/>
    </w:rPr>
  </w:style>
  <w:style w:type="paragraph" w:customStyle="1" w:styleId="34">
    <w:name w:val="正文 New New"/>
    <w:unhideWhenUsed/>
    <w:qFormat/>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35">
    <w:name w:val="Table Paragraph"/>
    <w:basedOn w:val="1"/>
    <w:qFormat/>
    <w:uiPriority w:val="1"/>
    <w:pPr>
      <w:autoSpaceDE w:val="0"/>
      <w:autoSpaceDN w:val="0"/>
      <w:snapToGrid/>
      <w:spacing w:line="240" w:lineRule="auto"/>
      <w:ind w:firstLine="0" w:firstLineChars="0"/>
      <w:jc w:val="left"/>
    </w:pPr>
    <w:rPr>
      <w:rFonts w:eastAsia="宋体" w:cs="Times New Roman"/>
      <w:kern w:val="0"/>
      <w:sz w:val="24"/>
    </w:rPr>
  </w:style>
  <w:style w:type="paragraph" w:customStyle="1" w:styleId="36">
    <w:name w:val="表格内容"/>
    <w:qFormat/>
    <w:uiPriority w:val="0"/>
    <w:pPr>
      <w:widowControl w:val="0"/>
      <w:adjustRightInd w:val="0"/>
      <w:snapToGrid w:val="0"/>
      <w:jc w:val="center"/>
    </w:pPr>
    <w:rPr>
      <w:rFonts w:ascii="Times New Roman" w:hAnsi="Times New Roman" w:eastAsia="仿宋" w:cs="Times New Roman"/>
      <w:kern w:val="2"/>
      <w:sz w:val="21"/>
      <w:szCs w:val="24"/>
      <w:lang w:val="en-US" w:eastAsia="zh-CN" w:bidi="ar-SA"/>
    </w:rPr>
  </w:style>
  <w:style w:type="paragraph" w:customStyle="1" w:styleId="37">
    <w:name w:val="表内容"/>
    <w:basedOn w:val="10"/>
    <w:qFormat/>
    <w:uiPriority w:val="0"/>
    <w:pPr>
      <w:ind w:firstLine="0" w:firstLineChars="0"/>
      <w:jc w:val="center"/>
    </w:pPr>
    <w:rPr>
      <w:rFonts w:ascii="Times New Roman" w:hAnsi="Times New Roman"/>
      <w:color w:val="000000"/>
      <w:sz w:val="24"/>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3693</Words>
  <Characters>4206</Characters>
  <Lines>0</Lines>
  <Paragraphs>0</Paragraphs>
  <TotalTime>4</TotalTime>
  <ScaleCrop>false</ScaleCrop>
  <LinksUpToDate>false</LinksUpToDate>
  <CharactersWithSpaces>4442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2024-12-18T08:13:00Z</dcterms:created>
  <dc:creator>Administrator</dc:creator>
  <cp:lastModifiedBy>WPS_1591413945</cp:lastModifiedBy>
  <dcterms:modified xsi:type="dcterms:W3CDTF">2026-02-04T09:59:40Z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566D126009E74183A7BECFF5171BFF6D_12</vt:lpwstr>
  </property>
  <property fmtid="{D5CDD505-2E9C-101B-9397-08002B2CF9AE}" pid="4" name="KSOTemplateDocerSaveRecord">
    <vt:lpwstr>eyJoZGlkIjoiY2Y3MWIwNmY5MTczYmZjY2RlZTU2MjE2NmY4ZmJhZmUiLCJ1c2VySWQiOiIxMDA3NTk4ODk1In0=</vt:lpwstr>
  </property>
</Properties>
</file>